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43445">
      <w:pPr>
        <w:jc w:val="center"/>
        <w:rPr>
          <w:rFonts w:hint="eastAsia" w:asciiTheme="minorEastAsia" w:hAnsiTheme="minorEastAsia" w:eastAsiaTheme="minorEastAsia" w:cstheme="minorEastAsia"/>
          <w:sz w:val="44"/>
        </w:rPr>
      </w:pPr>
    </w:p>
    <w:p w14:paraId="08861BBA">
      <w:pPr>
        <w:jc w:val="center"/>
        <w:rPr>
          <w:rFonts w:hint="eastAsia" w:asciiTheme="minorEastAsia" w:hAnsiTheme="minorEastAsia" w:eastAsiaTheme="minorEastAsia" w:cstheme="minorEastAsia"/>
          <w:sz w:val="44"/>
        </w:rPr>
      </w:pPr>
    </w:p>
    <w:p w14:paraId="1BE26E30">
      <w:pPr>
        <w:jc w:val="center"/>
        <w:rPr>
          <w:rFonts w:hint="eastAsia" w:asciiTheme="minorEastAsia" w:hAnsiTheme="minorEastAsia" w:eastAsiaTheme="minorEastAsia" w:cstheme="minorEastAsia"/>
          <w:w w:val="66"/>
          <w:sz w:val="120"/>
          <w:szCs w:val="120"/>
        </w:rPr>
      </w:pPr>
      <w:r>
        <w:rPr>
          <w:rFonts w:hint="eastAsia" w:asciiTheme="minorEastAsia" w:hAnsiTheme="minorEastAsia" w:eastAsiaTheme="minorEastAsia" w:cstheme="minorEastAsia"/>
          <w:w w:val="66"/>
          <w:sz w:val="120"/>
          <w:szCs w:val="120"/>
        </w:rPr>
        <w:t>竞争性谈判文件</w:t>
      </w:r>
    </w:p>
    <w:p w14:paraId="58A9E314">
      <w:pPr>
        <w:jc w:val="center"/>
        <w:rPr>
          <w:rFonts w:hint="eastAsia" w:asciiTheme="minorEastAsia" w:hAnsiTheme="minorEastAsia" w:eastAsiaTheme="minorEastAsia" w:cstheme="minorEastAsia"/>
          <w:sz w:val="44"/>
        </w:rPr>
      </w:pPr>
    </w:p>
    <w:p w14:paraId="08796696">
      <w:pPr>
        <w:jc w:val="center"/>
        <w:rPr>
          <w:rFonts w:hint="eastAsia" w:asciiTheme="minorEastAsia" w:hAnsiTheme="minorEastAsia" w:eastAsiaTheme="minorEastAsia" w:cstheme="minorEastAsia"/>
          <w:sz w:val="44"/>
        </w:rPr>
      </w:pPr>
    </w:p>
    <w:p w14:paraId="346146AF">
      <w:pPr>
        <w:ind w:firstLine="1440" w:firstLineChars="400"/>
        <w:rPr>
          <w:rFonts w:hint="eastAsia" w:asciiTheme="minorEastAsia" w:hAnsiTheme="minorEastAsia" w:eastAsiaTheme="minorEastAsia" w:cstheme="minorEastAsia"/>
          <w:sz w:val="36"/>
        </w:rPr>
      </w:pPr>
    </w:p>
    <w:p w14:paraId="12E17846">
      <w:pPr>
        <w:tabs>
          <w:tab w:val="left" w:pos="3585"/>
        </w:tabs>
        <w:spacing w:after="156" w:afterLines="50"/>
        <w:jc w:val="center"/>
        <w:rPr>
          <w:sz w:val="30"/>
          <w:szCs w:val="30"/>
        </w:rPr>
      </w:pPr>
      <w:r>
        <w:rPr>
          <w:rFonts w:hint="eastAsia" w:asciiTheme="minorEastAsia" w:hAnsiTheme="minorEastAsia" w:eastAsiaTheme="minorEastAsia" w:cstheme="minorEastAsia"/>
          <w:sz w:val="32"/>
          <w:szCs w:val="32"/>
        </w:rPr>
        <w:t>项目名称：</w:t>
      </w:r>
      <w:r>
        <w:rPr>
          <w:rFonts w:asciiTheme="minorEastAsia" w:hAnsiTheme="minorEastAsia" w:eastAsiaTheme="minorEastAsia" w:cstheme="minorEastAsia"/>
          <w:sz w:val="32"/>
          <w:szCs w:val="32"/>
        </w:rPr>
        <w:t>湖北考古博物馆展厅维修改造项目</w:t>
      </w:r>
    </w:p>
    <w:p w14:paraId="6ECFE0F4">
      <w:pPr>
        <w:jc w:val="center"/>
        <w:rPr>
          <w:rFonts w:hint="eastAsia" w:asciiTheme="minorEastAsia" w:hAnsiTheme="minorEastAsia" w:eastAsiaTheme="minorEastAsia" w:cstheme="minorEastAsia"/>
          <w:sz w:val="32"/>
          <w:szCs w:val="32"/>
        </w:rPr>
      </w:pPr>
    </w:p>
    <w:p w14:paraId="37F5F471">
      <w:pPr>
        <w:jc w:val="center"/>
        <w:rPr>
          <w:sz w:val="30"/>
          <w:szCs w:val="30"/>
        </w:rPr>
      </w:pPr>
      <w:r>
        <w:rPr>
          <w:rFonts w:hint="eastAsia" w:asciiTheme="minorEastAsia" w:hAnsiTheme="minorEastAsia" w:eastAsiaTheme="minorEastAsia" w:cstheme="minorEastAsia"/>
          <w:sz w:val="32"/>
          <w:szCs w:val="32"/>
        </w:rPr>
        <w:t>谈判内容：</w:t>
      </w:r>
      <w:r>
        <w:rPr>
          <w:rFonts w:asciiTheme="minorEastAsia" w:hAnsiTheme="minorEastAsia" w:eastAsiaTheme="minorEastAsia" w:cstheme="minorEastAsia"/>
          <w:sz w:val="32"/>
          <w:szCs w:val="32"/>
        </w:rPr>
        <w:t>湖北考古博物馆展厅维修改造</w:t>
      </w:r>
    </w:p>
    <w:p w14:paraId="71AF5A01">
      <w:pPr>
        <w:spacing w:line="480" w:lineRule="auto"/>
        <w:ind w:firstLine="640" w:firstLineChars="200"/>
        <w:rPr>
          <w:rFonts w:hint="eastAsia" w:asciiTheme="minorEastAsia" w:hAnsiTheme="minorEastAsia" w:eastAsiaTheme="minorEastAsia" w:cstheme="minorEastAsia"/>
          <w:sz w:val="32"/>
          <w:szCs w:val="32"/>
          <w:highlight w:val="red"/>
        </w:rPr>
      </w:pPr>
    </w:p>
    <w:p w14:paraId="6F1CD916">
      <w:pPr>
        <w:tabs>
          <w:tab w:val="left" w:pos="2625"/>
        </w:tabs>
        <w:spacing w:line="480" w:lineRule="auto"/>
        <w:jc w:val="center"/>
        <w:rPr>
          <w:rFonts w:hint="eastAsia" w:asciiTheme="minorEastAsia" w:hAnsiTheme="minorEastAsia" w:eastAsiaTheme="minorEastAsia" w:cstheme="minorEastAsia"/>
          <w:sz w:val="32"/>
          <w:highlight w:val="red"/>
        </w:rPr>
      </w:pPr>
    </w:p>
    <w:p w14:paraId="40C12398">
      <w:pPr>
        <w:tabs>
          <w:tab w:val="left" w:pos="2625"/>
        </w:tabs>
        <w:spacing w:line="520" w:lineRule="exact"/>
        <w:jc w:val="center"/>
        <w:rPr>
          <w:rFonts w:hint="eastAsia" w:asciiTheme="minorEastAsia" w:hAnsiTheme="minorEastAsia" w:eastAsiaTheme="minorEastAsia" w:cstheme="minorEastAsia"/>
          <w:sz w:val="32"/>
        </w:rPr>
      </w:pPr>
    </w:p>
    <w:p w14:paraId="4C7F48C6">
      <w:pPr>
        <w:tabs>
          <w:tab w:val="left" w:pos="2625"/>
        </w:tabs>
        <w:spacing w:line="520" w:lineRule="exact"/>
        <w:jc w:val="center"/>
        <w:rPr>
          <w:rFonts w:hint="eastAsia" w:asciiTheme="minorEastAsia" w:hAnsiTheme="minorEastAsia" w:eastAsiaTheme="minorEastAsia" w:cstheme="minorEastAsia"/>
          <w:sz w:val="32"/>
        </w:rPr>
      </w:pPr>
    </w:p>
    <w:p w14:paraId="4A17A381">
      <w:pPr>
        <w:tabs>
          <w:tab w:val="left" w:pos="2625"/>
        </w:tabs>
        <w:spacing w:line="520" w:lineRule="exact"/>
        <w:jc w:val="center"/>
        <w:rPr>
          <w:rFonts w:hint="eastAsia" w:asciiTheme="minorEastAsia" w:hAnsiTheme="minorEastAsia" w:eastAsiaTheme="minorEastAsia" w:cstheme="minorEastAsia"/>
          <w:sz w:val="36"/>
        </w:rPr>
      </w:pPr>
    </w:p>
    <w:p w14:paraId="07E861F6">
      <w:pPr>
        <w:tabs>
          <w:tab w:val="left" w:pos="2625"/>
        </w:tabs>
        <w:spacing w:line="520" w:lineRule="exact"/>
        <w:jc w:val="center"/>
        <w:rPr>
          <w:rFonts w:hint="eastAsia" w:asciiTheme="minorEastAsia" w:hAnsiTheme="minorEastAsia" w:eastAsiaTheme="minorEastAsia" w:cstheme="minorEastAsia"/>
          <w:sz w:val="36"/>
        </w:rPr>
      </w:pPr>
    </w:p>
    <w:p w14:paraId="7902C287">
      <w:pPr>
        <w:tabs>
          <w:tab w:val="left" w:pos="2625"/>
        </w:tabs>
        <w:spacing w:line="520" w:lineRule="exact"/>
        <w:rPr>
          <w:rFonts w:hint="eastAsia" w:asciiTheme="minorEastAsia" w:hAnsiTheme="minorEastAsia" w:eastAsiaTheme="minorEastAsia" w:cstheme="minorEastAsia"/>
          <w:sz w:val="36"/>
          <w:highlight w:val="red"/>
        </w:rPr>
      </w:pPr>
    </w:p>
    <w:p w14:paraId="79ED9CAA">
      <w:pPr>
        <w:spacing w:line="520" w:lineRule="exact"/>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湖北省文物考古研究院（湖北考古博物馆）</w:t>
      </w:r>
    </w:p>
    <w:p w14:paraId="2BA02E0E">
      <w:pPr>
        <w:spacing w:line="520" w:lineRule="exact"/>
        <w:jc w:val="center"/>
        <w:rPr>
          <w:rFonts w:hint="eastAsia" w:asciiTheme="minorEastAsia" w:hAnsiTheme="minorEastAsia" w:eastAsiaTheme="minorEastAsia" w:cstheme="minorEastAsia"/>
          <w:sz w:val="32"/>
          <w:szCs w:val="32"/>
        </w:rPr>
        <w:sectPr>
          <w:footerReference r:id="rId3" w:type="default"/>
          <w:footerReference r:id="rId4" w:type="even"/>
          <w:pgSz w:w="11906" w:h="16838"/>
          <w:pgMar w:top="1440" w:right="1800" w:bottom="1440" w:left="1800" w:header="851" w:footer="992" w:gutter="0"/>
          <w:cols w:space="425" w:num="1"/>
          <w:titlePg/>
          <w:docGrid w:type="lines" w:linePitch="312" w:charSpace="0"/>
        </w:sectPr>
      </w:pPr>
      <w:r>
        <w:rPr>
          <w:rFonts w:hint="eastAsia" w:asciiTheme="minorEastAsia" w:hAnsiTheme="minorEastAsia" w:eastAsiaTheme="minorEastAsia" w:cstheme="minorEastAsia"/>
          <w:sz w:val="32"/>
          <w:szCs w:val="32"/>
        </w:rPr>
        <w:t>2026年10月</w:t>
      </w:r>
    </w:p>
    <w:p w14:paraId="3B139226">
      <w:pPr>
        <w:jc w:val="center"/>
        <w:rPr>
          <w:rFonts w:hint="eastAsia" w:asciiTheme="minorEastAsia" w:hAnsiTheme="minorEastAsia" w:eastAsiaTheme="minorEastAsia" w:cstheme="minorEastAsia"/>
          <w:sz w:val="36"/>
          <w:szCs w:val="36"/>
        </w:rPr>
      </w:pPr>
    </w:p>
    <w:p w14:paraId="78DA8515">
      <w:pPr>
        <w:jc w:val="cente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目  录</w:t>
      </w:r>
    </w:p>
    <w:p w14:paraId="72306931">
      <w:pPr>
        <w:rPr>
          <w:rFonts w:hint="eastAsia" w:asciiTheme="minorEastAsia" w:hAnsiTheme="minorEastAsia" w:eastAsiaTheme="minorEastAsia" w:cstheme="minorEastAsia"/>
          <w:sz w:val="44"/>
          <w:szCs w:val="44"/>
        </w:rPr>
      </w:pPr>
    </w:p>
    <w:p w14:paraId="464072AA">
      <w:pPr>
        <w:spacing w:line="48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第一章  谈判邀请函</w:t>
      </w:r>
    </w:p>
    <w:p w14:paraId="317BB2F5">
      <w:pPr>
        <w:spacing w:line="48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第二章  谈判须知</w:t>
      </w:r>
    </w:p>
    <w:p w14:paraId="718D3A9E">
      <w:pPr>
        <w:spacing w:line="48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第三章  采购需求</w:t>
      </w:r>
    </w:p>
    <w:p w14:paraId="520EA287">
      <w:pPr>
        <w:spacing w:line="48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第四章  合同书（格式）</w:t>
      </w:r>
    </w:p>
    <w:p w14:paraId="167DFAE0">
      <w:pPr>
        <w:spacing w:line="480" w:lineRule="auto"/>
        <w:rPr>
          <w:rFonts w:hint="eastAsia" w:asciiTheme="minorEastAsia" w:hAnsiTheme="minorEastAsia" w:eastAsiaTheme="minorEastAsia" w:cstheme="minorEastAsia"/>
        </w:rPr>
        <w:sectPr>
          <w:headerReference r:id="rId5" w:type="default"/>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rPr>
        <w:t>第五章  响应文件格式</w:t>
      </w:r>
    </w:p>
    <w:p w14:paraId="7A0E1114">
      <w:pPr>
        <w:spacing w:line="500" w:lineRule="exact"/>
        <w:jc w:val="cente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第一章  谈判邀请函</w:t>
      </w:r>
    </w:p>
    <w:p w14:paraId="08B224D4">
      <w:pPr>
        <w:spacing w:line="500" w:lineRule="exact"/>
        <w:rPr>
          <w:rFonts w:hint="eastAsia" w:asciiTheme="minorEastAsia" w:hAnsiTheme="minorEastAsia" w:eastAsiaTheme="minorEastAsia" w:cstheme="minorEastAsia"/>
          <w:sz w:val="24"/>
        </w:rPr>
      </w:pPr>
    </w:p>
    <w:p w14:paraId="353B9688">
      <w:pPr>
        <w:spacing w:line="5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受邀请供应商：</w:t>
      </w:r>
    </w:p>
    <w:p w14:paraId="4A0ABE1E">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谈判小组确定你公司为（湖北考古博物馆展厅维修改造项目）的谈判供应商，现邀请你公司参加谈判。</w:t>
      </w:r>
    </w:p>
    <w:p w14:paraId="53E5653B">
      <w:pPr>
        <w:tabs>
          <w:tab w:val="left" w:pos="3585"/>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一、项目名称：湖北考古博物馆展厅维修改造项目</w:t>
      </w:r>
    </w:p>
    <w:p w14:paraId="131CB540">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二、谈判内容：湖北考古博物馆展厅维修改造</w:t>
      </w:r>
    </w:p>
    <w:p w14:paraId="4F621970">
      <w:pPr>
        <w:tabs>
          <w:tab w:val="right" w:pos="8306"/>
        </w:tabs>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三、采购预算：</w:t>
      </w:r>
      <w:r>
        <w:rPr>
          <w:rFonts w:hint="eastAsia" w:asciiTheme="minorEastAsia" w:hAnsiTheme="minorEastAsia" w:eastAsiaTheme="minorEastAsia" w:cstheme="minorEastAsia"/>
          <w:sz w:val="24"/>
          <w:lang w:val="en-US" w:eastAsia="zh-CN"/>
        </w:rPr>
        <w:t>112999.61</w:t>
      </w:r>
      <w:r>
        <w:rPr>
          <w:rFonts w:asciiTheme="minorEastAsia" w:hAnsiTheme="minorEastAsia" w:eastAsiaTheme="minorEastAsia" w:cstheme="minorEastAsia"/>
          <w:sz w:val="24"/>
        </w:rPr>
        <w:t>元</w:t>
      </w:r>
    </w:p>
    <w:p w14:paraId="0176B894">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四、供应商资格条件：详见《供应商须知前附表》。</w:t>
      </w:r>
    </w:p>
    <w:p w14:paraId="4293C5E8">
      <w:pPr>
        <w:spacing w:line="440" w:lineRule="exact"/>
        <w:ind w:firstLine="480"/>
        <w:outlineLvl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五、竞争性谈判文件的获得</w:t>
      </w:r>
    </w:p>
    <w:p w14:paraId="3A1C1B57">
      <w:pPr>
        <w:spacing w:line="440" w:lineRule="exact"/>
        <w:ind w:firstLine="48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sz w:val="24"/>
        </w:rPr>
        <w:t>（一）获取时间：</w:t>
      </w:r>
      <w:r>
        <w:rPr>
          <w:rFonts w:hint="eastAsia" w:asciiTheme="minorEastAsia" w:hAnsiTheme="minorEastAsia" w:eastAsiaTheme="minorEastAsia" w:cstheme="minorEastAsia"/>
          <w:color w:val="auto"/>
          <w:sz w:val="24"/>
          <w:highlight w:val="none"/>
        </w:rPr>
        <w:t>2026年10月</w:t>
      </w:r>
      <w:r>
        <w:rPr>
          <w:rFonts w:hint="eastAsia" w:asciiTheme="minorEastAsia" w:hAnsiTheme="minorEastAsia" w:eastAsiaTheme="minorEastAsia" w:cstheme="minorEastAsia"/>
          <w:color w:val="auto"/>
          <w:sz w:val="24"/>
          <w:highlight w:val="none"/>
          <w:lang w:val="en-US" w:eastAsia="zh-CN"/>
        </w:rPr>
        <w:t>23</w:t>
      </w:r>
      <w:r>
        <w:rPr>
          <w:rFonts w:hint="eastAsia" w:asciiTheme="minorEastAsia" w:hAnsiTheme="minorEastAsia" w:eastAsiaTheme="minorEastAsia" w:cstheme="minorEastAsia"/>
          <w:color w:val="auto"/>
          <w:sz w:val="24"/>
          <w:highlight w:val="none"/>
        </w:rPr>
        <w:t>日</w:t>
      </w:r>
      <w:r>
        <w:rPr>
          <w:rFonts w:hint="eastAsia" w:asciiTheme="minorEastAsia" w:hAnsiTheme="minorEastAsia" w:eastAsiaTheme="minorEastAsia" w:cstheme="minorEastAsia"/>
          <w:color w:val="auto"/>
          <w:sz w:val="24"/>
          <w:highlight w:val="none"/>
          <w:lang w:eastAsia="zh-CN"/>
        </w:rPr>
        <w:t>（工作时间）</w:t>
      </w:r>
      <w:r>
        <w:rPr>
          <w:rFonts w:hint="eastAsia" w:asciiTheme="minorEastAsia" w:hAnsiTheme="minorEastAsia" w:eastAsiaTheme="minorEastAsia" w:cstheme="minorEastAsia"/>
          <w:color w:val="auto"/>
          <w:sz w:val="24"/>
          <w:highlight w:val="none"/>
        </w:rPr>
        <w:t>。</w:t>
      </w:r>
    </w:p>
    <w:p w14:paraId="6351B78A">
      <w:pPr>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（二）领取方式：湖北省文物考古研究院（湖北考古博物馆）官网上获取。</w:t>
      </w:r>
    </w:p>
    <w:p w14:paraId="50FB084B">
      <w:pPr>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六、递交响应文件截止时间和谈判时间：详见《供应商须知前附表》。</w:t>
      </w:r>
    </w:p>
    <w:p w14:paraId="4979F2F2">
      <w:pPr>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七、响应文件送达地点：详见《供应商须知前附表》。</w:t>
      </w:r>
    </w:p>
    <w:p w14:paraId="666A159D">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八、联系方式：详见《供应商须知前附表》。</w:t>
      </w:r>
    </w:p>
    <w:p w14:paraId="0ECC10DD">
      <w:pPr>
        <w:spacing w:line="440" w:lineRule="exact"/>
        <w:rPr>
          <w:rFonts w:hint="eastAsia" w:asciiTheme="minorEastAsia" w:hAnsiTheme="minorEastAsia" w:eastAsiaTheme="minorEastAsia" w:cstheme="minorEastAsia"/>
          <w:sz w:val="24"/>
        </w:rPr>
      </w:pPr>
    </w:p>
    <w:p w14:paraId="45AFA62F">
      <w:pPr>
        <w:spacing w:line="440" w:lineRule="exact"/>
        <w:rPr>
          <w:rFonts w:hint="eastAsia" w:asciiTheme="minorEastAsia" w:hAnsiTheme="minorEastAsia" w:eastAsiaTheme="minorEastAsia" w:cstheme="minorEastAsia"/>
          <w:sz w:val="24"/>
        </w:rPr>
      </w:pPr>
    </w:p>
    <w:p w14:paraId="7E871FE1">
      <w:pPr>
        <w:spacing w:line="440" w:lineRule="exact"/>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kern w:val="0"/>
          <w:sz w:val="24"/>
        </w:rPr>
        <w:t xml:space="preserve">                               湖北省文物考古研究院（湖北考古博物馆）</w:t>
      </w:r>
    </w:p>
    <w:p w14:paraId="20DEED88">
      <w:pPr>
        <w:spacing w:line="440" w:lineRule="exact"/>
        <w:ind w:firstLine="6240" w:firstLineChars="2600"/>
        <w:outlineLvl w:val="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rPr>
        <w:t>2026年</w:t>
      </w:r>
      <w:r>
        <w:rPr>
          <w:rFonts w:hint="eastAsia" w:asciiTheme="minorEastAsia" w:hAnsiTheme="minorEastAsia" w:eastAsiaTheme="minorEastAsia" w:cstheme="minorEastAsia"/>
          <w:sz w:val="24"/>
          <w:highlight w:val="none"/>
        </w:rPr>
        <w:t xml:space="preserve">10月 </w:t>
      </w:r>
      <w:r>
        <w:rPr>
          <w:rFonts w:hint="eastAsia" w:asciiTheme="minorEastAsia" w:hAnsiTheme="minorEastAsia" w:eastAsiaTheme="minorEastAsia" w:cstheme="minorEastAsia"/>
          <w:sz w:val="24"/>
          <w:highlight w:val="none"/>
          <w:lang w:val="en-US" w:eastAsia="zh-CN"/>
        </w:rPr>
        <w:t>23</w:t>
      </w:r>
      <w:r>
        <w:rPr>
          <w:rFonts w:hint="eastAsia" w:asciiTheme="minorEastAsia" w:hAnsiTheme="minorEastAsia" w:eastAsiaTheme="minorEastAsia" w:cstheme="minorEastAsia"/>
          <w:sz w:val="24"/>
          <w:highlight w:val="none"/>
        </w:rPr>
        <w:t>日</w:t>
      </w:r>
    </w:p>
    <w:p w14:paraId="42686FC9">
      <w:pPr>
        <w:widowControl/>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p>
    <w:p w14:paraId="400E3B94">
      <w:pPr>
        <w:adjustRightInd w:val="0"/>
        <w:snapToGrid w:val="0"/>
        <w:ind w:left="-145" w:leftChars="-52" w:right="-196" w:rightChars="-70" w:firstLine="1"/>
        <w:jc w:val="center"/>
        <w:outlineLvl w:val="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 w:val="36"/>
          <w:szCs w:val="36"/>
        </w:rPr>
        <w:t>第二章  谈判须知</w:t>
      </w:r>
    </w:p>
    <w:p w14:paraId="7D106106">
      <w:pPr>
        <w:jc w:val="center"/>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一、供应商须知前附表</w:t>
      </w:r>
    </w:p>
    <w:tbl>
      <w:tblPr>
        <w:tblStyle w:val="28"/>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6AFA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8670F39">
            <w:pPr>
              <w:ind w:left="1" w:leftChars="-50" w:right="-106" w:rightChars="-38" w:hanging="141" w:hangingChars="59"/>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条款号</w:t>
            </w:r>
          </w:p>
        </w:tc>
        <w:tc>
          <w:tcPr>
            <w:tcW w:w="1277" w:type="dxa"/>
            <w:vAlign w:val="center"/>
          </w:tcPr>
          <w:p w14:paraId="24BFFB37">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名称</w:t>
            </w:r>
          </w:p>
        </w:tc>
        <w:tc>
          <w:tcPr>
            <w:tcW w:w="6429" w:type="dxa"/>
            <w:vAlign w:val="center"/>
          </w:tcPr>
          <w:p w14:paraId="74152A0B">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内容</w:t>
            </w:r>
          </w:p>
        </w:tc>
      </w:tr>
      <w:tr w14:paraId="4547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14:paraId="36E15BE5">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1.1</w:t>
            </w:r>
          </w:p>
        </w:tc>
        <w:tc>
          <w:tcPr>
            <w:tcW w:w="1277" w:type="dxa"/>
            <w:vAlign w:val="center"/>
          </w:tcPr>
          <w:p w14:paraId="7E8F1FA7">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项目名称</w:t>
            </w:r>
          </w:p>
        </w:tc>
        <w:tc>
          <w:tcPr>
            <w:tcW w:w="6429" w:type="dxa"/>
            <w:vAlign w:val="center"/>
          </w:tcPr>
          <w:p w14:paraId="53BE441A">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sz w:val="24"/>
              </w:rPr>
              <w:t>湖北考古博物馆展厅维修改造项目</w:t>
            </w:r>
          </w:p>
        </w:tc>
      </w:tr>
      <w:tr w14:paraId="3DD7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5FFF161F">
            <w:pPr>
              <w:jc w:val="center"/>
              <w:rPr>
                <w:rFonts w:hint="eastAsia" w:asciiTheme="minorEastAsia" w:hAnsiTheme="minorEastAsia" w:eastAsiaTheme="minorEastAsia" w:cstheme="minorEastAsia"/>
                <w:kern w:val="0"/>
                <w:sz w:val="24"/>
              </w:rPr>
            </w:pPr>
          </w:p>
        </w:tc>
        <w:tc>
          <w:tcPr>
            <w:tcW w:w="1277" w:type="dxa"/>
            <w:vAlign w:val="center"/>
          </w:tcPr>
          <w:p w14:paraId="5800991F">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采购内容</w:t>
            </w:r>
          </w:p>
        </w:tc>
        <w:tc>
          <w:tcPr>
            <w:tcW w:w="6429" w:type="dxa"/>
            <w:vAlign w:val="center"/>
          </w:tcPr>
          <w:p w14:paraId="29FF2FC0">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sz w:val="24"/>
              </w:rPr>
              <w:t>湖北考古博物馆展厅维修改造项目</w:t>
            </w:r>
          </w:p>
        </w:tc>
      </w:tr>
      <w:tr w14:paraId="30571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6" w:type="dxa"/>
            <w:vMerge w:val="continue"/>
            <w:vAlign w:val="center"/>
          </w:tcPr>
          <w:p w14:paraId="15D728F2">
            <w:pPr>
              <w:jc w:val="center"/>
              <w:rPr>
                <w:rFonts w:hint="eastAsia" w:asciiTheme="minorEastAsia" w:hAnsiTheme="minorEastAsia" w:eastAsiaTheme="minorEastAsia" w:cstheme="minorEastAsia"/>
                <w:kern w:val="0"/>
                <w:sz w:val="24"/>
              </w:rPr>
            </w:pPr>
          </w:p>
        </w:tc>
        <w:tc>
          <w:tcPr>
            <w:tcW w:w="1277" w:type="dxa"/>
            <w:vAlign w:val="center"/>
          </w:tcPr>
          <w:p w14:paraId="7A4A8AED">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采购预算</w:t>
            </w:r>
          </w:p>
        </w:tc>
        <w:tc>
          <w:tcPr>
            <w:tcW w:w="6429" w:type="dxa"/>
            <w:vAlign w:val="center"/>
          </w:tcPr>
          <w:p w14:paraId="18C09D16">
            <w:pPr>
              <w:tabs>
                <w:tab w:val="right" w:pos="8306"/>
              </w:tabs>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szCs w:val="28"/>
              </w:rPr>
              <w:t xml:space="preserve"> </w:t>
            </w:r>
            <w:r>
              <w:rPr>
                <w:rFonts w:hint="eastAsia" w:asciiTheme="minorEastAsia" w:hAnsiTheme="minorEastAsia" w:eastAsiaTheme="minorEastAsia" w:cstheme="minorEastAsia"/>
                <w:sz w:val="24"/>
                <w:lang w:val="en-US" w:eastAsia="zh-CN"/>
              </w:rPr>
              <w:t>112999.61</w:t>
            </w:r>
            <w:r>
              <w:rPr>
                <w:rFonts w:hint="eastAsia" w:asciiTheme="minorEastAsia" w:hAnsiTheme="minorEastAsia" w:eastAsiaTheme="minorEastAsia" w:cstheme="minorEastAsia"/>
                <w:sz w:val="24"/>
              </w:rPr>
              <w:t>元</w:t>
            </w:r>
          </w:p>
        </w:tc>
      </w:tr>
      <w:tr w14:paraId="7AA6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816" w:type="dxa"/>
            <w:vMerge w:val="continue"/>
            <w:vAlign w:val="center"/>
          </w:tcPr>
          <w:p w14:paraId="187C17C8">
            <w:pPr>
              <w:jc w:val="center"/>
              <w:rPr>
                <w:rFonts w:hint="eastAsia" w:asciiTheme="minorEastAsia" w:hAnsiTheme="minorEastAsia" w:eastAsiaTheme="minorEastAsia" w:cstheme="minorEastAsia"/>
                <w:kern w:val="0"/>
                <w:sz w:val="24"/>
              </w:rPr>
            </w:pPr>
          </w:p>
        </w:tc>
        <w:tc>
          <w:tcPr>
            <w:tcW w:w="1277" w:type="dxa"/>
            <w:vAlign w:val="center"/>
          </w:tcPr>
          <w:p w14:paraId="6BA91A29">
            <w:pPr>
              <w:rPr>
                <w:rFonts w:hint="eastAsia" w:asciiTheme="minorEastAsia" w:hAnsiTheme="minorEastAsia" w:eastAsiaTheme="minorEastAsia" w:cstheme="minorEastAsia"/>
                <w:strike/>
                <w:kern w:val="0"/>
                <w:sz w:val="24"/>
              </w:rPr>
            </w:pPr>
            <w:r>
              <w:rPr>
                <w:rFonts w:hint="eastAsia" w:asciiTheme="minorEastAsia" w:hAnsiTheme="minorEastAsia" w:eastAsiaTheme="minorEastAsia" w:cstheme="minorEastAsia"/>
                <w:kern w:val="0"/>
                <w:sz w:val="24"/>
              </w:rPr>
              <w:t>采购人</w:t>
            </w:r>
          </w:p>
        </w:tc>
        <w:tc>
          <w:tcPr>
            <w:tcW w:w="6429" w:type="dxa"/>
            <w:vAlign w:val="center"/>
          </w:tcPr>
          <w:p w14:paraId="515D942D">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名称：湖北省文物考古研究院（湖北考古博物馆）</w:t>
            </w:r>
          </w:p>
          <w:p w14:paraId="0E0A50CD">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联系人：孟佳倩</w:t>
            </w:r>
            <w:r>
              <w:rPr>
                <w:rFonts w:hint="eastAsia" w:asciiTheme="minorEastAsia" w:hAnsiTheme="minorEastAsia" w:eastAsiaTheme="minorEastAsia" w:cstheme="minorEastAsia"/>
                <w:kern w:val="0"/>
                <w:sz w:val="24"/>
              </w:rPr>
              <w:fldChar w:fldCharType="begin"/>
            </w:r>
            <w:r>
              <w:rPr>
                <w:rFonts w:hint="eastAsia" w:asciiTheme="minorEastAsia" w:hAnsiTheme="minorEastAsia" w:eastAsiaTheme="minorEastAsia" w:cstheme="minorEastAsia"/>
                <w:kern w:val="0"/>
                <w:sz w:val="24"/>
              </w:rPr>
              <w:instrText xml:space="preserve">&lt;MK&gt;buyers.ownerlinkman &lt;/MK&gt;</w:instrText>
            </w:r>
            <w:r>
              <w:rPr>
                <w:rFonts w:hint="eastAsia" w:asciiTheme="minorEastAsia" w:hAnsiTheme="minorEastAsia" w:eastAsiaTheme="minorEastAsia" w:cstheme="minorEastAsia"/>
                <w:kern w:val="0"/>
                <w:sz w:val="24"/>
              </w:rPr>
              <w:fldChar w:fldCharType="end"/>
            </w:r>
          </w:p>
          <w:p w14:paraId="3CCA82C4">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联系方式：027-86786266</w:t>
            </w:r>
          </w:p>
          <w:p w14:paraId="40077F2E">
            <w:pPr>
              <w:rPr>
                <w:rFonts w:hint="eastAsia" w:asciiTheme="minorEastAsia" w:hAnsiTheme="minorEastAsia" w:eastAsiaTheme="minorEastAsia" w:cstheme="minorEastAsia"/>
                <w:strike/>
                <w:kern w:val="0"/>
                <w:sz w:val="24"/>
              </w:rPr>
            </w:pPr>
            <w:r>
              <w:rPr>
                <w:rFonts w:hint="eastAsia" w:asciiTheme="minorEastAsia" w:hAnsiTheme="minorEastAsia" w:eastAsiaTheme="minorEastAsia" w:cstheme="minorEastAsia"/>
                <w:kern w:val="0"/>
                <w:sz w:val="24"/>
              </w:rPr>
              <w:t>地址：武汉市武昌区东湖路167号</w:t>
            </w:r>
          </w:p>
        </w:tc>
      </w:tr>
      <w:tr w14:paraId="58372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06101CC">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2.1</w:t>
            </w:r>
          </w:p>
        </w:tc>
        <w:tc>
          <w:tcPr>
            <w:tcW w:w="1277" w:type="dxa"/>
            <w:vAlign w:val="center"/>
          </w:tcPr>
          <w:p w14:paraId="548ED3BD">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供应商</w:t>
            </w:r>
          </w:p>
        </w:tc>
        <w:tc>
          <w:tcPr>
            <w:tcW w:w="6429" w:type="dxa"/>
            <w:vAlign w:val="center"/>
          </w:tcPr>
          <w:p w14:paraId="065DD168">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谈判小组从公开征集的供应商名单中确定不少于三家符合本项目资格条件要求的供应商参加谈判。</w:t>
            </w:r>
          </w:p>
        </w:tc>
      </w:tr>
      <w:tr w14:paraId="720F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5771876F">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2.2</w:t>
            </w:r>
          </w:p>
        </w:tc>
        <w:tc>
          <w:tcPr>
            <w:tcW w:w="1277" w:type="dxa"/>
            <w:vAlign w:val="center"/>
          </w:tcPr>
          <w:p w14:paraId="3965976C">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供应商资格条件</w:t>
            </w:r>
          </w:p>
        </w:tc>
        <w:tc>
          <w:tcPr>
            <w:tcW w:w="6429" w:type="dxa"/>
            <w:vAlign w:val="center"/>
          </w:tcPr>
          <w:p w14:paraId="096EEBDF">
            <w:pPr>
              <w:ind w:left="600" w:hanging="600" w:hangingChars="250"/>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（1）应具备《中华人民共和国政府采购法》第二十二条第一款规定的条件。</w:t>
            </w:r>
          </w:p>
          <w:p w14:paraId="7F5B711F">
            <w:pPr>
              <w:ind w:left="600" w:hanging="600" w:hangingChars="250"/>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（2）未被列入“信用中国”网站（www.creditchina.gov.cn）失信被执行人、重大税收违法案件当事人名单、政府采购严重违法失信行为记录名单。</w:t>
            </w:r>
          </w:p>
        </w:tc>
      </w:tr>
      <w:tr w14:paraId="44D6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5E301D22">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3</w:t>
            </w:r>
          </w:p>
        </w:tc>
        <w:tc>
          <w:tcPr>
            <w:tcW w:w="1277" w:type="dxa"/>
            <w:vAlign w:val="center"/>
          </w:tcPr>
          <w:p w14:paraId="76DA8587">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sz w:val="24"/>
              </w:rPr>
              <w:t>其他资格证明文件及资料</w:t>
            </w:r>
          </w:p>
        </w:tc>
        <w:tc>
          <w:tcPr>
            <w:tcW w:w="6429" w:type="dxa"/>
            <w:vAlign w:val="center"/>
          </w:tcPr>
          <w:p w14:paraId="384186A0">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无</w:t>
            </w:r>
          </w:p>
        </w:tc>
      </w:tr>
      <w:tr w14:paraId="30E8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816" w:type="dxa"/>
            <w:vAlign w:val="center"/>
          </w:tcPr>
          <w:p w14:paraId="75362789">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4</w:t>
            </w:r>
          </w:p>
        </w:tc>
        <w:tc>
          <w:tcPr>
            <w:tcW w:w="1277" w:type="dxa"/>
            <w:vAlign w:val="center"/>
          </w:tcPr>
          <w:p w14:paraId="3997B1A0">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响应文件有效期</w:t>
            </w:r>
          </w:p>
        </w:tc>
        <w:tc>
          <w:tcPr>
            <w:tcW w:w="6429" w:type="dxa"/>
            <w:vAlign w:val="center"/>
          </w:tcPr>
          <w:p w14:paraId="0B860E89">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谈判之日算起90日历日内保持有效。</w:t>
            </w:r>
          </w:p>
        </w:tc>
      </w:tr>
      <w:tr w14:paraId="155B9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5C1A08B4">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5</w:t>
            </w:r>
          </w:p>
        </w:tc>
        <w:tc>
          <w:tcPr>
            <w:tcW w:w="1277" w:type="dxa"/>
            <w:vAlign w:val="center"/>
          </w:tcPr>
          <w:p w14:paraId="6DCCC68B">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报价方式</w:t>
            </w:r>
          </w:p>
        </w:tc>
        <w:tc>
          <w:tcPr>
            <w:tcW w:w="6429" w:type="dxa"/>
            <w:vAlign w:val="center"/>
          </w:tcPr>
          <w:p w14:paraId="63E9A493">
            <w:pP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按综合报价方式，即交钥匙工程。</w:t>
            </w:r>
          </w:p>
        </w:tc>
      </w:tr>
      <w:tr w14:paraId="5375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816" w:type="dxa"/>
            <w:vAlign w:val="center"/>
          </w:tcPr>
          <w:p w14:paraId="751A2A3D">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6</w:t>
            </w:r>
          </w:p>
        </w:tc>
        <w:tc>
          <w:tcPr>
            <w:tcW w:w="1277" w:type="dxa"/>
            <w:vAlign w:val="center"/>
          </w:tcPr>
          <w:p w14:paraId="07D3597B">
            <w:pPr>
              <w:pStyle w:val="83"/>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响应文件组成和封装</w:t>
            </w:r>
          </w:p>
        </w:tc>
        <w:tc>
          <w:tcPr>
            <w:tcW w:w="6429" w:type="dxa"/>
            <w:vAlign w:val="center"/>
          </w:tcPr>
          <w:p w14:paraId="521C65C6">
            <w:pPr>
              <w:pStyle w:val="83"/>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（1）正本</w:t>
            </w:r>
            <w:r>
              <w:rPr>
                <w:rFonts w:hint="eastAsia" w:asciiTheme="minorEastAsia" w:hAnsiTheme="minorEastAsia" w:eastAsiaTheme="minorEastAsia" w:cstheme="minorEastAsia"/>
                <w:sz w:val="24"/>
                <w:szCs w:val="24"/>
                <w:u w:val="single"/>
                <w:lang w:val="en-US"/>
              </w:rPr>
              <w:t xml:space="preserve"> 1  </w:t>
            </w:r>
            <w:r>
              <w:rPr>
                <w:rFonts w:hint="eastAsia" w:asciiTheme="minorEastAsia" w:hAnsiTheme="minorEastAsia" w:eastAsiaTheme="minorEastAsia" w:cstheme="minorEastAsia"/>
                <w:sz w:val="24"/>
                <w:szCs w:val="24"/>
                <w:lang w:val="en-US"/>
              </w:rPr>
              <w:t>份，副本</w:t>
            </w:r>
            <w:r>
              <w:rPr>
                <w:rFonts w:hint="eastAsia" w:asciiTheme="minorEastAsia" w:hAnsiTheme="minorEastAsia" w:eastAsiaTheme="minorEastAsia" w:cstheme="minorEastAsia"/>
                <w:sz w:val="24"/>
                <w:szCs w:val="24"/>
                <w:u w:val="single"/>
                <w:lang w:val="en-US"/>
              </w:rPr>
              <w:t xml:space="preserve"> </w:t>
            </w:r>
            <w:r>
              <w:rPr>
                <w:rFonts w:hint="eastAsia" w:asciiTheme="minorEastAsia" w:hAnsiTheme="minorEastAsia" w:eastAsiaTheme="minorEastAsia" w:cstheme="minorEastAsia"/>
                <w:sz w:val="24"/>
                <w:szCs w:val="24"/>
                <w:u w:val="single"/>
                <w:lang w:val="en-US" w:eastAsia="zh-CN"/>
              </w:rPr>
              <w:t>1</w:t>
            </w:r>
            <w:r>
              <w:rPr>
                <w:rFonts w:hint="eastAsia" w:asciiTheme="minorEastAsia" w:hAnsiTheme="minorEastAsia" w:eastAsiaTheme="minorEastAsia" w:cstheme="minorEastAsia"/>
                <w:sz w:val="24"/>
                <w:szCs w:val="24"/>
                <w:u w:val="single"/>
                <w:lang w:val="en-US"/>
              </w:rPr>
              <w:t xml:space="preserve"> </w:t>
            </w:r>
            <w:r>
              <w:rPr>
                <w:rFonts w:hint="eastAsia" w:asciiTheme="minorEastAsia" w:hAnsiTheme="minorEastAsia" w:eastAsiaTheme="minorEastAsia" w:cstheme="minorEastAsia"/>
                <w:sz w:val="24"/>
                <w:szCs w:val="24"/>
                <w:lang w:val="en-US"/>
              </w:rPr>
              <w:t xml:space="preserve">份。 </w:t>
            </w:r>
          </w:p>
          <w:p w14:paraId="26794F92">
            <w:pPr>
              <w:pStyle w:val="83"/>
              <w:ind w:left="614" w:leftChars="5" w:hanging="600" w:hangingChars="250"/>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（2）响应文件装订成册，采用胶装，采用活页装订的响应文件不予受理。</w:t>
            </w:r>
          </w:p>
          <w:p w14:paraId="16EE6A6F">
            <w:pPr>
              <w:pStyle w:val="83"/>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（3）响应文件密封。</w:t>
            </w:r>
          </w:p>
        </w:tc>
      </w:tr>
      <w:tr w14:paraId="4319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D5FE890">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7</w:t>
            </w:r>
          </w:p>
        </w:tc>
        <w:tc>
          <w:tcPr>
            <w:tcW w:w="1277" w:type="dxa"/>
            <w:vAlign w:val="center"/>
          </w:tcPr>
          <w:p w14:paraId="1369BFAC">
            <w:pPr>
              <w:pStyle w:val="83"/>
              <w:ind w:left="-109" w:leftChars="-39" w:right="-106" w:rightChars="-38"/>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响应文件递交截止时间和地点</w:t>
            </w:r>
          </w:p>
        </w:tc>
        <w:tc>
          <w:tcPr>
            <w:tcW w:w="6429" w:type="dxa"/>
            <w:vAlign w:val="center"/>
          </w:tcPr>
          <w:p w14:paraId="5AEAD790">
            <w:pPr>
              <w:pStyle w:val="83"/>
              <w:ind w:left="107"/>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响应文件递交截止时间：</w:t>
            </w:r>
            <w:r>
              <w:rPr>
                <w:rFonts w:hint="eastAsia" w:asciiTheme="minorEastAsia" w:hAnsiTheme="minorEastAsia" w:eastAsiaTheme="minorEastAsia" w:cstheme="minorEastAsia"/>
                <w:sz w:val="24"/>
                <w:szCs w:val="24"/>
                <w:highlight w:val="none"/>
                <w:lang w:val="en-US"/>
              </w:rPr>
              <w:t>2026年10月</w:t>
            </w:r>
            <w:r>
              <w:rPr>
                <w:rFonts w:hint="eastAsia" w:asciiTheme="minorEastAsia" w:hAnsiTheme="minorEastAsia" w:eastAsiaTheme="minorEastAsia" w:cstheme="minorEastAsia"/>
                <w:sz w:val="24"/>
                <w:szCs w:val="24"/>
                <w:highlight w:val="none"/>
                <w:lang w:val="en-US" w:eastAsia="zh-CN"/>
              </w:rPr>
              <w:t>28</w:t>
            </w:r>
            <w:r>
              <w:rPr>
                <w:rFonts w:hint="eastAsia" w:asciiTheme="minorEastAsia" w:hAnsiTheme="minorEastAsia" w:eastAsiaTheme="minorEastAsia" w:cstheme="minorEastAsia"/>
                <w:sz w:val="24"/>
                <w:szCs w:val="24"/>
                <w:highlight w:val="none"/>
                <w:lang w:val="en-US"/>
              </w:rPr>
              <w:t>日9时30分。</w:t>
            </w:r>
          </w:p>
          <w:p w14:paraId="7E5CA459">
            <w:pPr>
              <w:pStyle w:val="83"/>
              <w:spacing w:before="7"/>
              <w:ind w:left="107" w:right="95"/>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响应文件递交地点：</w:t>
            </w:r>
            <w:r>
              <w:rPr>
                <w:rFonts w:hint="eastAsia" w:asciiTheme="minorEastAsia" w:hAnsiTheme="minorEastAsia" w:eastAsiaTheme="minorEastAsia" w:cstheme="minorEastAsia"/>
                <w:sz w:val="24"/>
              </w:rPr>
              <w:t>湖北省文物考古研究院（湖北考古博物馆）</w:t>
            </w:r>
            <w:r>
              <w:rPr>
                <w:rFonts w:hint="eastAsia" w:asciiTheme="minorEastAsia" w:hAnsiTheme="minorEastAsia" w:eastAsiaTheme="minorEastAsia" w:cstheme="minorEastAsia"/>
                <w:sz w:val="24"/>
                <w:szCs w:val="24"/>
                <w:lang w:val="en-US"/>
              </w:rPr>
              <w:t>。</w:t>
            </w:r>
          </w:p>
        </w:tc>
      </w:tr>
      <w:tr w14:paraId="149C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52AF2DE1">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8</w:t>
            </w:r>
          </w:p>
        </w:tc>
        <w:tc>
          <w:tcPr>
            <w:tcW w:w="1277" w:type="dxa"/>
            <w:vAlign w:val="center"/>
          </w:tcPr>
          <w:p w14:paraId="257FFAD7">
            <w:pPr>
              <w:pStyle w:val="83"/>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lang w:val="en-US"/>
              </w:rPr>
              <w:t>谈判时间和地点</w:t>
            </w:r>
          </w:p>
        </w:tc>
        <w:tc>
          <w:tcPr>
            <w:tcW w:w="6429" w:type="dxa"/>
            <w:vAlign w:val="center"/>
          </w:tcPr>
          <w:p w14:paraId="39C6C560">
            <w:pPr>
              <w:pStyle w:val="83"/>
              <w:ind w:left="107"/>
              <w:jc w:val="both"/>
              <w:rPr>
                <w:rFonts w:hint="eastAsia" w:asciiTheme="minorEastAsia" w:hAnsiTheme="minorEastAsia" w:eastAsiaTheme="minorEastAsia" w:cstheme="minorEastAsia"/>
                <w:sz w:val="24"/>
                <w:szCs w:val="24"/>
                <w:highlight w:val="none"/>
                <w:lang w:val="en-US"/>
              </w:rPr>
            </w:pPr>
            <w:r>
              <w:rPr>
                <w:rFonts w:hint="eastAsia" w:asciiTheme="minorEastAsia" w:hAnsiTheme="minorEastAsia" w:eastAsiaTheme="minorEastAsia" w:cstheme="minorEastAsia"/>
                <w:sz w:val="24"/>
                <w:szCs w:val="24"/>
                <w:lang w:val="en-US"/>
              </w:rPr>
              <w:t>谈判时间：</w:t>
            </w:r>
            <w:r>
              <w:rPr>
                <w:rFonts w:hint="eastAsia" w:asciiTheme="minorEastAsia" w:hAnsiTheme="minorEastAsia" w:eastAsiaTheme="minorEastAsia" w:cstheme="minorEastAsia"/>
                <w:sz w:val="24"/>
                <w:szCs w:val="24"/>
                <w:highlight w:val="none"/>
                <w:lang w:val="en-US"/>
              </w:rPr>
              <w:t>2026年10月</w:t>
            </w:r>
            <w:r>
              <w:rPr>
                <w:rFonts w:hint="eastAsia" w:asciiTheme="minorEastAsia" w:hAnsiTheme="minorEastAsia" w:eastAsiaTheme="minorEastAsia" w:cstheme="minorEastAsia"/>
                <w:sz w:val="24"/>
                <w:szCs w:val="24"/>
                <w:highlight w:val="none"/>
                <w:lang w:val="en-US" w:eastAsia="zh-CN"/>
              </w:rPr>
              <w:t>28</w:t>
            </w:r>
            <w:r>
              <w:rPr>
                <w:rFonts w:hint="eastAsia" w:asciiTheme="minorEastAsia" w:hAnsiTheme="minorEastAsia" w:eastAsiaTheme="minorEastAsia" w:cstheme="minorEastAsia"/>
                <w:sz w:val="24"/>
                <w:szCs w:val="24"/>
                <w:highlight w:val="none"/>
                <w:lang w:val="en-US"/>
              </w:rPr>
              <w:t>日9时30分。</w:t>
            </w:r>
          </w:p>
          <w:p w14:paraId="198EC15B">
            <w:pPr>
              <w:pStyle w:val="83"/>
              <w:spacing w:before="7"/>
              <w:ind w:left="107" w:right="96"/>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谈判地点：</w:t>
            </w:r>
            <w:r>
              <w:rPr>
                <w:rFonts w:hint="eastAsia" w:asciiTheme="minorEastAsia" w:hAnsiTheme="minorEastAsia" w:eastAsiaTheme="minorEastAsia" w:cstheme="minorEastAsia"/>
                <w:sz w:val="24"/>
              </w:rPr>
              <w:t>湖北省文物考古研究院</w:t>
            </w:r>
            <w:r>
              <w:rPr>
                <w:rFonts w:hint="eastAsia" w:asciiTheme="minorEastAsia" w:hAnsiTheme="minorEastAsia" w:eastAsiaTheme="minorEastAsia" w:cstheme="minorEastAsia"/>
                <w:sz w:val="24"/>
                <w:szCs w:val="24"/>
                <w:lang w:val="en-US"/>
              </w:rPr>
              <w:t>。</w:t>
            </w:r>
          </w:p>
        </w:tc>
      </w:tr>
      <w:tr w14:paraId="051B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14:paraId="4FFAEC99">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9</w:t>
            </w:r>
          </w:p>
        </w:tc>
        <w:tc>
          <w:tcPr>
            <w:tcW w:w="1277" w:type="dxa"/>
            <w:vAlign w:val="center"/>
          </w:tcPr>
          <w:p w14:paraId="685386B7">
            <w:pPr>
              <w:pStyle w:val="83"/>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谈判小组</w:t>
            </w:r>
          </w:p>
        </w:tc>
        <w:tc>
          <w:tcPr>
            <w:tcW w:w="6429" w:type="dxa"/>
            <w:vAlign w:val="center"/>
          </w:tcPr>
          <w:p w14:paraId="67641237">
            <w:pPr>
              <w:pStyle w:val="83"/>
              <w:ind w:left="107"/>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由采购部门、监察部门、财务部门各安排一人参加。</w:t>
            </w:r>
          </w:p>
        </w:tc>
      </w:tr>
      <w:tr w14:paraId="356F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119CF5A2">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10</w:t>
            </w:r>
          </w:p>
        </w:tc>
        <w:tc>
          <w:tcPr>
            <w:tcW w:w="1277" w:type="dxa"/>
            <w:vAlign w:val="center"/>
          </w:tcPr>
          <w:p w14:paraId="4D88121B">
            <w:pPr>
              <w:pStyle w:val="83"/>
              <w:ind w:left="8"/>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评审办法</w:t>
            </w:r>
          </w:p>
        </w:tc>
        <w:tc>
          <w:tcPr>
            <w:tcW w:w="6429" w:type="dxa"/>
            <w:vAlign w:val="center"/>
          </w:tcPr>
          <w:p w14:paraId="782B6FDF">
            <w:pPr>
              <w:pStyle w:val="83"/>
              <w:ind w:left="107"/>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采购人从谈判小组提出的成交候选人中根据符合采购需求、质量和服务相等且评审价最低的原则确定成交供应商。</w:t>
            </w:r>
          </w:p>
        </w:tc>
      </w:tr>
      <w:tr w14:paraId="68E3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170A01F6">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11</w:t>
            </w:r>
          </w:p>
        </w:tc>
        <w:tc>
          <w:tcPr>
            <w:tcW w:w="1277" w:type="dxa"/>
            <w:vAlign w:val="center"/>
          </w:tcPr>
          <w:p w14:paraId="75F9EA51">
            <w:pPr>
              <w:pStyle w:val="83"/>
              <w:ind w:left="8"/>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公告媒体</w:t>
            </w:r>
          </w:p>
        </w:tc>
        <w:tc>
          <w:tcPr>
            <w:tcW w:w="6429" w:type="dxa"/>
            <w:vAlign w:val="center"/>
          </w:tcPr>
          <w:p w14:paraId="0F9F2F39">
            <w:pPr>
              <w:pStyle w:val="83"/>
              <w:ind w:left="107"/>
              <w:jc w:val="both"/>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rPr>
              <w:t>湖北省文物考古研究院（湖北考古博物馆）</w:t>
            </w:r>
            <w:r>
              <w:rPr>
                <w:rFonts w:hint="eastAsia" w:asciiTheme="minorEastAsia" w:hAnsiTheme="minorEastAsia" w:eastAsiaTheme="minorEastAsia" w:cstheme="minorEastAsia"/>
                <w:sz w:val="24"/>
                <w:szCs w:val="24"/>
                <w:lang w:val="en-US"/>
              </w:rPr>
              <w:t>官网</w:t>
            </w:r>
          </w:p>
        </w:tc>
      </w:tr>
    </w:tbl>
    <w:p w14:paraId="0D4FC333">
      <w:pPr>
        <w:pStyle w:val="3"/>
        <w:numPr>
          <w:ilvl w:val="0"/>
          <w:numId w:val="0"/>
        </w:numPr>
      </w:pPr>
      <w:r>
        <w:rPr>
          <w:rFonts w:hint="eastAsia"/>
        </w:rPr>
        <w:br w:type="page"/>
      </w:r>
    </w:p>
    <w:p w14:paraId="5E527920">
      <w:pPr>
        <w:widowControl/>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30"/>
          <w:szCs w:val="30"/>
        </w:rPr>
        <w:t>二、供应商须知</w:t>
      </w:r>
    </w:p>
    <w:p w14:paraId="1CFDB118">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一、总　则</w:t>
      </w:r>
    </w:p>
    <w:p w14:paraId="4B7FB1D8">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1.适用范围</w:t>
      </w:r>
    </w:p>
    <w:p w14:paraId="7CD69A49">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1.1本文件仅适用于本文件中所叙述的货物、服务类政府采购项目，具体内容见《供应商须知前附表》。</w:t>
      </w:r>
    </w:p>
    <w:p w14:paraId="4FE9D529">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2.定义</w:t>
      </w:r>
    </w:p>
    <w:p w14:paraId="58A35C6F">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2.1“监管部门”是指：详见《供应商须知前附表》。</w:t>
      </w:r>
    </w:p>
    <w:p w14:paraId="0E1E06AA">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2.2“采购人”是指：详见《供应商须知前附表》。</w:t>
      </w:r>
    </w:p>
    <w:p w14:paraId="30F2504C">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2.3“供应商”是指：获得该项目谈判小组确定参加谈判的法人或者其他组织及自然人，确定办法见《供应商须知前附表》。如供应商在本次谈判中成交,即成为“成交供应商”。</w:t>
      </w:r>
    </w:p>
    <w:p w14:paraId="5AFF3159">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2.4“货物”是指：成交供应商按本文件规定，向采购人提供的一切货物及其相关服务。根据《政府采购法》的相关规定均应是本国货物，另有规定的除外。</w:t>
      </w:r>
    </w:p>
    <w:p w14:paraId="0B1516F3">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2.5“服务”是指：成交供应商按本文件规定向采购人提供的所有服务。</w:t>
      </w:r>
    </w:p>
    <w:p w14:paraId="431E262B">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2.6“响应文件”是指：供应商根据本文件要求编制包含价格、技术、服务和合同草案条款等所有内容的文件。</w:t>
      </w:r>
    </w:p>
    <w:p w14:paraId="76AB1ACE">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 供应商的应具备《供应商须知前附表》中所列资格条件,并提供相关证明材料,对于未提供或提供的材料不符合本文件要求的，谈判小组将拒绝其参加谈判。资格证明文件应真实可靠、不得伪造。响应文件正本中提交的资格证明文件为复印件的，应加盖公章。</w:t>
      </w:r>
    </w:p>
    <w:p w14:paraId="1D305337">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 费用</w:t>
      </w:r>
    </w:p>
    <w:p w14:paraId="61F51A8D">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4.1供应商应自行承担所有与编写和提交响应文件有关的费用，不论谈判结果如何，采购人和集中采购机构在任何情况下无义务和责任承担此类费用。</w:t>
      </w:r>
    </w:p>
    <w:p w14:paraId="13088E8F">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4.2采购机构不向成交供应商收取服务费。</w:t>
      </w:r>
    </w:p>
    <w:p w14:paraId="4A51B6AD">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 保密</w:t>
      </w:r>
    </w:p>
    <w:p w14:paraId="3BD9E390">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5.1参与谈判活动的各方应对竞争性谈判文件和响应文件中的商业和技术等秘密保密，违者应对此造成的后果承担法律责任。</w:t>
      </w:r>
    </w:p>
    <w:p w14:paraId="30FBE78D">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 计量单位</w:t>
      </w:r>
    </w:p>
    <w:p w14:paraId="4AEED6B3">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6.1所有计量均采用中华人民共和国法定计量单位。</w:t>
      </w:r>
    </w:p>
    <w:p w14:paraId="47AF7FFF">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 其他</w:t>
      </w:r>
    </w:p>
    <w:p w14:paraId="32CE33DA">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7.1响应文件应完全响应竞争性谈判文件规定的实质性内容和条件。</w:t>
      </w:r>
    </w:p>
    <w:p w14:paraId="2BA80059">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7.2竞争性谈判文件中如有描述歧义或前后不一致的地方，谈判小组有权按公平、合理的原则进行评判，但对同一条款的评判适用于每个供应商。</w:t>
      </w:r>
    </w:p>
    <w:p w14:paraId="67221B1D">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7.3响应文件的响应内容应当真实、明确、准确。否则，谈判小组将对其作出不利的评审。</w:t>
      </w:r>
    </w:p>
    <w:p w14:paraId="22771E00">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7.4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4EC6A025">
      <w:pPr>
        <w:spacing w:line="440" w:lineRule="exact"/>
        <w:ind w:left="420" w:hanging="420"/>
        <w:rPr>
          <w:rFonts w:hint="eastAsia" w:asciiTheme="minorEastAsia" w:hAnsiTheme="minorEastAsia" w:eastAsiaTheme="minorEastAsia" w:cstheme="minorEastAsia"/>
          <w:sz w:val="24"/>
        </w:rPr>
      </w:pPr>
    </w:p>
    <w:p w14:paraId="34FA837C">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二、响应文件的编制</w:t>
      </w:r>
    </w:p>
    <w:p w14:paraId="0992EFF0">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 响应文件编制基本要求</w:t>
      </w:r>
    </w:p>
    <w:p w14:paraId="650B6D07">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8.1响应文件以及与集中采购机构和采购人就有关谈判的所有来往函电均应使用简体中文。</w:t>
      </w:r>
    </w:p>
    <w:p w14:paraId="02629125">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8.2供应商应认真阅读、并充分理解本文件的全部内容（包括所有的补充、修改内容），承诺并履行本文件中各项条款规定及要求。</w:t>
      </w:r>
    </w:p>
    <w:p w14:paraId="1A66E5A0">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8.3响应文件应按本文件的全部内容，包括所有的补充通知及附件进行编制。供应商受邀参加本文件多个包谈判的，其响应文件的编制应按每包要求分别装订和封装。</w:t>
      </w:r>
    </w:p>
    <w:p w14:paraId="7883F2E8">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8.4如因供应商只提供本文件要求的部分内容或附件的，谈判小组有权拒绝其补充和谈判。</w:t>
      </w:r>
    </w:p>
    <w:p w14:paraId="790A9F92">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8.5响应文件的组成</w:t>
      </w:r>
    </w:p>
    <w:p w14:paraId="27989675">
      <w:pPr>
        <w:spacing w:line="440" w:lineRule="exact"/>
        <w:ind w:left="364" w:leftChars="13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不限于以下内容，如未提供，谈判小组有权拒绝其响应文件：</w:t>
      </w:r>
    </w:p>
    <w:p w14:paraId="23D0C811">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1）谈判书(附件1)；</w:t>
      </w:r>
    </w:p>
    <w:p w14:paraId="1B980B8B">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2）报价组成情况表(附件2)；</w:t>
      </w:r>
    </w:p>
    <w:p w14:paraId="32FFA565">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3）货物（服务）清单(附件3)；</w:t>
      </w:r>
    </w:p>
    <w:p w14:paraId="1478DBA0">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4）资格性符合性检查对照表(附件4)；</w:t>
      </w:r>
    </w:p>
    <w:p w14:paraId="7B8E4AFC">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5）技术响应、偏离情况说明表(附件5)；</w:t>
      </w:r>
    </w:p>
    <w:p w14:paraId="1CDF98CA">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6）合同草案条款响应、偏离情况说明表(附件6)；</w:t>
      </w:r>
    </w:p>
    <w:p w14:paraId="48F53EF2">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7）法人（负责人）代表授权书(附件7)；</w:t>
      </w:r>
    </w:p>
    <w:p w14:paraId="037CA149">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8）法人或者其他组织的营业执照等证明文件，自然人的身份证明(附件8)；</w:t>
      </w:r>
    </w:p>
    <w:p w14:paraId="5F44190D">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9）具备履行合同所必需的设备和专业技术能力的证明材料(附件9)；</w:t>
      </w:r>
    </w:p>
    <w:p w14:paraId="5281F604">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10）供应商认为需要提供的其他资格证明文件及资料。</w:t>
      </w:r>
    </w:p>
    <w:p w14:paraId="5EC7DFAD">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8.6按《供应商须知前附表》规定需要提供的其他资格证明文件及资料。</w:t>
      </w:r>
    </w:p>
    <w:p w14:paraId="34DCE317">
      <w:pPr>
        <w:spacing w:line="440" w:lineRule="exact"/>
        <w:rPr>
          <w:rFonts w:hint="eastAsia" w:asciiTheme="minorEastAsia" w:hAnsiTheme="minorEastAsia" w:eastAsiaTheme="minorEastAsia" w:cstheme="minorEastAsia"/>
          <w:sz w:val="24"/>
        </w:rPr>
      </w:pPr>
    </w:p>
    <w:p w14:paraId="1900AAC5">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三、响应文件有效期</w:t>
      </w:r>
    </w:p>
    <w:p w14:paraId="49A410FF">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9. 本项目谈判有效期按《供应商须知前附表》规定的期间内保持有效，在此期间响应文件有效。谈判结束后，在有效期内谈判供应商不得改变谈判报价、服务期及承诺的全部义务。响应文件有效期比本文件规定短的，谈判小组将视响应文件无效予以拒绝。</w:t>
      </w:r>
    </w:p>
    <w:p w14:paraId="362CE0C7">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10. 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72B7F979">
      <w:pPr>
        <w:spacing w:line="440" w:lineRule="exact"/>
        <w:outlineLvl w:val="0"/>
        <w:rPr>
          <w:rFonts w:hint="eastAsia" w:asciiTheme="minorEastAsia" w:hAnsiTheme="minorEastAsia" w:eastAsiaTheme="minorEastAsia" w:cstheme="minorEastAsia"/>
          <w:sz w:val="24"/>
        </w:rPr>
      </w:pPr>
    </w:p>
    <w:p w14:paraId="16EA863A">
      <w:pPr>
        <w:spacing w:line="440" w:lineRule="exact"/>
        <w:outlineLvl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四、报价要求</w:t>
      </w:r>
    </w:p>
    <w:p w14:paraId="3E2C2EDF">
      <w:pPr>
        <w:spacing w:line="440" w:lineRule="exact"/>
        <w:ind w:left="360"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11. 报价以人民币报价。</w:t>
      </w:r>
    </w:p>
    <w:p w14:paraId="400EE5A5">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12.对于本文件中未列明，供应商认为必需的费用也需列入总报价。在合同实施时，采购人将不予支付成交供应商没有列入的项目费用，并认为此项目的费用已包括在总报价中。</w:t>
      </w:r>
    </w:p>
    <w:p w14:paraId="168CD378">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13. 报价方式见《供应商须知前附表》。</w:t>
      </w:r>
    </w:p>
    <w:p w14:paraId="339964FB">
      <w:pPr>
        <w:spacing w:line="440" w:lineRule="exact"/>
        <w:ind w:left="420" w:hanging="420"/>
        <w:rPr>
          <w:rFonts w:hint="eastAsia" w:asciiTheme="minorEastAsia" w:hAnsiTheme="minorEastAsia" w:eastAsiaTheme="minorEastAsia" w:cstheme="minorEastAsia"/>
          <w:sz w:val="24"/>
        </w:rPr>
      </w:pPr>
    </w:p>
    <w:p w14:paraId="1EC3C87A">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五、响应文件的份数、封装和递交</w:t>
      </w:r>
    </w:p>
    <w:p w14:paraId="57EEBB3F">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14. 响应文件的份数和封装：详见《供应商须知前附表》。</w:t>
      </w:r>
    </w:p>
    <w:p w14:paraId="7C92524D">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15. 响应文件的递交：详见《供应商须知前附表》。</w:t>
      </w:r>
    </w:p>
    <w:p w14:paraId="146C3BD4">
      <w:pPr>
        <w:spacing w:line="440" w:lineRule="exact"/>
        <w:ind w:left="360"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16. 谈判时间和地点：详见《供应商须知前附表》。</w:t>
      </w:r>
    </w:p>
    <w:p w14:paraId="173FDE34">
      <w:pPr>
        <w:spacing w:line="440" w:lineRule="exact"/>
        <w:ind w:left="401" w:hanging="400" w:hangingChars="167"/>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17. 迟交的响应文件：集中采购机构将拒绝或原封退回在其规定的递交响应文件截止时间之后收到的任何响应文件。</w:t>
      </w:r>
    </w:p>
    <w:p w14:paraId="083C2E7C">
      <w:pPr>
        <w:spacing w:line="440" w:lineRule="exact"/>
        <w:rPr>
          <w:rFonts w:hint="eastAsia" w:asciiTheme="minorEastAsia" w:hAnsiTheme="minorEastAsia" w:eastAsiaTheme="minorEastAsia" w:cstheme="minorEastAsia"/>
          <w:sz w:val="24"/>
        </w:rPr>
      </w:pPr>
    </w:p>
    <w:p w14:paraId="07D00A5D">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六、谈判小组的组成</w:t>
      </w:r>
    </w:p>
    <w:p w14:paraId="532A57EB">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18. 本次谈判由湖北省文物考古研究院（湖北考古博物馆）依法组建的谈判小组进行，谈判小组负责制定谈判文件、确定谈判供应商名单、响应文件的评审、谈判、根据谈判情况编写评审报告，协助处理质疑等工作。</w:t>
      </w:r>
    </w:p>
    <w:p w14:paraId="1A7BACD0">
      <w:pPr>
        <w:spacing w:line="440" w:lineRule="exact"/>
        <w:ind w:left="360"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19. 谈判小组组成见《供应商须知前附表》。</w:t>
      </w:r>
    </w:p>
    <w:p w14:paraId="15A16442">
      <w:pPr>
        <w:spacing w:line="440" w:lineRule="exact"/>
        <w:rPr>
          <w:rFonts w:hint="eastAsia" w:asciiTheme="minorEastAsia" w:hAnsiTheme="minorEastAsia" w:eastAsiaTheme="minorEastAsia" w:cstheme="minorEastAsia"/>
          <w:sz w:val="24"/>
        </w:rPr>
      </w:pPr>
    </w:p>
    <w:p w14:paraId="6B8FF065">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七、谈判的步骤</w:t>
      </w:r>
    </w:p>
    <w:p w14:paraId="0C064A48">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20. 谈判供应商授权代表及其商务技术人员按要求参加本项目谈判过程。</w:t>
      </w:r>
    </w:p>
    <w:p w14:paraId="685C5BBC">
      <w:pPr>
        <w:spacing w:line="440" w:lineRule="exact"/>
        <w:ind w:left="360"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 资格性评审</w:t>
      </w:r>
    </w:p>
    <w:p w14:paraId="3A382240">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21.1谈判小组验证各供应商法人（负责人）或委托授权人的身份。供应商法人（负责人）或委托授权人身份与响应文件不符的、响应文件未按要求加盖印章和签字的，谈判小组将拒绝该供应商参加谈判。</w:t>
      </w:r>
    </w:p>
    <w:p w14:paraId="1686BAC2">
      <w:pPr>
        <w:spacing w:line="440" w:lineRule="exact"/>
        <w:ind w:left="360"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21.2谈判小组根据谈判文件规定的供应商资格条件、评定成交的标准等事项对供应商提交的响应文件进行评审，资格性评审不符合谈判文件要求的响应文件按无效文件处理，不进入谈判，并告知有关供应商。</w:t>
      </w:r>
    </w:p>
    <w:p w14:paraId="49B75F38">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22. 第一轮谈判</w:t>
      </w:r>
    </w:p>
    <w:p w14:paraId="1ACCD0C5">
      <w:pPr>
        <w:spacing w:line="440" w:lineRule="exact"/>
        <w:ind w:left="360"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22.1谈判小组将按照随机抽签的顺序决定谈判供应商的谈判顺序，并与单一谈判供应商分别进行谈判。</w:t>
      </w:r>
    </w:p>
    <w:p w14:paraId="3E71DED9">
      <w:pPr>
        <w:spacing w:line="440" w:lineRule="exact"/>
        <w:ind w:left="360"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22.2谈判小组对照谈判文件与供应商的响应文件分别就采购需求、质量和服务等进行谈判，并了解其报价组成情况。谈判中，谈判的任何一方不得透露与谈判有关的其他供应商的技术资料、价格和其他信息。</w:t>
      </w:r>
    </w:p>
    <w:p w14:paraId="317EF709">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22.3响应文件的澄清和说明</w:t>
      </w:r>
    </w:p>
    <w:p w14:paraId="6ED7E3B1">
      <w:pPr>
        <w:spacing w:line="440" w:lineRule="exact"/>
        <w:ind w:left="360"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6B46EBD1">
      <w:pPr>
        <w:spacing w:line="440" w:lineRule="exact"/>
        <w:ind w:left="360"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2）谈判小组要求供应商澄清、说明或者更正响应文件应以书面形式作出。供应商的澄清、说明或者更正应当由法定代表人（负责人）或其授权代表签字或者加盖印章。</w:t>
      </w:r>
    </w:p>
    <w:p w14:paraId="1AD1AE22">
      <w:pPr>
        <w:spacing w:line="440" w:lineRule="exact"/>
        <w:ind w:left="360"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3）供应商可以对参加谈判项目的采购需求提出优化建议，并以书面提交谈判小组。</w:t>
      </w:r>
    </w:p>
    <w:p w14:paraId="791215E8">
      <w:pPr>
        <w:spacing w:line="440" w:lineRule="exact"/>
        <w:ind w:left="360"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22.4谈判小组按谈判文件设定的方法和标准确定谈判供应商符合谈判文件要求的，该谈判供应商即为合格的供应商。</w:t>
      </w:r>
    </w:p>
    <w:p w14:paraId="45DF5107">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22.5第一轮谈判后，合格的供应商超过三家的，谈判小组可根据采购项目的特点、采购人的实际需求及与各供应商的谈判情况对谈判文件作出实质性变动，并进行下一轮谈判，或直接进入最后报价。变动后的谈判文件至少有3家供应商满足。</w:t>
      </w:r>
    </w:p>
    <w:p w14:paraId="23345B2D">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22.6合格的供应商不足3家的，谈判小组、采购人在降低采购需求中的技术、服务要求以及合同草案条款后进行下一轮谈判。否则，本次谈判终止，重新开展采购活动。</w:t>
      </w:r>
    </w:p>
    <w:p w14:paraId="2A9A9AD3">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23. 谈判文件修正</w:t>
      </w:r>
    </w:p>
    <w:p w14:paraId="08326374">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23.1谈判小组可根据谈判文件和谈判情况实质性变动采购需求中的技术、服务要求以及合同草案条款，但不得变动谈判文件中的其他内容。对谈判文件作出的实质性变动是谈判文件的有效组成部分。</w:t>
      </w:r>
    </w:p>
    <w:p w14:paraId="101E019B">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23.2谈判小组将谈判文件的修改结果以书面形式通知参加谈判的供应商。</w:t>
      </w:r>
    </w:p>
    <w:p w14:paraId="6A304E14">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23.3谈判供应商根据第一轮谈判情况和谈判文件修改书面通知，对原响应文件进行修正，并将修正文件签字（或盖章）后密封送交谈判小组。逾时不交的，视同放弃谈判。修正文件与响应文件同具法律效应。</w:t>
      </w:r>
    </w:p>
    <w:p w14:paraId="5A304D00">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23.4对无法详细描述需求，需要供应商提供设计或者解决方案的项目，谈判小组可以根据采购人对需求确认情况，进行多轮谈判，直至采购人代表最终确认采购需求为止。</w:t>
      </w:r>
    </w:p>
    <w:p w14:paraId="0A06DCE2">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24. 第二轮谈判</w:t>
      </w:r>
    </w:p>
    <w:p w14:paraId="44548273">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24.1谈判小组就修正后的谈判文件与谈判供应商分别进行谈判。</w:t>
      </w:r>
    </w:p>
    <w:p w14:paraId="791D4007">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24.2第二轮谈判结束后，实质性响应谈判文件及变动后谈判文件要求的供应商超过或不足3家的，按照上一轮谈判程序办理，以此类推。</w:t>
      </w:r>
    </w:p>
    <w:p w14:paraId="722E4CF8">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25. 最后报价</w:t>
      </w:r>
    </w:p>
    <w:p w14:paraId="754BACD1">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25.1谈判小组对谈判文件中能够详细列明采购标的的技术、服务要求的，在谈判结束后，所有继续参加谈判合格的供应商应在规定时间内提交最后报价。</w:t>
      </w:r>
    </w:p>
    <w:p w14:paraId="7331CF53">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25.2谈判小组对谈判文件中不能详细描述和列明采购标的的技术、服务要求，需通过谈判由供应商提供最终设计方案或解决方案的，在谈判结束后，谈判小组按照少数服从多数的原则投票推荐3家以上合格供应商的设计方案或者解决方案，并要求其在规定时间内提交最后报价。</w:t>
      </w:r>
    </w:p>
    <w:p w14:paraId="58EB97AA">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25.3如果出现相同最低报价，谈判小组将要求相同最低报价的谈判供应商再次报价，直至确定只有一个最低报价为止。</w:t>
      </w:r>
    </w:p>
    <w:p w14:paraId="61263FFA">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25.4谈判供应商的报价均超过了政府采购预算或报价未超过采购预算的供应商不足三家的，谈判活动终止。</w:t>
      </w:r>
    </w:p>
    <w:p w14:paraId="13715741">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25.5最后报价文件应密封，并在规定的同一时间内提交。最后报价是供应商响应文件的有效组成部分。</w:t>
      </w:r>
    </w:p>
    <w:p w14:paraId="7E2D0EA2">
      <w:pPr>
        <w:spacing w:line="440" w:lineRule="exact"/>
        <w:rPr>
          <w:rFonts w:hint="eastAsia" w:asciiTheme="minorEastAsia" w:hAnsiTheme="minorEastAsia" w:eastAsiaTheme="minorEastAsia" w:cstheme="minorEastAsia"/>
          <w:sz w:val="24"/>
        </w:rPr>
      </w:pPr>
    </w:p>
    <w:p w14:paraId="21975BA2">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八、确定成交供应商</w:t>
      </w:r>
    </w:p>
    <w:p w14:paraId="46A31637">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26. 谈判小组从质量和服务均能满足本文件实质性要求的供应商中，按照评审价或报价由低到高的顺序提出3名以上成交候选人，也可按事先授权直接确定成交供应商，并编写评审报告。当出现两个及以上相同最低评审价时，谈判小组按报价由低到高确定评审结果排序。</w:t>
      </w:r>
    </w:p>
    <w:p w14:paraId="799816F1">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27. 评审办法见《供应商须知前附表》。</w:t>
      </w:r>
    </w:p>
    <w:p w14:paraId="5AB50905">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28. 成交候选供应商因特殊原因放弃或因不可抗力提出不能履行合同，才可依据谈判小组评审结果次序依次递补。</w:t>
      </w:r>
    </w:p>
    <w:p w14:paraId="6E27ED30">
      <w:pPr>
        <w:spacing w:line="440" w:lineRule="exact"/>
        <w:ind w:left="360" w:hanging="360" w:hangingChars="150"/>
        <w:rPr>
          <w:rFonts w:hint="eastAsia" w:asciiTheme="minorEastAsia" w:hAnsiTheme="minorEastAsia" w:eastAsiaTheme="minorEastAsia" w:cstheme="minorEastAsia"/>
          <w:sz w:val="24"/>
        </w:rPr>
      </w:pPr>
    </w:p>
    <w:p w14:paraId="0CC34B9E">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九、发布成交公告</w:t>
      </w:r>
    </w:p>
    <w:p w14:paraId="3B38A592">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29. 公告媒体。采购人确定成交供应商后，采购机构按《供应商须知前附表》规定的媒体上公告成交结果，同时向成交供应商发出成交通知书。公告期为一个工作日。</w:t>
      </w:r>
    </w:p>
    <w:p w14:paraId="07349C39">
      <w:pPr>
        <w:spacing w:line="440" w:lineRule="exact"/>
        <w:ind w:left="363" w:leftChars="1"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30. 质疑和回复见《供应商须知前附表》。</w:t>
      </w:r>
    </w:p>
    <w:p w14:paraId="0859E371">
      <w:pPr>
        <w:spacing w:line="440" w:lineRule="exact"/>
        <w:rPr>
          <w:rFonts w:hint="eastAsia" w:asciiTheme="minorEastAsia" w:hAnsiTheme="minorEastAsia" w:eastAsiaTheme="minorEastAsia" w:cstheme="minorEastAsia"/>
          <w:sz w:val="24"/>
        </w:rPr>
      </w:pPr>
    </w:p>
    <w:p w14:paraId="7B772A62">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十、签订合同</w:t>
      </w:r>
    </w:p>
    <w:p w14:paraId="25A1E49E">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31. 成交供应商在收到成交通知书后，三十日内与采购人签订合同。</w:t>
      </w:r>
    </w:p>
    <w:p w14:paraId="4ECC5458">
      <w:pPr>
        <w:spacing w:line="440" w:lineRule="exact"/>
        <w:rPr>
          <w:rFonts w:hint="eastAsia" w:asciiTheme="minorEastAsia" w:hAnsiTheme="minorEastAsia" w:eastAsiaTheme="minorEastAsia" w:cstheme="minorEastAsia"/>
          <w:sz w:val="24"/>
        </w:rPr>
      </w:pPr>
    </w:p>
    <w:p w14:paraId="0FCC90BC">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十一、付款方式</w:t>
      </w:r>
    </w:p>
    <w:p w14:paraId="35D92AD4">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32. </w:t>
      </w:r>
      <w:r>
        <w:rPr>
          <w:rFonts w:asciiTheme="minorEastAsia" w:hAnsiTheme="minorEastAsia" w:eastAsiaTheme="minorEastAsia" w:cstheme="minorEastAsia"/>
          <w:sz w:val="24"/>
        </w:rPr>
        <w:t>本项目全部工作完成并经验收合格后</w:t>
      </w:r>
      <w:r>
        <w:rPr>
          <w:rFonts w:hint="eastAsia" w:asciiTheme="minorEastAsia" w:hAnsiTheme="minorEastAsia" w:eastAsiaTheme="minorEastAsia" w:cstheme="minorEastAsia"/>
          <w:sz w:val="24"/>
        </w:rPr>
        <w:t>，</w:t>
      </w:r>
      <w:r>
        <w:rPr>
          <w:rFonts w:asciiTheme="minorEastAsia" w:hAnsiTheme="minorEastAsia" w:eastAsiaTheme="minorEastAsia" w:cstheme="minorEastAsia"/>
          <w:sz w:val="24"/>
        </w:rPr>
        <w:t>由成交供应商开具符合要求的发票，采购人在10个工作日内办理付款。</w:t>
      </w:r>
    </w:p>
    <w:p w14:paraId="6DCF3141">
      <w:pPr>
        <w:pStyle w:val="15"/>
        <w:ind w:firstLine="480"/>
      </w:pPr>
    </w:p>
    <w:p w14:paraId="0A32F08E">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十二、适用法律</w:t>
      </w:r>
    </w:p>
    <w:p w14:paraId="5F432D15">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33. 采购当事人的一切活动均适用于《中华人民共和国政府采购法》、《中华人民共和国政府采购法实施条例》、《政府采购非招标采购方式管理办法》及相关法规。</w:t>
      </w:r>
    </w:p>
    <w:p w14:paraId="2F2572FE">
      <w:pPr>
        <w:spacing w:line="500" w:lineRule="exact"/>
        <w:jc w:val="center"/>
        <w:rPr>
          <w:rFonts w:hint="eastAsia" w:asciiTheme="minorEastAsia" w:hAnsiTheme="minorEastAsia" w:eastAsiaTheme="minorEastAsia" w:cstheme="minorEastAsia"/>
          <w:sz w:val="36"/>
          <w:szCs w:val="36"/>
        </w:rPr>
        <w:sectPr>
          <w:headerReference r:id="rId6" w:type="default"/>
          <w:pgSz w:w="11906" w:h="16838"/>
          <w:pgMar w:top="1440" w:right="1800" w:bottom="1440" w:left="1800" w:header="851" w:footer="992" w:gutter="0"/>
          <w:cols w:space="425" w:num="1"/>
          <w:docGrid w:type="lines" w:linePitch="312" w:charSpace="0"/>
        </w:sectPr>
      </w:pPr>
    </w:p>
    <w:p w14:paraId="4AB9577C">
      <w:pPr>
        <w:spacing w:line="500" w:lineRule="exact"/>
        <w:jc w:val="cente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第三章  采购需求</w:t>
      </w:r>
    </w:p>
    <w:p w14:paraId="435E0863">
      <w:pPr>
        <w:spacing w:before="240" w:after="60"/>
        <w:jc w:val="left"/>
        <w:outlineLvl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一、项目概况</w:t>
      </w:r>
    </w:p>
    <w:p w14:paraId="3F5E5523">
      <w:pPr>
        <w:pStyle w:val="15"/>
        <w:ind w:firstLine="480"/>
      </w:pPr>
      <w:r>
        <w:rPr>
          <w:rFonts w:hint="eastAsia"/>
        </w:rPr>
        <w:t>（一）项目名称</w:t>
      </w:r>
    </w:p>
    <w:p w14:paraId="20F4F3A3">
      <w:pPr>
        <w:pStyle w:val="15"/>
        <w:ind w:firstLine="480"/>
      </w:pPr>
      <w:r>
        <w:t>湖北考古博物馆展厅维修改造项目。</w:t>
      </w:r>
    </w:p>
    <w:p w14:paraId="70337879">
      <w:pPr>
        <w:pStyle w:val="15"/>
        <w:ind w:firstLine="480"/>
      </w:pPr>
      <w:r>
        <w:rPr>
          <w:rFonts w:hint="eastAsia"/>
        </w:rPr>
        <w:t>（二）项目背景</w:t>
      </w:r>
    </w:p>
    <w:p w14:paraId="01A1A602">
      <w:pPr>
        <w:pStyle w:val="15"/>
        <w:ind w:firstLine="480"/>
      </w:pPr>
      <w:r>
        <w:t>根据湖北考古博物馆展厅展示环境、设施安全及运行保障需求，拟对“郢都辽远</w:t>
      </w:r>
      <w:r>
        <w:rPr>
          <w:rFonts w:hint="eastAsia"/>
        </w:rPr>
        <w:t>——</w:t>
      </w:r>
      <w:r>
        <w:t>楚都纪南城考古展厅”和“瓷汇江汉</w:t>
      </w:r>
      <w:r>
        <w:rPr>
          <w:rFonts w:hint="eastAsia"/>
        </w:rPr>
        <w:t>——</w:t>
      </w:r>
      <w:r>
        <w:t>湖北考古出土瓷器展厅”实施玻璃隔断安装，同步完善园区及展厅导视系统，并对消防报警采集、网络授时、备用电源、配管配线及信息点位等配套设施进行建设，进一步提升展厅空间使用安全性、系统运行稳定性、观众参观便利性和整体环境协调性。</w:t>
      </w:r>
    </w:p>
    <w:p w14:paraId="316A4B82">
      <w:pPr>
        <w:pStyle w:val="15"/>
        <w:ind w:firstLine="480"/>
      </w:pPr>
      <w:r>
        <w:rPr>
          <w:rFonts w:hint="eastAsia"/>
        </w:rPr>
        <w:t>（三）采购预算</w:t>
      </w:r>
    </w:p>
    <w:p w14:paraId="320DC787">
      <w:pPr>
        <w:pStyle w:val="15"/>
        <w:ind w:firstLine="480"/>
      </w:pPr>
      <w:r>
        <w:rPr>
          <w:rFonts w:hint="eastAsia"/>
        </w:rPr>
        <w:t xml:space="preserve">1. </w:t>
      </w:r>
      <w:r>
        <w:t>本项目采购预算为人民币</w:t>
      </w:r>
      <w:r>
        <w:rPr>
          <w:rFonts w:hint="eastAsia"/>
          <w:lang w:val="en-US" w:eastAsia="zh-CN"/>
        </w:rPr>
        <w:t>112999.61</w:t>
      </w:r>
      <w:r>
        <w:t>元，供应商响应总报价不得超出采购预算，超预算报价一律按无效响应处理。</w:t>
      </w:r>
    </w:p>
    <w:p w14:paraId="507EEC0F">
      <w:pPr>
        <w:pStyle w:val="15"/>
        <w:ind w:firstLine="480"/>
      </w:pPr>
      <w:r>
        <w:rPr>
          <w:rFonts w:hint="eastAsia"/>
        </w:rPr>
        <w:t xml:space="preserve">2. </w:t>
      </w:r>
      <w:r>
        <w:t>供应商应结合本项目博物馆实施环境、文物保护要求、现场运输组织难度、玻璃隔断施工、园区及展厅导视系统设计制作安装、设备供货安装、配管配线、信息点位施工、成品保护及验收交付等全部工作内容，自主综合测算报价。</w:t>
      </w:r>
    </w:p>
    <w:p w14:paraId="55DF7738">
      <w:pPr>
        <w:pStyle w:val="15"/>
        <w:ind w:firstLine="480"/>
      </w:pPr>
      <w:r>
        <w:rPr>
          <w:rFonts w:hint="eastAsia"/>
        </w:rPr>
        <w:t>3.采购人不接受恶意低价、明显低于合理成本、存在重大漏项缺项、无法满足项目实施要求的报价方案。</w:t>
      </w:r>
    </w:p>
    <w:p w14:paraId="78ED7F23">
      <w:pPr>
        <w:pStyle w:val="15"/>
        <w:ind w:firstLine="480"/>
      </w:pPr>
      <w:r>
        <w:rPr>
          <w:rFonts w:hint="eastAsia"/>
        </w:rPr>
        <w:t>（四）项目性质</w:t>
      </w:r>
    </w:p>
    <w:p w14:paraId="4E9285C1">
      <w:pPr>
        <w:pStyle w:val="15"/>
        <w:ind w:firstLine="480"/>
      </w:pPr>
      <w:r>
        <w:t>本项目为交钥匙工程。供应商须完成从现场踏勘、复尺测量、深化确认、导视系统设计、材料及设备采购、玻璃加工、导视制作、包装运输、装卸搬运、现场保护、安装施工、接线调试、运行测试、整改完善、资料提交到验收移交、质保服务的全流程工作。</w:t>
      </w:r>
    </w:p>
    <w:p w14:paraId="076CAE43">
      <w:pPr>
        <w:pStyle w:val="15"/>
        <w:ind w:firstLine="480"/>
      </w:pPr>
      <w:r>
        <w:rPr>
          <w:rFonts w:hint="eastAsia"/>
        </w:rPr>
        <w:t>（五）采购清单</w:t>
      </w:r>
    </w:p>
    <w:p w14:paraId="4E6D3D10">
      <w:pPr>
        <w:pStyle w:val="15"/>
        <w:ind w:firstLine="480"/>
      </w:pPr>
      <w:r>
        <w:rPr>
          <w:rFonts w:hint="eastAsia"/>
        </w:rPr>
        <w:t>本项目采购清单如下：</w:t>
      </w:r>
    </w:p>
    <w:tbl>
      <w:tblPr>
        <w:tblStyle w:val="1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2503"/>
        <w:gridCol w:w="709"/>
        <w:gridCol w:w="1064"/>
        <w:gridCol w:w="1727"/>
        <w:gridCol w:w="1682"/>
      </w:tblGrid>
      <w:tr w14:paraId="1137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5CDB8826">
            <w:pPr>
              <w:widowControl/>
              <w:spacing w:before="100" w:beforeAutospacing="1" w:after="100" w:afterAutospacing="1" w:line="360" w:lineRule="auto"/>
              <w:jc w:val="center"/>
              <w:rPr>
                <w:rFonts w:hint="eastAsia" w:ascii="宋体" w:hAnsi="宋体" w:cs="宋体"/>
                <w:b/>
                <w:bCs/>
                <w:kern w:val="0"/>
                <w:sz w:val="24"/>
              </w:rPr>
            </w:pPr>
            <w:r>
              <w:rPr>
                <w:rFonts w:ascii="宋体" w:hAnsi="宋体" w:cs="宋体"/>
                <w:b/>
                <w:bCs/>
                <w:kern w:val="0"/>
                <w:sz w:val="24"/>
              </w:rPr>
              <w:t>序号</w:t>
            </w:r>
          </w:p>
        </w:tc>
        <w:tc>
          <w:tcPr>
            <w:tcW w:w="2503" w:type="dxa"/>
            <w:vAlign w:val="center"/>
          </w:tcPr>
          <w:p w14:paraId="6D02FA29">
            <w:pPr>
              <w:widowControl/>
              <w:spacing w:before="100" w:beforeAutospacing="1" w:after="100" w:afterAutospacing="1" w:line="360" w:lineRule="auto"/>
              <w:jc w:val="center"/>
              <w:rPr>
                <w:rFonts w:hint="eastAsia" w:ascii="宋体" w:hAnsi="宋体" w:cs="宋体"/>
                <w:b/>
                <w:bCs/>
                <w:kern w:val="0"/>
                <w:sz w:val="24"/>
              </w:rPr>
            </w:pPr>
            <w:r>
              <w:rPr>
                <w:rFonts w:ascii="宋体" w:hAnsi="宋体" w:cs="宋体"/>
                <w:b/>
                <w:bCs/>
                <w:kern w:val="0"/>
                <w:sz w:val="24"/>
              </w:rPr>
              <w:t>建设内容</w:t>
            </w:r>
          </w:p>
        </w:tc>
        <w:tc>
          <w:tcPr>
            <w:tcW w:w="709" w:type="dxa"/>
            <w:vAlign w:val="center"/>
          </w:tcPr>
          <w:p w14:paraId="2643E75D">
            <w:pPr>
              <w:widowControl/>
              <w:spacing w:before="100" w:beforeAutospacing="1" w:after="100" w:afterAutospacing="1" w:line="360" w:lineRule="auto"/>
              <w:jc w:val="center"/>
              <w:rPr>
                <w:rFonts w:hint="eastAsia" w:ascii="宋体" w:hAnsi="宋体" w:cs="宋体"/>
                <w:b/>
                <w:bCs/>
                <w:kern w:val="0"/>
                <w:sz w:val="24"/>
              </w:rPr>
            </w:pPr>
            <w:r>
              <w:rPr>
                <w:rFonts w:ascii="宋体" w:hAnsi="宋体" w:cs="宋体"/>
                <w:b/>
                <w:bCs/>
                <w:kern w:val="0"/>
                <w:sz w:val="24"/>
              </w:rPr>
              <w:t>单位</w:t>
            </w:r>
          </w:p>
        </w:tc>
        <w:tc>
          <w:tcPr>
            <w:tcW w:w="1064" w:type="dxa"/>
            <w:vAlign w:val="center"/>
          </w:tcPr>
          <w:p w14:paraId="160FA6FD">
            <w:pPr>
              <w:widowControl/>
              <w:spacing w:before="100" w:beforeAutospacing="1" w:after="100" w:afterAutospacing="1" w:line="360" w:lineRule="auto"/>
              <w:jc w:val="center"/>
              <w:rPr>
                <w:rFonts w:hint="eastAsia" w:ascii="宋体" w:hAnsi="宋体" w:cs="宋体"/>
                <w:b/>
                <w:bCs/>
                <w:kern w:val="0"/>
                <w:sz w:val="24"/>
              </w:rPr>
            </w:pPr>
            <w:r>
              <w:rPr>
                <w:rFonts w:ascii="宋体" w:hAnsi="宋体" w:cs="宋体"/>
                <w:b/>
                <w:bCs/>
                <w:kern w:val="0"/>
                <w:sz w:val="24"/>
              </w:rPr>
              <w:t>数量</w:t>
            </w:r>
          </w:p>
        </w:tc>
        <w:tc>
          <w:tcPr>
            <w:tcW w:w="1727" w:type="dxa"/>
            <w:vAlign w:val="center"/>
          </w:tcPr>
          <w:p w14:paraId="71860755">
            <w:pPr>
              <w:widowControl/>
              <w:spacing w:before="100" w:beforeAutospacing="1" w:after="100" w:afterAutospacing="1" w:line="360" w:lineRule="auto"/>
              <w:jc w:val="center"/>
              <w:rPr>
                <w:rFonts w:hint="eastAsia" w:ascii="宋体" w:hAnsi="宋体" w:cs="宋体"/>
                <w:b/>
                <w:bCs/>
                <w:kern w:val="0"/>
                <w:sz w:val="24"/>
              </w:rPr>
            </w:pPr>
            <w:r>
              <w:rPr>
                <w:rFonts w:ascii="宋体" w:hAnsi="宋体" w:cs="宋体"/>
                <w:b/>
                <w:bCs/>
                <w:kern w:val="0"/>
                <w:sz w:val="24"/>
              </w:rPr>
              <w:t>预算单价（元）</w:t>
            </w:r>
          </w:p>
        </w:tc>
        <w:tc>
          <w:tcPr>
            <w:tcW w:w="1682" w:type="dxa"/>
            <w:vAlign w:val="center"/>
          </w:tcPr>
          <w:p w14:paraId="3DD43666">
            <w:pPr>
              <w:widowControl/>
              <w:spacing w:before="100" w:beforeAutospacing="1" w:after="100" w:afterAutospacing="1" w:line="360" w:lineRule="auto"/>
              <w:jc w:val="center"/>
              <w:rPr>
                <w:rFonts w:hint="eastAsia" w:ascii="宋体" w:hAnsi="宋体" w:cs="宋体"/>
                <w:b/>
                <w:bCs/>
                <w:kern w:val="0"/>
                <w:sz w:val="24"/>
              </w:rPr>
            </w:pPr>
            <w:r>
              <w:rPr>
                <w:rFonts w:ascii="宋体" w:hAnsi="宋体" w:cs="宋体"/>
                <w:b/>
                <w:bCs/>
                <w:kern w:val="0"/>
                <w:sz w:val="24"/>
              </w:rPr>
              <w:t>预算总价（元）</w:t>
            </w:r>
          </w:p>
        </w:tc>
      </w:tr>
      <w:tr w14:paraId="4B5D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227CE80A">
            <w:pPr>
              <w:widowControl/>
              <w:spacing w:before="100" w:beforeAutospacing="1" w:after="100" w:afterAutospacing="1" w:line="360" w:lineRule="auto"/>
              <w:jc w:val="center"/>
              <w:rPr>
                <w:rFonts w:hint="eastAsia" w:ascii="宋体" w:hAnsi="宋体" w:cs="宋体"/>
                <w:b/>
                <w:bCs/>
                <w:kern w:val="0"/>
                <w:sz w:val="24"/>
              </w:rPr>
            </w:pPr>
            <w:r>
              <w:rPr>
                <w:rFonts w:ascii="宋体" w:hAnsi="宋体" w:cs="宋体"/>
                <w:b/>
                <w:bCs/>
                <w:kern w:val="0"/>
                <w:sz w:val="24"/>
              </w:rPr>
              <w:t>一</w:t>
            </w:r>
          </w:p>
        </w:tc>
        <w:tc>
          <w:tcPr>
            <w:tcW w:w="7685" w:type="dxa"/>
            <w:gridSpan w:val="5"/>
            <w:vAlign w:val="center"/>
          </w:tcPr>
          <w:p w14:paraId="1EBCC84E">
            <w:pPr>
              <w:widowControl/>
              <w:spacing w:before="100" w:beforeAutospacing="1" w:after="100" w:afterAutospacing="1" w:line="360" w:lineRule="auto"/>
              <w:jc w:val="left"/>
              <w:rPr>
                <w:rFonts w:hint="eastAsia" w:ascii="宋体" w:hAnsi="宋体" w:cs="宋体"/>
                <w:b/>
                <w:bCs/>
                <w:kern w:val="0"/>
                <w:sz w:val="24"/>
              </w:rPr>
            </w:pPr>
            <w:r>
              <w:rPr>
                <w:rFonts w:ascii="宋体" w:hAnsi="宋体" w:cs="宋体"/>
                <w:b/>
                <w:bCs/>
                <w:kern w:val="0"/>
                <w:sz w:val="24"/>
              </w:rPr>
              <w:t>郢都辽远—楚都纪南城考古展厅</w:t>
            </w:r>
          </w:p>
        </w:tc>
      </w:tr>
      <w:tr w14:paraId="78C4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4C41B4BC">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1</w:t>
            </w:r>
          </w:p>
        </w:tc>
        <w:tc>
          <w:tcPr>
            <w:tcW w:w="2503" w:type="dxa"/>
            <w:vAlign w:val="center"/>
          </w:tcPr>
          <w:p w14:paraId="0FBF60D9">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玻璃隔断</w:t>
            </w:r>
          </w:p>
        </w:tc>
        <w:tc>
          <w:tcPr>
            <w:tcW w:w="709" w:type="dxa"/>
            <w:vAlign w:val="center"/>
          </w:tcPr>
          <w:p w14:paraId="3BF3226C">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w:t>
            </w:r>
          </w:p>
        </w:tc>
        <w:tc>
          <w:tcPr>
            <w:tcW w:w="1064" w:type="dxa"/>
            <w:vAlign w:val="center"/>
          </w:tcPr>
          <w:p w14:paraId="797C6EE9">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67.214</w:t>
            </w:r>
          </w:p>
        </w:tc>
        <w:tc>
          <w:tcPr>
            <w:tcW w:w="1727" w:type="dxa"/>
            <w:vAlign w:val="center"/>
          </w:tcPr>
          <w:p w14:paraId="35B7CD24">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544.84 </w:t>
            </w:r>
          </w:p>
        </w:tc>
        <w:tc>
          <w:tcPr>
            <w:tcW w:w="1682" w:type="dxa"/>
            <w:vAlign w:val="center"/>
          </w:tcPr>
          <w:p w14:paraId="6745B884">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36621.16 </w:t>
            </w:r>
          </w:p>
        </w:tc>
      </w:tr>
      <w:tr w14:paraId="2512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25E2C283">
            <w:pPr>
              <w:widowControl/>
              <w:spacing w:before="100" w:beforeAutospacing="1" w:after="100" w:afterAutospacing="1" w:line="360" w:lineRule="auto"/>
              <w:jc w:val="center"/>
              <w:rPr>
                <w:rFonts w:hint="eastAsia" w:ascii="宋体" w:hAnsi="宋体" w:cs="宋体"/>
                <w:b/>
                <w:bCs/>
                <w:kern w:val="0"/>
                <w:sz w:val="24"/>
              </w:rPr>
            </w:pPr>
            <w:r>
              <w:rPr>
                <w:rFonts w:ascii="宋体" w:hAnsi="宋体" w:cs="宋体"/>
                <w:b/>
                <w:bCs/>
                <w:kern w:val="0"/>
                <w:sz w:val="24"/>
              </w:rPr>
              <w:t>二</w:t>
            </w:r>
          </w:p>
        </w:tc>
        <w:tc>
          <w:tcPr>
            <w:tcW w:w="7685" w:type="dxa"/>
            <w:gridSpan w:val="5"/>
            <w:vAlign w:val="center"/>
          </w:tcPr>
          <w:p w14:paraId="4E080770">
            <w:pPr>
              <w:widowControl/>
              <w:spacing w:before="100" w:beforeAutospacing="1" w:after="100" w:afterAutospacing="1" w:line="360" w:lineRule="auto"/>
              <w:jc w:val="left"/>
              <w:rPr>
                <w:rFonts w:hint="eastAsia" w:ascii="宋体" w:hAnsi="宋体" w:cs="宋体"/>
                <w:b/>
                <w:bCs/>
                <w:kern w:val="0"/>
                <w:sz w:val="24"/>
              </w:rPr>
            </w:pPr>
            <w:r>
              <w:rPr>
                <w:rFonts w:ascii="宋体" w:hAnsi="宋体" w:cs="宋体"/>
                <w:b/>
                <w:bCs/>
                <w:kern w:val="0"/>
                <w:sz w:val="24"/>
              </w:rPr>
              <w:t>瓷汇江汉—湖北考古出土瓷器展厅</w:t>
            </w:r>
          </w:p>
        </w:tc>
      </w:tr>
      <w:tr w14:paraId="3DE05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44A8CE61">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1</w:t>
            </w:r>
          </w:p>
        </w:tc>
        <w:tc>
          <w:tcPr>
            <w:tcW w:w="2503" w:type="dxa"/>
            <w:vAlign w:val="center"/>
          </w:tcPr>
          <w:p w14:paraId="1B024033">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玻璃隔断</w:t>
            </w:r>
          </w:p>
        </w:tc>
        <w:tc>
          <w:tcPr>
            <w:tcW w:w="709" w:type="dxa"/>
            <w:vAlign w:val="center"/>
          </w:tcPr>
          <w:p w14:paraId="406599A7">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w:t>
            </w:r>
          </w:p>
        </w:tc>
        <w:tc>
          <w:tcPr>
            <w:tcW w:w="1064" w:type="dxa"/>
            <w:vAlign w:val="center"/>
          </w:tcPr>
          <w:p w14:paraId="14C46D31">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7.106</w:t>
            </w:r>
          </w:p>
        </w:tc>
        <w:tc>
          <w:tcPr>
            <w:tcW w:w="1727" w:type="dxa"/>
            <w:vAlign w:val="center"/>
          </w:tcPr>
          <w:p w14:paraId="4E9DBC41">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544.84 </w:t>
            </w:r>
          </w:p>
        </w:tc>
        <w:tc>
          <w:tcPr>
            <w:tcW w:w="1682" w:type="dxa"/>
            <w:vAlign w:val="center"/>
          </w:tcPr>
          <w:p w14:paraId="144BE015">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3871.66 </w:t>
            </w:r>
          </w:p>
        </w:tc>
      </w:tr>
      <w:tr w14:paraId="10AE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618229DF">
            <w:pPr>
              <w:widowControl/>
              <w:spacing w:before="100" w:beforeAutospacing="1" w:after="100" w:afterAutospacing="1" w:line="360" w:lineRule="auto"/>
              <w:jc w:val="center"/>
              <w:rPr>
                <w:rFonts w:hint="eastAsia" w:ascii="宋体" w:hAnsi="宋体" w:cs="宋体"/>
                <w:b/>
                <w:bCs/>
                <w:kern w:val="0"/>
                <w:sz w:val="24"/>
              </w:rPr>
            </w:pPr>
            <w:r>
              <w:rPr>
                <w:rFonts w:ascii="宋体" w:hAnsi="宋体" w:cs="宋体"/>
                <w:b/>
                <w:bCs/>
                <w:kern w:val="0"/>
                <w:sz w:val="24"/>
              </w:rPr>
              <w:t>三</w:t>
            </w:r>
          </w:p>
        </w:tc>
        <w:tc>
          <w:tcPr>
            <w:tcW w:w="7685" w:type="dxa"/>
            <w:gridSpan w:val="5"/>
            <w:vAlign w:val="center"/>
          </w:tcPr>
          <w:p w14:paraId="0B993C63">
            <w:pPr>
              <w:widowControl/>
              <w:spacing w:before="100" w:beforeAutospacing="1" w:after="100" w:afterAutospacing="1" w:line="360" w:lineRule="auto"/>
              <w:jc w:val="left"/>
              <w:rPr>
                <w:rFonts w:hint="eastAsia" w:ascii="宋体" w:hAnsi="宋体" w:cs="宋体"/>
                <w:b/>
                <w:bCs/>
                <w:kern w:val="0"/>
                <w:sz w:val="24"/>
              </w:rPr>
            </w:pPr>
            <w:r>
              <w:rPr>
                <w:rFonts w:ascii="宋体" w:hAnsi="宋体" w:cs="宋体"/>
                <w:b/>
                <w:bCs/>
                <w:kern w:val="0"/>
                <w:sz w:val="24"/>
              </w:rPr>
              <w:t>园区及展厅导视系统设计制作</w:t>
            </w:r>
          </w:p>
        </w:tc>
      </w:tr>
      <w:tr w14:paraId="56F9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099252ED">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1</w:t>
            </w:r>
          </w:p>
        </w:tc>
        <w:tc>
          <w:tcPr>
            <w:tcW w:w="2503" w:type="dxa"/>
            <w:vAlign w:val="center"/>
          </w:tcPr>
          <w:p w14:paraId="4D840C23">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园区及展厅导视系统设计制作</w:t>
            </w:r>
          </w:p>
        </w:tc>
        <w:tc>
          <w:tcPr>
            <w:tcW w:w="709" w:type="dxa"/>
            <w:vAlign w:val="center"/>
          </w:tcPr>
          <w:p w14:paraId="5DD283D6">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项</w:t>
            </w:r>
          </w:p>
        </w:tc>
        <w:tc>
          <w:tcPr>
            <w:tcW w:w="1064" w:type="dxa"/>
            <w:vAlign w:val="center"/>
          </w:tcPr>
          <w:p w14:paraId="7018A2DF">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1</w:t>
            </w:r>
          </w:p>
        </w:tc>
        <w:tc>
          <w:tcPr>
            <w:tcW w:w="1727" w:type="dxa"/>
            <w:vAlign w:val="center"/>
          </w:tcPr>
          <w:p w14:paraId="7C2D480F">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45000.00</w:t>
            </w:r>
          </w:p>
        </w:tc>
        <w:tc>
          <w:tcPr>
            <w:tcW w:w="1682" w:type="dxa"/>
            <w:vAlign w:val="center"/>
          </w:tcPr>
          <w:p w14:paraId="70325BCF">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45000.00</w:t>
            </w:r>
          </w:p>
        </w:tc>
      </w:tr>
      <w:tr w14:paraId="0413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2D14BF38">
            <w:pPr>
              <w:widowControl/>
              <w:spacing w:before="100" w:beforeAutospacing="1" w:after="100" w:afterAutospacing="1" w:line="360" w:lineRule="auto"/>
              <w:jc w:val="center"/>
              <w:rPr>
                <w:rFonts w:hint="eastAsia" w:ascii="宋体" w:hAnsi="宋体" w:cs="宋体"/>
                <w:b/>
                <w:bCs/>
                <w:kern w:val="0"/>
                <w:sz w:val="24"/>
              </w:rPr>
            </w:pPr>
            <w:r>
              <w:rPr>
                <w:rFonts w:ascii="宋体" w:hAnsi="宋体" w:cs="宋体"/>
                <w:b/>
                <w:bCs/>
                <w:kern w:val="0"/>
                <w:sz w:val="24"/>
              </w:rPr>
              <w:t>四</w:t>
            </w:r>
          </w:p>
        </w:tc>
        <w:tc>
          <w:tcPr>
            <w:tcW w:w="7685" w:type="dxa"/>
            <w:gridSpan w:val="5"/>
            <w:vAlign w:val="center"/>
          </w:tcPr>
          <w:p w14:paraId="1E5D8065">
            <w:pPr>
              <w:widowControl/>
              <w:spacing w:before="100" w:beforeAutospacing="1" w:after="100" w:afterAutospacing="1" w:line="360" w:lineRule="auto"/>
              <w:jc w:val="left"/>
              <w:rPr>
                <w:rFonts w:hint="eastAsia" w:ascii="宋体" w:hAnsi="宋体" w:cs="宋体"/>
                <w:b/>
                <w:bCs/>
                <w:kern w:val="0"/>
                <w:sz w:val="24"/>
              </w:rPr>
            </w:pPr>
            <w:r>
              <w:rPr>
                <w:rFonts w:ascii="宋体" w:hAnsi="宋体" w:cs="宋体"/>
                <w:b/>
                <w:bCs/>
                <w:kern w:val="0"/>
                <w:sz w:val="24"/>
              </w:rPr>
              <w:t>展厅电源、UPS系统及配管配线</w:t>
            </w:r>
          </w:p>
        </w:tc>
      </w:tr>
      <w:tr w14:paraId="4FBF9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74BDE2B6">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1</w:t>
            </w:r>
          </w:p>
        </w:tc>
        <w:tc>
          <w:tcPr>
            <w:tcW w:w="2503" w:type="dxa"/>
            <w:vAlign w:val="center"/>
          </w:tcPr>
          <w:p w14:paraId="33AF66D7">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IP网络消防采集器</w:t>
            </w:r>
          </w:p>
        </w:tc>
        <w:tc>
          <w:tcPr>
            <w:tcW w:w="709" w:type="dxa"/>
            <w:vAlign w:val="center"/>
          </w:tcPr>
          <w:p w14:paraId="6B09105B">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套</w:t>
            </w:r>
          </w:p>
        </w:tc>
        <w:tc>
          <w:tcPr>
            <w:tcW w:w="1064" w:type="dxa"/>
            <w:vAlign w:val="center"/>
          </w:tcPr>
          <w:p w14:paraId="55C5737C">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1</w:t>
            </w:r>
          </w:p>
        </w:tc>
        <w:tc>
          <w:tcPr>
            <w:tcW w:w="1727" w:type="dxa"/>
            <w:vAlign w:val="center"/>
          </w:tcPr>
          <w:p w14:paraId="12EC42C7">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2631.23 </w:t>
            </w:r>
          </w:p>
        </w:tc>
        <w:tc>
          <w:tcPr>
            <w:tcW w:w="1682" w:type="dxa"/>
            <w:vAlign w:val="center"/>
          </w:tcPr>
          <w:p w14:paraId="0CCA80E5">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2631.23 </w:t>
            </w:r>
          </w:p>
        </w:tc>
      </w:tr>
      <w:tr w14:paraId="0921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044283EA">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2</w:t>
            </w:r>
          </w:p>
        </w:tc>
        <w:tc>
          <w:tcPr>
            <w:tcW w:w="2503" w:type="dxa"/>
            <w:vAlign w:val="center"/>
          </w:tcPr>
          <w:p w14:paraId="06CB557E">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无线移动手持机</w:t>
            </w:r>
          </w:p>
        </w:tc>
        <w:tc>
          <w:tcPr>
            <w:tcW w:w="709" w:type="dxa"/>
            <w:vAlign w:val="center"/>
          </w:tcPr>
          <w:p w14:paraId="419B8011">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套</w:t>
            </w:r>
          </w:p>
        </w:tc>
        <w:tc>
          <w:tcPr>
            <w:tcW w:w="1064" w:type="dxa"/>
            <w:vAlign w:val="center"/>
          </w:tcPr>
          <w:p w14:paraId="058CD5FC">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1</w:t>
            </w:r>
          </w:p>
        </w:tc>
        <w:tc>
          <w:tcPr>
            <w:tcW w:w="1727" w:type="dxa"/>
            <w:vAlign w:val="center"/>
          </w:tcPr>
          <w:p w14:paraId="06F9D4CE">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3361.01 </w:t>
            </w:r>
          </w:p>
        </w:tc>
        <w:tc>
          <w:tcPr>
            <w:tcW w:w="1682" w:type="dxa"/>
            <w:vAlign w:val="center"/>
          </w:tcPr>
          <w:p w14:paraId="3965956A">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3361.01 </w:t>
            </w:r>
          </w:p>
        </w:tc>
      </w:tr>
      <w:tr w14:paraId="67C3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70F3AAFF">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3</w:t>
            </w:r>
          </w:p>
        </w:tc>
        <w:tc>
          <w:tcPr>
            <w:tcW w:w="2503" w:type="dxa"/>
            <w:vAlign w:val="center"/>
          </w:tcPr>
          <w:p w14:paraId="4EF3E8BB">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10KVA UPS电源系统</w:t>
            </w:r>
          </w:p>
        </w:tc>
        <w:tc>
          <w:tcPr>
            <w:tcW w:w="709" w:type="dxa"/>
            <w:vAlign w:val="center"/>
          </w:tcPr>
          <w:p w14:paraId="7E341D94">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系统</w:t>
            </w:r>
          </w:p>
        </w:tc>
        <w:tc>
          <w:tcPr>
            <w:tcW w:w="1064" w:type="dxa"/>
            <w:vAlign w:val="center"/>
          </w:tcPr>
          <w:p w14:paraId="305FBA31">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1</w:t>
            </w:r>
          </w:p>
        </w:tc>
        <w:tc>
          <w:tcPr>
            <w:tcW w:w="1727" w:type="dxa"/>
            <w:vAlign w:val="center"/>
          </w:tcPr>
          <w:p w14:paraId="6376B45A">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13236.51 </w:t>
            </w:r>
          </w:p>
        </w:tc>
        <w:tc>
          <w:tcPr>
            <w:tcW w:w="1682" w:type="dxa"/>
            <w:vAlign w:val="center"/>
          </w:tcPr>
          <w:p w14:paraId="5BF1D6A2">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13236.51 </w:t>
            </w:r>
          </w:p>
        </w:tc>
      </w:tr>
      <w:tr w14:paraId="5DC2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5FB34470">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4</w:t>
            </w:r>
          </w:p>
        </w:tc>
        <w:tc>
          <w:tcPr>
            <w:tcW w:w="2503" w:type="dxa"/>
            <w:vAlign w:val="center"/>
          </w:tcPr>
          <w:p w14:paraId="7B55644F">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配管</w:t>
            </w:r>
          </w:p>
        </w:tc>
        <w:tc>
          <w:tcPr>
            <w:tcW w:w="709" w:type="dxa"/>
            <w:vAlign w:val="center"/>
          </w:tcPr>
          <w:p w14:paraId="15F632EC">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m</w:t>
            </w:r>
          </w:p>
        </w:tc>
        <w:tc>
          <w:tcPr>
            <w:tcW w:w="1064" w:type="dxa"/>
            <w:vAlign w:val="center"/>
          </w:tcPr>
          <w:p w14:paraId="210C43E7">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100</w:t>
            </w:r>
          </w:p>
        </w:tc>
        <w:tc>
          <w:tcPr>
            <w:tcW w:w="1727" w:type="dxa"/>
            <w:vAlign w:val="center"/>
          </w:tcPr>
          <w:p w14:paraId="6E95C949">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11.92 </w:t>
            </w:r>
          </w:p>
        </w:tc>
        <w:tc>
          <w:tcPr>
            <w:tcW w:w="1682" w:type="dxa"/>
            <w:vAlign w:val="center"/>
          </w:tcPr>
          <w:p w14:paraId="0357E398">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1191.73 </w:t>
            </w:r>
          </w:p>
        </w:tc>
      </w:tr>
      <w:tr w14:paraId="573F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19C7D676">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5</w:t>
            </w:r>
          </w:p>
        </w:tc>
        <w:tc>
          <w:tcPr>
            <w:tcW w:w="2503" w:type="dxa"/>
            <w:vAlign w:val="center"/>
          </w:tcPr>
          <w:p w14:paraId="227B2909">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配线</w:t>
            </w:r>
          </w:p>
        </w:tc>
        <w:tc>
          <w:tcPr>
            <w:tcW w:w="709" w:type="dxa"/>
            <w:vAlign w:val="center"/>
          </w:tcPr>
          <w:p w14:paraId="69E212A3">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m</w:t>
            </w:r>
          </w:p>
        </w:tc>
        <w:tc>
          <w:tcPr>
            <w:tcW w:w="1064" w:type="dxa"/>
            <w:vAlign w:val="center"/>
          </w:tcPr>
          <w:p w14:paraId="20F1E549">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300</w:t>
            </w:r>
          </w:p>
        </w:tc>
        <w:tc>
          <w:tcPr>
            <w:tcW w:w="1727" w:type="dxa"/>
            <w:vAlign w:val="center"/>
          </w:tcPr>
          <w:p w14:paraId="7AF5F4D6">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5.27 </w:t>
            </w:r>
          </w:p>
        </w:tc>
        <w:tc>
          <w:tcPr>
            <w:tcW w:w="1682" w:type="dxa"/>
            <w:vAlign w:val="center"/>
          </w:tcPr>
          <w:p w14:paraId="48BEB558">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1580.58 </w:t>
            </w:r>
          </w:p>
        </w:tc>
      </w:tr>
      <w:tr w14:paraId="1D10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4742A2A0">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6</w:t>
            </w:r>
          </w:p>
        </w:tc>
        <w:tc>
          <w:tcPr>
            <w:tcW w:w="2503" w:type="dxa"/>
            <w:vAlign w:val="center"/>
          </w:tcPr>
          <w:p w14:paraId="6265C198">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配线</w:t>
            </w:r>
          </w:p>
        </w:tc>
        <w:tc>
          <w:tcPr>
            <w:tcW w:w="709" w:type="dxa"/>
            <w:vAlign w:val="center"/>
          </w:tcPr>
          <w:p w14:paraId="74C0CC84">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m</w:t>
            </w:r>
          </w:p>
        </w:tc>
        <w:tc>
          <w:tcPr>
            <w:tcW w:w="1064" w:type="dxa"/>
            <w:vAlign w:val="center"/>
          </w:tcPr>
          <w:p w14:paraId="2372DE2A">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150</w:t>
            </w:r>
          </w:p>
        </w:tc>
        <w:tc>
          <w:tcPr>
            <w:tcW w:w="1727" w:type="dxa"/>
            <w:vAlign w:val="center"/>
          </w:tcPr>
          <w:p w14:paraId="08C1AEA1">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6.30 </w:t>
            </w:r>
          </w:p>
        </w:tc>
        <w:tc>
          <w:tcPr>
            <w:tcW w:w="1682" w:type="dxa"/>
            <w:vAlign w:val="center"/>
          </w:tcPr>
          <w:p w14:paraId="095500E7">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944.73 </w:t>
            </w:r>
          </w:p>
        </w:tc>
      </w:tr>
      <w:tr w14:paraId="68E4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14F5AE0A">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7</w:t>
            </w:r>
          </w:p>
        </w:tc>
        <w:tc>
          <w:tcPr>
            <w:tcW w:w="2503" w:type="dxa"/>
            <w:vAlign w:val="center"/>
          </w:tcPr>
          <w:p w14:paraId="30227CE4">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配线</w:t>
            </w:r>
          </w:p>
        </w:tc>
        <w:tc>
          <w:tcPr>
            <w:tcW w:w="709" w:type="dxa"/>
            <w:vAlign w:val="center"/>
          </w:tcPr>
          <w:p w14:paraId="361E06B4">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m</w:t>
            </w:r>
          </w:p>
        </w:tc>
        <w:tc>
          <w:tcPr>
            <w:tcW w:w="1064" w:type="dxa"/>
            <w:vAlign w:val="center"/>
          </w:tcPr>
          <w:p w14:paraId="38F3F2FE">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300</w:t>
            </w:r>
          </w:p>
        </w:tc>
        <w:tc>
          <w:tcPr>
            <w:tcW w:w="1727" w:type="dxa"/>
            <w:vAlign w:val="center"/>
          </w:tcPr>
          <w:p w14:paraId="01BDDEAE">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7.88 </w:t>
            </w:r>
          </w:p>
        </w:tc>
        <w:tc>
          <w:tcPr>
            <w:tcW w:w="1682" w:type="dxa"/>
            <w:vAlign w:val="center"/>
          </w:tcPr>
          <w:p w14:paraId="6C147BF8">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2362.65 </w:t>
            </w:r>
          </w:p>
        </w:tc>
      </w:tr>
      <w:tr w14:paraId="1752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2D884BD6">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8</w:t>
            </w:r>
          </w:p>
        </w:tc>
        <w:tc>
          <w:tcPr>
            <w:tcW w:w="2503" w:type="dxa"/>
            <w:vAlign w:val="center"/>
          </w:tcPr>
          <w:p w14:paraId="60D21C91">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配线</w:t>
            </w:r>
          </w:p>
        </w:tc>
        <w:tc>
          <w:tcPr>
            <w:tcW w:w="709" w:type="dxa"/>
            <w:vAlign w:val="center"/>
          </w:tcPr>
          <w:p w14:paraId="779EDFFB">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m</w:t>
            </w:r>
          </w:p>
        </w:tc>
        <w:tc>
          <w:tcPr>
            <w:tcW w:w="1064" w:type="dxa"/>
            <w:vAlign w:val="center"/>
          </w:tcPr>
          <w:p w14:paraId="2503A34F">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150</w:t>
            </w:r>
          </w:p>
        </w:tc>
        <w:tc>
          <w:tcPr>
            <w:tcW w:w="1727" w:type="dxa"/>
            <w:vAlign w:val="center"/>
          </w:tcPr>
          <w:p w14:paraId="179CE2BF">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13.89 </w:t>
            </w:r>
          </w:p>
        </w:tc>
        <w:tc>
          <w:tcPr>
            <w:tcW w:w="1682" w:type="dxa"/>
            <w:vAlign w:val="center"/>
          </w:tcPr>
          <w:p w14:paraId="78B37314">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2083.34 </w:t>
            </w:r>
          </w:p>
        </w:tc>
      </w:tr>
      <w:tr w14:paraId="37C7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5CCB8464">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9</w:t>
            </w:r>
          </w:p>
        </w:tc>
        <w:tc>
          <w:tcPr>
            <w:tcW w:w="2503" w:type="dxa"/>
            <w:vAlign w:val="center"/>
          </w:tcPr>
          <w:p w14:paraId="06A2E49F">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信息插座</w:t>
            </w:r>
          </w:p>
        </w:tc>
        <w:tc>
          <w:tcPr>
            <w:tcW w:w="709" w:type="dxa"/>
            <w:vAlign w:val="center"/>
          </w:tcPr>
          <w:p w14:paraId="322957A4">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个</w:t>
            </w:r>
          </w:p>
        </w:tc>
        <w:tc>
          <w:tcPr>
            <w:tcW w:w="1064" w:type="dxa"/>
            <w:vAlign w:val="center"/>
          </w:tcPr>
          <w:p w14:paraId="77140B09">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3</w:t>
            </w:r>
          </w:p>
        </w:tc>
        <w:tc>
          <w:tcPr>
            <w:tcW w:w="1727" w:type="dxa"/>
            <w:vAlign w:val="center"/>
          </w:tcPr>
          <w:p w14:paraId="56F85E04">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25.00 </w:t>
            </w:r>
          </w:p>
        </w:tc>
        <w:tc>
          <w:tcPr>
            <w:tcW w:w="1682" w:type="dxa"/>
            <w:vAlign w:val="center"/>
          </w:tcPr>
          <w:p w14:paraId="113BA223">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74.99 </w:t>
            </w:r>
          </w:p>
        </w:tc>
      </w:tr>
      <w:tr w14:paraId="28C2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083616DD">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10</w:t>
            </w:r>
          </w:p>
        </w:tc>
        <w:tc>
          <w:tcPr>
            <w:tcW w:w="2503" w:type="dxa"/>
            <w:vAlign w:val="center"/>
          </w:tcPr>
          <w:p w14:paraId="1E17C9FE">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接线盒</w:t>
            </w:r>
          </w:p>
        </w:tc>
        <w:tc>
          <w:tcPr>
            <w:tcW w:w="709" w:type="dxa"/>
            <w:vAlign w:val="center"/>
          </w:tcPr>
          <w:p w14:paraId="11ACE779">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个</w:t>
            </w:r>
          </w:p>
        </w:tc>
        <w:tc>
          <w:tcPr>
            <w:tcW w:w="1064" w:type="dxa"/>
            <w:vAlign w:val="center"/>
          </w:tcPr>
          <w:p w14:paraId="3138CA66">
            <w:pPr>
              <w:widowControl/>
              <w:spacing w:before="100" w:beforeAutospacing="1" w:after="100" w:afterAutospacing="1" w:line="360" w:lineRule="auto"/>
              <w:jc w:val="center"/>
              <w:rPr>
                <w:rFonts w:hint="eastAsia" w:ascii="宋体" w:hAnsi="宋体" w:cs="宋体"/>
                <w:kern w:val="0"/>
                <w:sz w:val="24"/>
              </w:rPr>
            </w:pPr>
            <w:r>
              <w:rPr>
                <w:rFonts w:ascii="宋体" w:hAnsi="宋体" w:cs="宋体"/>
                <w:kern w:val="0"/>
                <w:sz w:val="24"/>
              </w:rPr>
              <w:t>3</w:t>
            </w:r>
          </w:p>
        </w:tc>
        <w:tc>
          <w:tcPr>
            <w:tcW w:w="1727" w:type="dxa"/>
            <w:vAlign w:val="center"/>
          </w:tcPr>
          <w:p w14:paraId="6AB982CB">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13.34 </w:t>
            </w:r>
          </w:p>
        </w:tc>
        <w:tc>
          <w:tcPr>
            <w:tcW w:w="1682" w:type="dxa"/>
            <w:vAlign w:val="center"/>
          </w:tcPr>
          <w:p w14:paraId="69DB9A7B">
            <w:pPr>
              <w:widowControl/>
              <w:spacing w:before="100" w:beforeAutospacing="1" w:after="100" w:afterAutospacing="1" w:line="360" w:lineRule="auto"/>
              <w:jc w:val="center"/>
              <w:rPr>
                <w:rFonts w:hint="eastAsia" w:ascii="宋体" w:hAnsi="宋体" w:cs="宋体"/>
                <w:kern w:val="0"/>
                <w:sz w:val="24"/>
              </w:rPr>
            </w:pPr>
            <w:r>
              <w:rPr>
                <w:rFonts w:hint="eastAsia" w:ascii="宋体" w:hAnsi="宋体" w:cs="宋体"/>
                <w:kern w:val="0"/>
                <w:sz w:val="24"/>
              </w:rPr>
              <w:t xml:space="preserve">40.02 </w:t>
            </w:r>
          </w:p>
        </w:tc>
      </w:tr>
      <w:tr w14:paraId="526F3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4" w:type="dxa"/>
            <w:gridSpan w:val="5"/>
            <w:vAlign w:val="center"/>
          </w:tcPr>
          <w:p w14:paraId="44F3D56B">
            <w:pPr>
              <w:widowControl/>
              <w:spacing w:line="360" w:lineRule="auto"/>
              <w:jc w:val="center"/>
              <w:rPr>
                <w:rFonts w:ascii="Calibri" w:hAnsi="Calibri" w:eastAsia="Times New Roman" w:cs="Calibri"/>
                <w:b/>
                <w:bCs/>
                <w:kern w:val="0"/>
                <w:sz w:val="20"/>
                <w:szCs w:val="20"/>
              </w:rPr>
            </w:pPr>
            <w:r>
              <w:rPr>
                <w:rFonts w:ascii="宋体" w:hAnsi="宋体" w:cs="宋体"/>
                <w:b/>
                <w:bCs/>
                <w:kern w:val="0"/>
                <w:sz w:val="24"/>
              </w:rPr>
              <w:t>合计</w:t>
            </w:r>
          </w:p>
        </w:tc>
        <w:tc>
          <w:tcPr>
            <w:tcW w:w="1682" w:type="dxa"/>
            <w:vAlign w:val="center"/>
          </w:tcPr>
          <w:p w14:paraId="594F4DF9">
            <w:pPr>
              <w:widowControl/>
              <w:spacing w:before="100" w:beforeAutospacing="1" w:after="100" w:afterAutospacing="1" w:line="360" w:lineRule="auto"/>
              <w:jc w:val="center"/>
              <w:rPr>
                <w:rFonts w:hint="eastAsia" w:ascii="宋体" w:hAnsi="宋体" w:cs="宋体"/>
                <w:b/>
                <w:bCs/>
                <w:kern w:val="0"/>
                <w:sz w:val="24"/>
              </w:rPr>
            </w:pPr>
            <w:r>
              <w:rPr>
                <w:rFonts w:ascii="宋体" w:hAnsi="宋体" w:cs="宋体"/>
                <w:b/>
                <w:bCs/>
                <w:kern w:val="0"/>
                <w:sz w:val="24"/>
              </w:rPr>
              <w:t>1</w:t>
            </w:r>
            <w:r>
              <w:rPr>
                <w:rFonts w:hint="eastAsia" w:ascii="宋体" w:hAnsi="宋体" w:cs="宋体"/>
                <w:b/>
                <w:bCs/>
                <w:kern w:val="0"/>
                <w:sz w:val="24"/>
              </w:rPr>
              <w:t>12</w:t>
            </w:r>
            <w:r>
              <w:rPr>
                <w:rFonts w:ascii="宋体" w:hAnsi="宋体" w:cs="宋体"/>
                <w:b/>
                <w:bCs/>
                <w:kern w:val="0"/>
                <w:sz w:val="24"/>
              </w:rPr>
              <w:t>999.61</w:t>
            </w:r>
          </w:p>
        </w:tc>
      </w:tr>
    </w:tbl>
    <w:p w14:paraId="62308385">
      <w:pPr>
        <w:pStyle w:val="15"/>
        <w:ind w:firstLine="480"/>
      </w:pPr>
    </w:p>
    <w:p w14:paraId="1D1D49F6">
      <w:pPr>
        <w:spacing w:before="240" w:after="60"/>
        <w:jc w:val="left"/>
        <w:outlineLvl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二、采购内容</w:t>
      </w:r>
    </w:p>
    <w:p w14:paraId="794B2B1F">
      <w:pPr>
        <w:pStyle w:val="15"/>
        <w:ind w:firstLine="480"/>
      </w:pPr>
      <w:r>
        <w:rPr>
          <w:rFonts w:hint="eastAsia"/>
        </w:rPr>
        <w:t>本项目采购内容包括但不限于以下四部分：</w:t>
      </w:r>
    </w:p>
    <w:p w14:paraId="5F33B61E">
      <w:pPr>
        <w:pStyle w:val="15"/>
        <w:ind w:firstLine="480"/>
      </w:pPr>
      <w:r>
        <w:rPr>
          <w:rFonts w:hint="eastAsia"/>
        </w:rPr>
        <w:t>（一）郢都辽远—楚都纪南城考古展厅</w:t>
      </w:r>
    </w:p>
    <w:p w14:paraId="3A92216D">
      <w:pPr>
        <w:pStyle w:val="15"/>
        <w:ind w:firstLine="480"/>
      </w:pPr>
      <w:r>
        <w:rPr>
          <w:rFonts w:hint="eastAsia"/>
        </w:rPr>
        <w:t>1.完成“郢都辽远—楚都纪南城考古展厅”玻璃隔断的现场复尺、深化确认、玻璃及边框材料采购、加工、运输和安装，工程量为67.214㎡。</w:t>
      </w:r>
    </w:p>
    <w:p w14:paraId="492666B6">
      <w:pPr>
        <w:pStyle w:val="15"/>
        <w:ind w:firstLine="480"/>
      </w:pPr>
      <w:r>
        <w:rPr>
          <w:rFonts w:hint="eastAsia"/>
        </w:rPr>
        <w:t>2.玻璃隔断安装范围包括左侧玻璃封闭7850mm×2800mm、右侧玻璃封闭7755mm×2800mm、中间玻璃封闭8400mm×2800mm，最终安装尺寸以现场复尺和采购人确认结果为准。</w:t>
      </w:r>
    </w:p>
    <w:p w14:paraId="4FC48252">
      <w:pPr>
        <w:pStyle w:val="15"/>
        <w:ind w:firstLine="480"/>
      </w:pPr>
      <w:r>
        <w:rPr>
          <w:rFonts w:hint="eastAsia"/>
        </w:rPr>
        <w:t>3.玻璃隔断采用2.0mm铝型材竖边框，玻璃采用超白钢化玻璃，厚度不低于8mm。</w:t>
      </w:r>
    </w:p>
    <w:p w14:paraId="64C1F85F">
      <w:pPr>
        <w:pStyle w:val="15"/>
        <w:ind w:firstLine="480"/>
      </w:pPr>
      <w:r>
        <w:rPr>
          <w:rFonts w:hint="eastAsia"/>
        </w:rPr>
        <w:t>4.完成玻璃护栏、展厅局部改造节点以及墙面、地面交接位置的铝合金或不锈钢边框收口处理，确保安装牢固、线条顺直，与展厅原有装修风格协调统一。</w:t>
      </w:r>
    </w:p>
    <w:p w14:paraId="52201E4A">
      <w:pPr>
        <w:pStyle w:val="15"/>
        <w:ind w:firstLine="480"/>
      </w:pPr>
      <w:r>
        <w:rPr>
          <w:rFonts w:hint="eastAsia"/>
        </w:rPr>
        <w:t>（二）瓷汇江汉—湖北考古出土瓷器展厅</w:t>
      </w:r>
    </w:p>
    <w:p w14:paraId="137F3B47">
      <w:pPr>
        <w:pStyle w:val="15"/>
        <w:ind w:firstLine="480"/>
      </w:pPr>
      <w:r>
        <w:rPr>
          <w:rFonts w:hint="eastAsia"/>
        </w:rPr>
        <w:t>1.完成“瓷汇江汉—湖北考古出土瓷器展厅”玻璃隔断的现场复尺、深化确认、玻璃及边框材料采购、加工、运输和安装，工程量为7.106㎡。</w:t>
      </w:r>
    </w:p>
    <w:p w14:paraId="2D0CA9F0">
      <w:pPr>
        <w:pStyle w:val="15"/>
        <w:ind w:firstLine="480"/>
      </w:pPr>
      <w:r>
        <w:rPr>
          <w:rFonts w:hint="eastAsia"/>
        </w:rPr>
        <w:t>2.玻璃隔断安装范围包括左侧玻璃封闭2990mm×850mm、右侧玻璃封闭2990mm×850mm、中间玻璃封闭2380mm×850mm，最终安装尺寸以现场复尺和采购人确认结果为准。</w:t>
      </w:r>
    </w:p>
    <w:p w14:paraId="05CE0707">
      <w:pPr>
        <w:pStyle w:val="15"/>
        <w:ind w:firstLine="480"/>
      </w:pPr>
      <w:r>
        <w:rPr>
          <w:rFonts w:hint="eastAsia"/>
        </w:rPr>
        <w:t>3.玻璃隔断采用2.0mm铝型材竖边框，玻璃采用超白钢化玻璃，厚度不低于8mm。</w:t>
      </w:r>
    </w:p>
    <w:p w14:paraId="59DD0E9F">
      <w:pPr>
        <w:pStyle w:val="15"/>
        <w:ind w:firstLine="480"/>
      </w:pPr>
      <w:r>
        <w:rPr>
          <w:rFonts w:hint="eastAsia"/>
        </w:rPr>
        <w:t>4.完成玻璃护栏、展厅局部改造节点以及墙面、地面交接位置的铝合金或不锈钢边框收口处理，确保安装牢固、线条顺直，与展厅原有装修风格协调统一。</w:t>
      </w:r>
    </w:p>
    <w:p w14:paraId="1D249B75">
      <w:pPr>
        <w:pStyle w:val="15"/>
        <w:ind w:firstLine="480"/>
      </w:pPr>
      <w:r>
        <w:rPr>
          <w:rFonts w:hint="eastAsia"/>
        </w:rPr>
        <w:t>（三）园区及展厅导视系统设计制作</w:t>
      </w:r>
    </w:p>
    <w:p w14:paraId="7F3C2F6E">
      <w:pPr>
        <w:pStyle w:val="15"/>
        <w:ind w:firstLine="480"/>
      </w:pPr>
      <w:r>
        <w:rPr>
          <w:rFonts w:hint="eastAsia"/>
        </w:rPr>
        <w:t>1.根据湖北考古博物馆园区、展厅入口、公共服务区域、游客流线节点、功能空间及安全提示区域的实际需求，完成导视系统整体规划、设计、制作及安装。</w:t>
      </w:r>
    </w:p>
    <w:p w14:paraId="3A087CBC">
      <w:pPr>
        <w:pStyle w:val="15"/>
        <w:ind w:firstLine="480"/>
      </w:pPr>
      <w:r>
        <w:rPr>
          <w:rFonts w:hint="eastAsia"/>
        </w:rPr>
        <w:t>2.导视系统建设内容包括展厅入口形象牌、方向指引、功能提示牌、区域说明牌、楼层索引牌、服务设施标识牌、安全提示牌、温馨提示牌等。</w:t>
      </w:r>
    </w:p>
    <w:p w14:paraId="65E7D358">
      <w:pPr>
        <w:pStyle w:val="15"/>
        <w:ind w:firstLine="480"/>
      </w:pPr>
      <w:r>
        <w:rPr>
          <w:rFonts w:hint="eastAsia"/>
        </w:rPr>
        <w:t>3.结合博物馆建筑环境、考古文化属性、展厅空间风格和观众参观习惯，完成导视分级逻辑、整体视觉样式及中英文信息排版设计。</w:t>
      </w:r>
    </w:p>
    <w:p w14:paraId="6BEA5705">
      <w:pPr>
        <w:pStyle w:val="15"/>
        <w:ind w:firstLine="480"/>
      </w:pPr>
      <w:r>
        <w:rPr>
          <w:rFonts w:hint="eastAsia"/>
        </w:rPr>
        <w:t>4.根据不同安装环境和使用需求，完成导视设施材料选用、制作加工、现场点位确认、安装放样及固定安装，确保导视内容准确、标识清晰、安装牢固，与博物馆整体环境协调统一。</w:t>
      </w:r>
    </w:p>
    <w:p w14:paraId="1B6A52BF">
      <w:pPr>
        <w:pStyle w:val="15"/>
        <w:ind w:firstLine="480"/>
      </w:pPr>
      <w:r>
        <w:rPr>
          <w:rFonts w:hint="eastAsia"/>
        </w:rPr>
        <w:t>（四）展厅电源、UPS系统及配管配线</w:t>
      </w:r>
    </w:p>
    <w:p w14:paraId="4D83C5EA">
      <w:pPr>
        <w:pStyle w:val="15"/>
        <w:ind w:firstLine="480"/>
      </w:pPr>
      <w:r>
        <w:rPr>
          <w:rFonts w:hint="eastAsia"/>
        </w:rPr>
        <w:t>1.提供并安装IP网络消防采集器1套，完成网络、报警信号及供电接入和功能调试。</w:t>
      </w:r>
    </w:p>
    <w:p w14:paraId="39B6544E">
      <w:pPr>
        <w:pStyle w:val="15"/>
        <w:ind w:firstLine="480"/>
      </w:pPr>
      <w:r>
        <w:rPr>
          <w:rFonts w:hint="eastAsia"/>
        </w:rPr>
        <w:t>2.提供并安装无线移动手持机1套，其项目特征为IP网络北斗校时器，完成网络授时相关接入和调试。</w:t>
      </w:r>
    </w:p>
    <w:p w14:paraId="2DEDD9CF">
      <w:pPr>
        <w:pStyle w:val="15"/>
        <w:ind w:firstLine="480"/>
      </w:pPr>
      <w:r>
        <w:rPr>
          <w:rFonts w:hint="eastAsia"/>
        </w:rPr>
        <w:t>3.提供并安装10KVA UPS电源系统1套，配置相匹配蓄电池组，完成运输、安装、接线、调试及运行测试。</w:t>
      </w:r>
    </w:p>
    <w:p w14:paraId="09BCBB76">
      <w:pPr>
        <w:pStyle w:val="15"/>
        <w:ind w:firstLine="480"/>
      </w:pPr>
      <w:r>
        <w:rPr>
          <w:rFonts w:hint="eastAsia"/>
        </w:rPr>
        <w:t>4.完成PC20电气配管100m，采用暗敷方式施工。</w:t>
      </w:r>
    </w:p>
    <w:p w14:paraId="761323FA">
      <w:pPr>
        <w:pStyle w:val="15"/>
        <w:ind w:firstLine="480"/>
      </w:pPr>
      <w:r>
        <w:rPr>
          <w:rFonts w:hint="eastAsia"/>
        </w:rPr>
        <w:t>5.完成ZRBV-2.5电气配线300m、ZRBV-4动力配线150m、RVV-2×2.5电气配线300m及超六类网线150m，均按清单要求进行管内敷设。</w:t>
      </w:r>
    </w:p>
    <w:p w14:paraId="6B43E0DC">
      <w:pPr>
        <w:pStyle w:val="15"/>
        <w:ind w:firstLine="480"/>
      </w:pPr>
      <w:r>
        <w:rPr>
          <w:rFonts w:hint="eastAsia"/>
        </w:rPr>
        <w:t>6.完成信息插座3个及86型接线盒3个的安装，并做好接线、固定、标识及收口。</w:t>
      </w:r>
    </w:p>
    <w:p w14:paraId="046F1B01">
      <w:pPr>
        <w:pStyle w:val="15"/>
        <w:ind w:firstLine="480"/>
      </w:pPr>
      <w:r>
        <w:rPr>
          <w:rFonts w:hint="eastAsia"/>
        </w:rPr>
        <w:t>7.完成上述设备系统、管线及信息点位的施工组织、包装运输、馆内搬运、安装接线、系统调试、运行测试、现场清理、资料整理及验收移交等工作。</w:t>
      </w:r>
    </w:p>
    <w:p w14:paraId="356BA2EC">
      <w:pPr>
        <w:spacing w:before="240" w:after="60"/>
        <w:jc w:val="left"/>
        <w:outlineLvl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三、项目实施范围</w:t>
      </w:r>
    </w:p>
    <w:p w14:paraId="40FAC410">
      <w:pPr>
        <w:pStyle w:val="15"/>
        <w:ind w:firstLine="480"/>
      </w:pPr>
      <w:r>
        <w:rPr>
          <w:rFonts w:hint="eastAsia"/>
        </w:rPr>
        <w:t>（一）郢都辽远—楚都纪南城考古展厅</w:t>
      </w:r>
    </w:p>
    <w:p w14:paraId="13B36119">
      <w:pPr>
        <w:pStyle w:val="15"/>
        <w:ind w:firstLine="480"/>
      </w:pPr>
      <w:r>
        <w:rPr>
          <w:rFonts w:hint="eastAsia"/>
        </w:rPr>
        <w:t>在湖北考古博物馆“郢都辽远—楚都纪南城考古展厅”实施玻璃隔断工程，工程量按67.214㎡计，具体涉及左侧、右侧及中间玻璃封闭区域，最终安装尺寸、玻璃分格及收口节点以现场复尺和采购人确认结果为准。</w:t>
      </w:r>
    </w:p>
    <w:p w14:paraId="26A410D0">
      <w:pPr>
        <w:pStyle w:val="15"/>
        <w:ind w:firstLine="480"/>
      </w:pPr>
      <w:r>
        <w:rPr>
          <w:rFonts w:hint="eastAsia"/>
        </w:rPr>
        <w:t>（二）瓷汇江汉—湖北考古出土瓷器展厅</w:t>
      </w:r>
    </w:p>
    <w:p w14:paraId="6681C43B">
      <w:pPr>
        <w:pStyle w:val="15"/>
        <w:ind w:firstLine="480"/>
      </w:pPr>
      <w:r>
        <w:rPr>
          <w:rFonts w:hint="eastAsia"/>
        </w:rPr>
        <w:t>在湖北考古博物馆“瓷汇江汉—湖北考古出土瓷器展厅”实施玻璃隔断工程，工程量按7.106㎡计，具体涉及左侧、右侧及中间玻璃封闭区域，最终安装尺寸、玻璃分格及收口节点以现场复尺和采购人确认结果为准。</w:t>
      </w:r>
    </w:p>
    <w:p w14:paraId="31DAE8D3">
      <w:pPr>
        <w:pStyle w:val="15"/>
        <w:ind w:firstLine="480"/>
      </w:pPr>
      <w:r>
        <w:rPr>
          <w:rFonts w:hint="eastAsia"/>
        </w:rPr>
        <w:t>（三）园区及展厅导视系统</w:t>
      </w:r>
    </w:p>
    <w:p w14:paraId="6C3FCA77">
      <w:pPr>
        <w:pStyle w:val="15"/>
        <w:ind w:firstLine="480"/>
      </w:pPr>
      <w:r>
        <w:rPr>
          <w:rFonts w:hint="eastAsia"/>
        </w:rPr>
        <w:t>在湖北考古博物馆园区、展厅入口、公共服务区域、游客流线节点、功能空间及安全提示区域等范围内实施导视系统设计制作安装，具体导视类型、设置位置、数量、样式及安装方式以现场实际需求和采购人确认结果为准。</w:t>
      </w:r>
    </w:p>
    <w:p w14:paraId="5007AA0B">
      <w:pPr>
        <w:pStyle w:val="15"/>
        <w:ind w:firstLine="480"/>
      </w:pPr>
      <w:r>
        <w:rPr>
          <w:rFonts w:hint="eastAsia"/>
        </w:rPr>
        <w:t>（四）设备安装与系统接入区域</w:t>
      </w:r>
    </w:p>
    <w:p w14:paraId="6BB49632">
      <w:pPr>
        <w:pStyle w:val="15"/>
        <w:ind w:firstLine="480"/>
      </w:pPr>
      <w:r>
        <w:rPr>
          <w:rFonts w:hint="eastAsia"/>
        </w:rPr>
        <w:t>在采购人指定位置完成IP网络消防采集器、无线移动手持机及10KVA UPS电源系统的就位、安装、接线、网络或信号接入及调试。</w:t>
      </w:r>
    </w:p>
    <w:p w14:paraId="46EB74CC">
      <w:pPr>
        <w:pStyle w:val="15"/>
        <w:ind w:firstLine="480"/>
      </w:pPr>
      <w:r>
        <w:rPr>
          <w:rFonts w:hint="eastAsia"/>
        </w:rPr>
        <w:t>（五）配管配线及信息点位施工区域</w:t>
      </w:r>
    </w:p>
    <w:p w14:paraId="001593E8">
      <w:pPr>
        <w:pStyle w:val="15"/>
        <w:ind w:firstLine="480"/>
      </w:pPr>
      <w:r>
        <w:rPr>
          <w:rFonts w:hint="eastAsia"/>
        </w:rPr>
        <w:t>在采购人指定的馆内相关区域完成PC20配管、ZRBV系列配线、RVV配线、超六类网线、信息插座及86型接线盒等施工，具体走向、点位和接入位置以现场条件及采购人确认结果为准。</w:t>
      </w:r>
    </w:p>
    <w:p w14:paraId="459006F6">
      <w:pPr>
        <w:spacing w:before="240" w:after="60"/>
        <w:jc w:val="left"/>
        <w:outlineLvl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四、服务要求</w:t>
      </w:r>
    </w:p>
    <w:p w14:paraId="067CAB39">
      <w:pPr>
        <w:pStyle w:val="15"/>
        <w:ind w:firstLine="480"/>
      </w:pPr>
      <w:r>
        <w:rPr>
          <w:rFonts w:hint="eastAsia"/>
        </w:rPr>
        <w:t>（一）总体要求</w:t>
      </w:r>
    </w:p>
    <w:p w14:paraId="77C14DBF">
      <w:pPr>
        <w:pStyle w:val="15"/>
        <w:ind w:firstLine="480"/>
      </w:pPr>
      <w:r>
        <w:rPr>
          <w:rFonts w:hint="eastAsia"/>
        </w:rPr>
        <w:t>1.供应商须依据采购人提供的基础需求、工程量清单及现场实际条件进行复尺、深化和施工组织，形成可实施的完整方案。</w:t>
      </w:r>
    </w:p>
    <w:p w14:paraId="4DD08EC2">
      <w:pPr>
        <w:pStyle w:val="15"/>
        <w:ind w:firstLine="480"/>
      </w:pPr>
      <w:r>
        <w:rPr>
          <w:rFonts w:hint="eastAsia"/>
        </w:rPr>
        <w:t>2.本项目实施应充分考虑博物馆空间环境特点，严格控制施工干扰，确保文物安全、场馆安全、设备安全和人员安全。</w:t>
      </w:r>
    </w:p>
    <w:p w14:paraId="5501919A">
      <w:pPr>
        <w:pStyle w:val="15"/>
        <w:ind w:firstLine="480"/>
      </w:pPr>
      <w:r>
        <w:rPr>
          <w:rFonts w:hint="eastAsia"/>
        </w:rPr>
        <w:t>3.供应商应充分踏勘现场，自行综合考虑运输条件、设备就位条件、管线敷设条件、施工组织难度、错峰施工需求及馆内保护要求等因素。</w:t>
      </w:r>
    </w:p>
    <w:p w14:paraId="383B94B7">
      <w:pPr>
        <w:pStyle w:val="15"/>
        <w:ind w:firstLine="480"/>
      </w:pPr>
      <w:r>
        <w:rPr>
          <w:rFonts w:hint="eastAsia"/>
        </w:rPr>
        <w:t>4.所有材料、设备、工艺及安装做法须满足国家现行相关标准、规范以及采购人现场管理要求。</w:t>
      </w:r>
    </w:p>
    <w:p w14:paraId="60C50D2A">
      <w:pPr>
        <w:pStyle w:val="15"/>
        <w:ind w:firstLine="480"/>
      </w:pPr>
      <w:r>
        <w:rPr>
          <w:rFonts w:hint="eastAsia"/>
        </w:rPr>
        <w:t>5.供应商提供的材料和设备应为质量合格产品，不得使用以次充好、翻新或不符合本项目技术要求的产品。</w:t>
      </w:r>
    </w:p>
    <w:p w14:paraId="0296F88D">
      <w:pPr>
        <w:pStyle w:val="15"/>
        <w:ind w:firstLine="480"/>
      </w:pPr>
      <w:r>
        <w:rPr>
          <w:rFonts w:hint="eastAsia"/>
        </w:rPr>
        <w:t>6.所有外观可见部分应兼顾功能性、协调性和观感品质，安装完成后应与博物馆原有展示环境及装修风格协调统一。</w:t>
      </w:r>
    </w:p>
    <w:p w14:paraId="74C9E919">
      <w:pPr>
        <w:pStyle w:val="15"/>
        <w:ind w:firstLine="480"/>
      </w:pPr>
      <w:r>
        <w:rPr>
          <w:rFonts w:hint="eastAsia"/>
        </w:rPr>
        <w:t>（二）玻璃隔断技术要求</w:t>
      </w:r>
    </w:p>
    <w:p w14:paraId="010066EA">
      <w:pPr>
        <w:pStyle w:val="15"/>
        <w:ind w:firstLine="480"/>
      </w:pPr>
      <w:r>
        <w:rPr>
          <w:rFonts w:hint="eastAsia"/>
        </w:rPr>
        <w:t>1.复尺与深化要求</w:t>
      </w:r>
    </w:p>
    <w:p w14:paraId="0778C8BF">
      <w:pPr>
        <w:pStyle w:val="15"/>
        <w:ind w:firstLine="480"/>
      </w:pPr>
      <w:r>
        <w:rPr>
          <w:rFonts w:hint="eastAsia"/>
        </w:rPr>
        <w:t>1.1成交供应商在合同签订后须对玻璃隔断施工区域进行现场复尺，并结合实际基层条件、收口节点和安装空间完成深化确认。</w:t>
      </w:r>
    </w:p>
    <w:p w14:paraId="3FBA0188">
      <w:pPr>
        <w:pStyle w:val="15"/>
        <w:ind w:firstLine="480"/>
      </w:pPr>
      <w:r>
        <w:rPr>
          <w:rFonts w:hint="eastAsia"/>
        </w:rPr>
        <w:t>1.2深化成果应至少明确玻璃分格、边框尺寸及位置、固定方式、墙地交接收口节点、材料规格和安装工艺。</w:t>
      </w:r>
    </w:p>
    <w:p w14:paraId="5DD9A1F2">
      <w:pPr>
        <w:pStyle w:val="15"/>
        <w:ind w:firstLine="480"/>
      </w:pPr>
      <w:r>
        <w:rPr>
          <w:rFonts w:hint="eastAsia"/>
        </w:rPr>
        <w:t>1.3所有加工制作和现场安装均应以复尺尺寸及采购人确认结果为准，未经确认不得擅自加工或安装。</w:t>
      </w:r>
    </w:p>
    <w:p w14:paraId="46B9B85E">
      <w:pPr>
        <w:pStyle w:val="15"/>
        <w:ind w:firstLine="480"/>
      </w:pPr>
      <w:r>
        <w:rPr>
          <w:rFonts w:hint="eastAsia"/>
        </w:rPr>
        <w:t>1.4玻璃隔断安装范围包括以下两个展厅：</w:t>
      </w:r>
    </w:p>
    <w:p w14:paraId="625B0CD8">
      <w:pPr>
        <w:pStyle w:val="15"/>
        <w:ind w:firstLine="480"/>
      </w:pPr>
      <w:r>
        <w:rPr>
          <w:rFonts w:hint="eastAsia"/>
        </w:rPr>
        <w:t>（1）郢都辽远—楚都纪南城考古展厅：左侧玻璃封闭7850mm×2800mm、右侧玻璃封闭7755mm×2800mm、中间玻璃封闭8400mm×2800mm，工程量为67.214㎡。</w:t>
      </w:r>
    </w:p>
    <w:p w14:paraId="19B223E5">
      <w:pPr>
        <w:pStyle w:val="15"/>
        <w:ind w:firstLine="480"/>
      </w:pPr>
      <w:r>
        <w:rPr>
          <w:rFonts w:hint="eastAsia"/>
        </w:rPr>
        <w:t>（2）瓷汇江汉—湖北考古出土瓷器展厅：左侧玻璃封闭2990mm×850mm、右侧玻璃封闭2990mm×850mm、中间玻璃封闭2380mm×850mm，工程量为7.106㎡。</w:t>
      </w:r>
    </w:p>
    <w:p w14:paraId="171F43BA">
      <w:pPr>
        <w:pStyle w:val="15"/>
        <w:ind w:firstLine="480"/>
      </w:pPr>
      <w:r>
        <w:rPr>
          <w:rFonts w:hint="eastAsia"/>
        </w:rPr>
        <w:t>以上尺寸为项目基础尺寸，具体加工尺寸及安装节点以现场复尺和采购人确认结果为准。</w:t>
      </w:r>
    </w:p>
    <w:p w14:paraId="0126B9DA">
      <w:pPr>
        <w:pStyle w:val="15"/>
        <w:ind w:firstLine="480"/>
      </w:pPr>
      <w:r>
        <w:rPr>
          <w:rFonts w:hint="eastAsia"/>
        </w:rPr>
        <w:t>2.玻璃及边框材料要求</w:t>
      </w:r>
    </w:p>
    <w:p w14:paraId="45B49A1D">
      <w:pPr>
        <w:pStyle w:val="15"/>
        <w:ind w:firstLine="480"/>
      </w:pPr>
      <w:r>
        <w:rPr>
          <w:rFonts w:hint="eastAsia"/>
        </w:rPr>
        <w:t>2.1玻璃采用超白钢化玻璃，玻璃厚度不低于8mm。</w:t>
      </w:r>
    </w:p>
    <w:p w14:paraId="3C893409">
      <w:pPr>
        <w:pStyle w:val="15"/>
        <w:ind w:firstLine="480"/>
      </w:pPr>
      <w:r>
        <w:rPr>
          <w:rFonts w:hint="eastAsia"/>
        </w:rPr>
        <w:t>2.2竖边框采用2.0mm铝型材，材料规格、表面处理和颜色应满足现场安装及整体观感要求。</w:t>
      </w:r>
    </w:p>
    <w:p w14:paraId="769E18FB">
      <w:pPr>
        <w:pStyle w:val="15"/>
        <w:ind w:firstLine="480"/>
      </w:pPr>
      <w:r>
        <w:rPr>
          <w:rFonts w:hint="eastAsia"/>
        </w:rPr>
        <w:t>2.3玻璃应具备良好的透光性、平整度和安全性，不得存在明显气泡、夹杂、色差、划伤、崩边、裂纹等缺陷。</w:t>
      </w:r>
    </w:p>
    <w:p w14:paraId="2A313B9D">
      <w:pPr>
        <w:pStyle w:val="15"/>
        <w:ind w:firstLine="480"/>
      </w:pPr>
      <w:r>
        <w:rPr>
          <w:rFonts w:hint="eastAsia"/>
        </w:rPr>
        <w:t>2.4玻璃边部应进行必要的磨边、倒角等安全处理，所有玻璃制品及安装做法应符合国家现行安全玻璃相关标准要求。</w:t>
      </w:r>
    </w:p>
    <w:p w14:paraId="3DC8B533">
      <w:pPr>
        <w:pStyle w:val="15"/>
        <w:ind w:firstLine="480"/>
      </w:pPr>
      <w:r>
        <w:rPr>
          <w:rFonts w:hint="eastAsia"/>
        </w:rPr>
        <w:t>3.收口及安装要求</w:t>
      </w:r>
    </w:p>
    <w:p w14:paraId="57DC4416">
      <w:pPr>
        <w:pStyle w:val="15"/>
        <w:ind w:firstLine="480"/>
      </w:pPr>
      <w:r>
        <w:rPr>
          <w:rFonts w:hint="eastAsia"/>
        </w:rPr>
        <w:t>3.1对玻璃护栏、展厅局部改造节点、墙面及地面交接位置进行铝合金或不锈钢边框收口处理。</w:t>
      </w:r>
    </w:p>
    <w:p w14:paraId="382CE2AC">
      <w:pPr>
        <w:pStyle w:val="15"/>
        <w:ind w:firstLine="480"/>
      </w:pPr>
      <w:r>
        <w:rPr>
          <w:rFonts w:hint="eastAsia"/>
        </w:rPr>
        <w:t>3.2外露金属构件应表面平整、颜色协调，无毛刺、无明显焊痕、无明显色差。</w:t>
      </w:r>
    </w:p>
    <w:p w14:paraId="2D00C2CB">
      <w:pPr>
        <w:pStyle w:val="15"/>
        <w:ind w:firstLine="480"/>
      </w:pPr>
      <w:r>
        <w:rPr>
          <w:rFonts w:hint="eastAsia"/>
        </w:rPr>
        <w:t>3.3收边压条、扣件、边框等应安装牢固、线条顺直，与展厅原有装修风格协调统一。</w:t>
      </w:r>
    </w:p>
    <w:p w14:paraId="306E2B04">
      <w:pPr>
        <w:pStyle w:val="15"/>
        <w:ind w:firstLine="480"/>
      </w:pPr>
      <w:r>
        <w:rPr>
          <w:rFonts w:hint="eastAsia"/>
        </w:rPr>
        <w:t>3.4玻璃安装后应整体平整、稳固，连接部位严密，收口完整，不得出现明显松动、变形、翘曲或影响使用安全的情况。</w:t>
      </w:r>
    </w:p>
    <w:p w14:paraId="33DA1E23">
      <w:pPr>
        <w:pStyle w:val="15"/>
        <w:ind w:firstLine="480"/>
      </w:pPr>
      <w:r>
        <w:t>（三）设备及配套工程技术要求</w:t>
      </w:r>
    </w:p>
    <w:tbl>
      <w:tblPr>
        <w:tblStyle w:val="28"/>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1292"/>
        <w:gridCol w:w="5156"/>
        <w:gridCol w:w="567"/>
        <w:gridCol w:w="709"/>
      </w:tblGrid>
      <w:tr w14:paraId="4F4E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blHeader/>
        </w:trPr>
        <w:tc>
          <w:tcPr>
            <w:tcW w:w="493" w:type="dxa"/>
            <w:noWrap/>
            <w:tcMar>
              <w:left w:w="0" w:type="dxa"/>
              <w:right w:w="0" w:type="dxa"/>
            </w:tcMar>
            <w:vAlign w:val="center"/>
          </w:tcPr>
          <w:p w14:paraId="57DD2032">
            <w:pPr>
              <w:widowControl/>
              <w:jc w:val="center"/>
              <w:rPr>
                <w:rFonts w:hint="eastAsia" w:ascii="宋体" w:hAnsi="宋体" w:cs="宋体"/>
                <w:b/>
                <w:bCs/>
                <w:color w:val="000000"/>
                <w:kern w:val="0"/>
                <w:sz w:val="21"/>
                <w:szCs w:val="21"/>
              </w:rPr>
            </w:pPr>
            <w:r>
              <w:rPr>
                <w:rFonts w:ascii="宋体" w:hAnsi="宋体"/>
                <w:b/>
                <w:sz w:val="21"/>
                <w:szCs w:val="21"/>
              </w:rPr>
              <w:t>序号</w:t>
            </w:r>
          </w:p>
        </w:tc>
        <w:tc>
          <w:tcPr>
            <w:tcW w:w="1292" w:type="dxa"/>
            <w:tcMar>
              <w:left w:w="0" w:type="dxa"/>
              <w:right w:w="0" w:type="dxa"/>
            </w:tcMar>
            <w:vAlign w:val="center"/>
          </w:tcPr>
          <w:p w14:paraId="59291466">
            <w:pPr>
              <w:widowControl/>
              <w:jc w:val="center"/>
              <w:rPr>
                <w:rFonts w:hint="eastAsia" w:ascii="宋体" w:hAnsi="宋体" w:cs="宋体"/>
                <w:b/>
                <w:bCs/>
                <w:color w:val="000000"/>
                <w:kern w:val="0"/>
                <w:sz w:val="21"/>
                <w:szCs w:val="21"/>
              </w:rPr>
            </w:pPr>
            <w:r>
              <w:rPr>
                <w:rFonts w:ascii="宋体" w:hAnsi="宋体"/>
                <w:b/>
                <w:sz w:val="21"/>
                <w:szCs w:val="21"/>
              </w:rPr>
              <w:t>项目名称</w:t>
            </w:r>
          </w:p>
        </w:tc>
        <w:tc>
          <w:tcPr>
            <w:tcW w:w="5156" w:type="dxa"/>
            <w:tcMar>
              <w:left w:w="0" w:type="dxa"/>
              <w:right w:w="0" w:type="dxa"/>
            </w:tcMar>
            <w:vAlign w:val="center"/>
          </w:tcPr>
          <w:p w14:paraId="18007F06">
            <w:pPr>
              <w:widowControl/>
              <w:jc w:val="center"/>
              <w:rPr>
                <w:rFonts w:hint="eastAsia" w:ascii="宋体" w:hAnsi="宋体" w:cs="宋体"/>
                <w:b/>
                <w:bCs/>
                <w:color w:val="000000"/>
                <w:kern w:val="0"/>
                <w:sz w:val="21"/>
                <w:szCs w:val="21"/>
              </w:rPr>
            </w:pPr>
            <w:r>
              <w:rPr>
                <w:rFonts w:ascii="宋体" w:hAnsi="宋体"/>
                <w:b/>
                <w:sz w:val="21"/>
                <w:szCs w:val="21"/>
              </w:rPr>
              <w:t>参数/技术要求</w:t>
            </w:r>
          </w:p>
        </w:tc>
        <w:tc>
          <w:tcPr>
            <w:tcW w:w="567" w:type="dxa"/>
            <w:tcMar>
              <w:left w:w="0" w:type="dxa"/>
              <w:right w:w="0" w:type="dxa"/>
            </w:tcMar>
            <w:vAlign w:val="center"/>
          </w:tcPr>
          <w:p w14:paraId="6615C738">
            <w:pPr>
              <w:widowControl/>
              <w:jc w:val="center"/>
              <w:rPr>
                <w:rFonts w:hint="eastAsia" w:ascii="宋体" w:hAnsi="宋体" w:cs="宋体"/>
                <w:b/>
                <w:bCs/>
                <w:color w:val="000000"/>
                <w:kern w:val="0"/>
                <w:sz w:val="21"/>
                <w:szCs w:val="21"/>
              </w:rPr>
            </w:pPr>
            <w:r>
              <w:rPr>
                <w:rFonts w:ascii="宋体" w:hAnsi="宋体"/>
                <w:b/>
                <w:sz w:val="21"/>
                <w:szCs w:val="21"/>
              </w:rPr>
              <w:t>数量</w:t>
            </w:r>
          </w:p>
        </w:tc>
        <w:tc>
          <w:tcPr>
            <w:tcW w:w="709" w:type="dxa"/>
            <w:tcMar>
              <w:left w:w="0" w:type="dxa"/>
              <w:right w:w="0" w:type="dxa"/>
            </w:tcMar>
            <w:vAlign w:val="center"/>
          </w:tcPr>
          <w:p w14:paraId="6C889877">
            <w:pPr>
              <w:widowControl/>
              <w:jc w:val="center"/>
              <w:rPr>
                <w:rFonts w:hint="eastAsia" w:ascii="宋体" w:hAnsi="宋体" w:cs="宋体"/>
                <w:b/>
                <w:bCs/>
                <w:color w:val="000000"/>
                <w:kern w:val="0"/>
                <w:sz w:val="21"/>
                <w:szCs w:val="21"/>
              </w:rPr>
            </w:pPr>
            <w:r>
              <w:rPr>
                <w:rFonts w:ascii="宋体" w:hAnsi="宋体"/>
                <w:b/>
                <w:sz w:val="21"/>
                <w:szCs w:val="21"/>
              </w:rPr>
              <w:t>单位</w:t>
            </w:r>
          </w:p>
        </w:tc>
      </w:tr>
      <w:tr w14:paraId="69E1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rPr>
        <w:tc>
          <w:tcPr>
            <w:tcW w:w="493" w:type="dxa"/>
            <w:noWrap/>
            <w:vAlign w:val="center"/>
          </w:tcPr>
          <w:p w14:paraId="7F7D579E">
            <w:pPr>
              <w:widowControl/>
              <w:jc w:val="center"/>
              <w:rPr>
                <w:rFonts w:hint="eastAsia" w:ascii="宋体" w:hAnsi="宋体" w:cs="宋体"/>
                <w:color w:val="000000"/>
                <w:kern w:val="0"/>
                <w:sz w:val="21"/>
                <w:szCs w:val="21"/>
              </w:rPr>
            </w:pPr>
            <w:r>
              <w:rPr>
                <w:rFonts w:ascii="宋体" w:hAnsi="宋体"/>
                <w:sz w:val="21"/>
                <w:szCs w:val="21"/>
              </w:rPr>
              <w:t>1</w:t>
            </w:r>
          </w:p>
        </w:tc>
        <w:tc>
          <w:tcPr>
            <w:tcW w:w="1292" w:type="dxa"/>
            <w:vAlign w:val="center"/>
          </w:tcPr>
          <w:p w14:paraId="06974AA1">
            <w:pPr>
              <w:widowControl/>
              <w:jc w:val="center"/>
              <w:rPr>
                <w:rFonts w:hint="eastAsia" w:ascii="宋体" w:hAnsi="宋体" w:cs="宋体"/>
                <w:color w:val="000000"/>
                <w:kern w:val="0"/>
                <w:sz w:val="21"/>
                <w:szCs w:val="21"/>
              </w:rPr>
            </w:pPr>
            <w:r>
              <w:rPr>
                <w:rFonts w:ascii="宋体" w:hAnsi="宋体"/>
                <w:sz w:val="21"/>
                <w:szCs w:val="21"/>
              </w:rPr>
              <w:t>IP网络消防采集器</w:t>
            </w:r>
          </w:p>
        </w:tc>
        <w:tc>
          <w:tcPr>
            <w:tcW w:w="5156" w:type="dxa"/>
            <w:vAlign w:val="center"/>
          </w:tcPr>
          <w:p w14:paraId="7516AA46">
            <w:pPr>
              <w:widowControl/>
              <w:jc w:val="left"/>
              <w:rPr>
                <w:rFonts w:hint="eastAsia" w:ascii="宋体" w:hAnsi="宋体" w:cs="宋体"/>
                <w:color w:val="000000"/>
                <w:kern w:val="0"/>
                <w:sz w:val="21"/>
                <w:szCs w:val="21"/>
              </w:rPr>
            </w:pPr>
            <w:r>
              <w:rPr>
                <w:rFonts w:ascii="宋体" w:hAnsi="宋体"/>
                <w:sz w:val="21"/>
                <w:szCs w:val="21"/>
              </w:rPr>
              <w:t>1.铝合金面板，2U金属机身；</w:t>
            </w:r>
            <w:r>
              <w:rPr>
                <w:rFonts w:ascii="宋体" w:hAnsi="宋体"/>
                <w:sz w:val="21"/>
                <w:szCs w:val="21"/>
              </w:rPr>
              <w:br w:type="textWrapping"/>
            </w:r>
            <w:r>
              <w:rPr>
                <w:rFonts w:ascii="宋体" w:hAnsi="宋体"/>
                <w:sz w:val="21"/>
                <w:szCs w:val="21"/>
              </w:rPr>
              <w:t>2.1路LAN网络接口；</w:t>
            </w:r>
            <w:r>
              <w:rPr>
                <w:rFonts w:ascii="宋体" w:hAnsi="宋体"/>
                <w:sz w:val="21"/>
                <w:szCs w:val="21"/>
              </w:rPr>
              <w:br w:type="textWrapping"/>
            </w:r>
            <w:r>
              <w:rPr>
                <w:rFonts w:ascii="宋体" w:hAnsi="宋体"/>
                <w:sz w:val="21"/>
                <w:szCs w:val="21"/>
              </w:rPr>
              <w:t>3.32路消防报警接入端子，非排线接入，可多台级联；</w:t>
            </w:r>
            <w:r>
              <w:rPr>
                <w:rFonts w:ascii="宋体" w:hAnsi="宋体"/>
                <w:sz w:val="21"/>
                <w:szCs w:val="21"/>
              </w:rPr>
              <w:br w:type="textWrapping"/>
            </w:r>
            <w:r>
              <w:rPr>
                <w:rFonts w:ascii="宋体" w:hAnsi="宋体"/>
                <w:sz w:val="21"/>
                <w:szCs w:val="21"/>
              </w:rPr>
              <w:t>4.设置报警复位按钮，可手动复位；</w:t>
            </w:r>
            <w:r>
              <w:rPr>
                <w:rFonts w:ascii="宋体" w:hAnsi="宋体"/>
                <w:sz w:val="21"/>
                <w:szCs w:val="21"/>
              </w:rPr>
              <w:br w:type="textWrapping"/>
            </w:r>
            <w:r>
              <w:rPr>
                <w:rFonts w:ascii="宋体" w:hAnsi="宋体"/>
                <w:sz w:val="21"/>
                <w:szCs w:val="21"/>
              </w:rPr>
              <w:t>5.支持手动和自动两种报警方式；</w:t>
            </w:r>
            <w:r>
              <w:rPr>
                <w:rFonts w:ascii="宋体" w:hAnsi="宋体"/>
                <w:sz w:val="21"/>
                <w:szCs w:val="21"/>
              </w:rPr>
              <w:br w:type="textWrapping"/>
            </w:r>
            <w:r>
              <w:rPr>
                <w:rFonts w:ascii="宋体" w:hAnsi="宋体"/>
                <w:sz w:val="21"/>
                <w:szCs w:val="21"/>
              </w:rPr>
              <w:t>6.支持单口触发本区域报警、邻层报警、全区报警；</w:t>
            </w:r>
            <w:r>
              <w:rPr>
                <w:rFonts w:ascii="宋体" w:hAnsi="宋体"/>
                <w:sz w:val="21"/>
                <w:szCs w:val="21"/>
              </w:rPr>
              <w:br w:type="textWrapping"/>
            </w:r>
            <w:r>
              <w:rPr>
                <w:rFonts w:ascii="宋体" w:hAnsi="宋体"/>
                <w:sz w:val="21"/>
                <w:szCs w:val="21"/>
              </w:rPr>
              <w:t>7.选配8路短路信号输出，可触发报警器等短路触发设备；</w:t>
            </w:r>
            <w:r>
              <w:rPr>
                <w:rFonts w:ascii="宋体" w:hAnsi="宋体"/>
                <w:sz w:val="21"/>
                <w:szCs w:val="21"/>
              </w:rPr>
              <w:br w:type="textWrapping"/>
            </w:r>
            <w:r>
              <w:rPr>
                <w:rFonts w:ascii="宋体" w:hAnsi="宋体"/>
                <w:sz w:val="21"/>
                <w:szCs w:val="21"/>
              </w:rPr>
              <w:t>8.32单元LED报警信号接入指示灯；</w:t>
            </w:r>
            <w:r>
              <w:rPr>
                <w:rFonts w:ascii="宋体" w:hAnsi="宋体"/>
                <w:sz w:val="21"/>
                <w:szCs w:val="21"/>
              </w:rPr>
              <w:br w:type="textWrapping"/>
            </w:r>
            <w:r>
              <w:rPr>
                <w:rFonts w:ascii="宋体" w:hAnsi="宋体"/>
                <w:sz w:val="21"/>
                <w:szCs w:val="21"/>
              </w:rPr>
              <w:t>9.报警接入电平：0V低电平；</w:t>
            </w:r>
            <w:r>
              <w:rPr>
                <w:rFonts w:ascii="宋体" w:hAnsi="宋体"/>
                <w:sz w:val="21"/>
                <w:szCs w:val="21"/>
              </w:rPr>
              <w:br w:type="textWrapping"/>
            </w:r>
            <w:r>
              <w:rPr>
                <w:rFonts w:ascii="宋体" w:hAnsi="宋体"/>
                <w:sz w:val="21"/>
                <w:szCs w:val="21"/>
              </w:rPr>
              <w:t>10.供电：220V/50Hz。</w:t>
            </w:r>
          </w:p>
        </w:tc>
        <w:tc>
          <w:tcPr>
            <w:tcW w:w="567" w:type="dxa"/>
            <w:vAlign w:val="center"/>
          </w:tcPr>
          <w:p w14:paraId="018F2A95">
            <w:pPr>
              <w:widowControl/>
              <w:jc w:val="center"/>
              <w:rPr>
                <w:rFonts w:hint="eastAsia" w:ascii="宋体" w:hAnsi="宋体" w:cs="宋体"/>
                <w:color w:val="000000"/>
                <w:kern w:val="0"/>
                <w:sz w:val="21"/>
                <w:szCs w:val="21"/>
              </w:rPr>
            </w:pPr>
            <w:r>
              <w:rPr>
                <w:rFonts w:ascii="宋体" w:hAnsi="宋体"/>
                <w:sz w:val="21"/>
                <w:szCs w:val="21"/>
              </w:rPr>
              <w:t>1</w:t>
            </w:r>
          </w:p>
        </w:tc>
        <w:tc>
          <w:tcPr>
            <w:tcW w:w="709" w:type="dxa"/>
            <w:vAlign w:val="center"/>
          </w:tcPr>
          <w:p w14:paraId="6C614003">
            <w:pPr>
              <w:widowControl/>
              <w:jc w:val="center"/>
              <w:rPr>
                <w:rFonts w:hint="eastAsia" w:ascii="宋体" w:hAnsi="宋体" w:cs="宋体"/>
                <w:color w:val="000000"/>
                <w:kern w:val="0"/>
                <w:sz w:val="21"/>
                <w:szCs w:val="21"/>
              </w:rPr>
            </w:pPr>
            <w:r>
              <w:rPr>
                <w:rFonts w:ascii="宋体" w:hAnsi="宋体"/>
                <w:sz w:val="21"/>
                <w:szCs w:val="21"/>
              </w:rPr>
              <w:t>套</w:t>
            </w:r>
          </w:p>
        </w:tc>
      </w:tr>
      <w:tr w14:paraId="69CF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rPr>
        <w:tc>
          <w:tcPr>
            <w:tcW w:w="493" w:type="dxa"/>
            <w:noWrap/>
            <w:vAlign w:val="center"/>
          </w:tcPr>
          <w:p w14:paraId="0FFEE01C">
            <w:pPr>
              <w:widowControl/>
              <w:jc w:val="center"/>
              <w:rPr>
                <w:rFonts w:hint="eastAsia" w:ascii="宋体" w:hAnsi="宋体" w:cs="宋体"/>
                <w:color w:val="000000"/>
                <w:kern w:val="0"/>
                <w:sz w:val="21"/>
                <w:szCs w:val="21"/>
              </w:rPr>
            </w:pPr>
            <w:r>
              <w:rPr>
                <w:rFonts w:ascii="宋体" w:hAnsi="宋体"/>
                <w:sz w:val="21"/>
                <w:szCs w:val="21"/>
              </w:rPr>
              <w:t>2</w:t>
            </w:r>
          </w:p>
        </w:tc>
        <w:tc>
          <w:tcPr>
            <w:tcW w:w="1292" w:type="dxa"/>
            <w:vAlign w:val="center"/>
          </w:tcPr>
          <w:p w14:paraId="3FE855C2">
            <w:pPr>
              <w:widowControl/>
              <w:jc w:val="center"/>
              <w:rPr>
                <w:rFonts w:hint="eastAsia" w:ascii="宋体" w:hAnsi="宋体" w:cs="宋体"/>
                <w:color w:val="000000"/>
                <w:kern w:val="0"/>
                <w:sz w:val="21"/>
                <w:szCs w:val="21"/>
              </w:rPr>
            </w:pPr>
            <w:r>
              <w:rPr>
                <w:rFonts w:ascii="宋体" w:hAnsi="宋体"/>
                <w:sz w:val="21"/>
                <w:szCs w:val="21"/>
              </w:rPr>
              <w:t>无线移动手持机</w:t>
            </w:r>
          </w:p>
        </w:tc>
        <w:tc>
          <w:tcPr>
            <w:tcW w:w="5156" w:type="dxa"/>
            <w:vAlign w:val="center"/>
          </w:tcPr>
          <w:p w14:paraId="4F2EC72C">
            <w:pPr>
              <w:widowControl/>
              <w:jc w:val="left"/>
              <w:rPr>
                <w:rFonts w:hint="eastAsia" w:ascii="宋体" w:hAnsi="宋体" w:cs="宋体"/>
                <w:color w:val="000000"/>
                <w:kern w:val="0"/>
                <w:sz w:val="21"/>
                <w:szCs w:val="21"/>
              </w:rPr>
            </w:pPr>
            <w:r>
              <w:rPr>
                <w:rFonts w:ascii="宋体" w:hAnsi="宋体"/>
                <w:sz w:val="21"/>
                <w:szCs w:val="21"/>
              </w:rPr>
              <w:t>1.IP网络北斗校时器；</w:t>
            </w:r>
            <w:r>
              <w:rPr>
                <w:rFonts w:ascii="宋体" w:hAnsi="宋体"/>
                <w:sz w:val="21"/>
                <w:szCs w:val="21"/>
              </w:rPr>
              <w:br w:type="textWrapping"/>
            </w:r>
            <w:r>
              <w:rPr>
                <w:rFonts w:ascii="宋体" w:hAnsi="宋体"/>
                <w:sz w:val="21"/>
                <w:szCs w:val="21"/>
              </w:rPr>
              <w:t>2.访问量可达6000次/秒；</w:t>
            </w:r>
            <w:r>
              <w:rPr>
                <w:rFonts w:ascii="宋体" w:hAnsi="宋体"/>
                <w:sz w:val="21"/>
                <w:szCs w:val="21"/>
              </w:rPr>
              <w:br w:type="textWrapping"/>
            </w:r>
            <w:r>
              <w:rPr>
                <w:rFonts w:ascii="宋体" w:hAnsi="宋体"/>
                <w:sz w:val="21"/>
                <w:szCs w:val="21"/>
              </w:rPr>
              <w:t>3.局域网同步授时精度：0.5-2ms；</w:t>
            </w:r>
            <w:r>
              <w:rPr>
                <w:rFonts w:ascii="宋体" w:hAnsi="宋体"/>
                <w:sz w:val="21"/>
                <w:szCs w:val="21"/>
              </w:rPr>
              <w:br w:type="textWrapping"/>
            </w:r>
            <w:r>
              <w:rPr>
                <w:rFonts w:ascii="宋体" w:hAnsi="宋体"/>
                <w:sz w:val="21"/>
                <w:szCs w:val="21"/>
              </w:rPr>
              <w:t>4.内部集成高精度授时GNSS卫星接收机；</w:t>
            </w:r>
            <w:r>
              <w:rPr>
                <w:rFonts w:ascii="宋体" w:hAnsi="宋体"/>
                <w:sz w:val="21"/>
                <w:szCs w:val="21"/>
              </w:rPr>
              <w:br w:type="textWrapping"/>
            </w:r>
            <w:r>
              <w:rPr>
                <w:rFonts w:ascii="宋体" w:hAnsi="宋体"/>
                <w:sz w:val="21"/>
                <w:szCs w:val="21"/>
              </w:rPr>
              <w:t>5.支持GPS、北斗；</w:t>
            </w:r>
            <w:r>
              <w:rPr>
                <w:rFonts w:ascii="宋体" w:hAnsi="宋体"/>
                <w:sz w:val="21"/>
                <w:szCs w:val="21"/>
              </w:rPr>
              <w:br w:type="textWrapping"/>
            </w:r>
            <w:r>
              <w:rPr>
                <w:rFonts w:ascii="宋体" w:hAnsi="宋体"/>
                <w:sz w:val="21"/>
                <w:szCs w:val="21"/>
              </w:rPr>
              <w:t>6.NTP v2（RFC 1119）、NTP v3（RFC 1305）、NTP v4（RFC5905）；</w:t>
            </w:r>
            <w:r>
              <w:rPr>
                <w:rFonts w:ascii="宋体" w:hAnsi="宋体"/>
                <w:sz w:val="21"/>
                <w:szCs w:val="21"/>
              </w:rPr>
              <w:br w:type="textWrapping"/>
            </w:r>
            <w:r>
              <w:rPr>
                <w:rFonts w:ascii="宋体" w:hAnsi="宋体"/>
                <w:sz w:val="21"/>
                <w:szCs w:val="21"/>
              </w:rPr>
              <w:t>7.SNTP v3（RFC 1769）、SNTP v4（RFC 2030）；</w:t>
            </w:r>
            <w:r>
              <w:rPr>
                <w:rFonts w:ascii="宋体" w:hAnsi="宋体"/>
                <w:sz w:val="21"/>
                <w:szCs w:val="21"/>
              </w:rPr>
              <w:br w:type="textWrapping"/>
            </w:r>
            <w:r>
              <w:rPr>
                <w:rFonts w:ascii="宋体" w:hAnsi="宋体"/>
                <w:sz w:val="21"/>
                <w:szCs w:val="21"/>
              </w:rPr>
              <w:t>8.支持MD5信息验证；</w:t>
            </w:r>
            <w:r>
              <w:rPr>
                <w:rFonts w:ascii="宋体" w:hAnsi="宋体"/>
                <w:sz w:val="21"/>
                <w:szCs w:val="21"/>
              </w:rPr>
              <w:br w:type="textWrapping"/>
            </w:r>
            <w:r>
              <w:rPr>
                <w:rFonts w:ascii="宋体" w:hAnsi="宋体"/>
                <w:sz w:val="21"/>
                <w:szCs w:val="21"/>
              </w:rPr>
              <w:t>9.支持SERVER和BROADCAST工作模式；</w:t>
            </w:r>
            <w:r>
              <w:rPr>
                <w:rFonts w:ascii="宋体" w:hAnsi="宋体"/>
                <w:sz w:val="21"/>
                <w:szCs w:val="21"/>
              </w:rPr>
              <w:br w:type="textWrapping"/>
            </w:r>
            <w:r>
              <w:rPr>
                <w:rFonts w:ascii="宋体" w:hAnsi="宋体"/>
                <w:sz w:val="21"/>
                <w:szCs w:val="21"/>
              </w:rPr>
              <w:t>10.以太端口支持10/100M，全双工、半双工，支持自动协商机制。</w:t>
            </w:r>
          </w:p>
        </w:tc>
        <w:tc>
          <w:tcPr>
            <w:tcW w:w="567" w:type="dxa"/>
            <w:vAlign w:val="center"/>
          </w:tcPr>
          <w:p w14:paraId="509BB8B4">
            <w:pPr>
              <w:widowControl/>
              <w:jc w:val="center"/>
              <w:rPr>
                <w:rFonts w:hint="eastAsia" w:ascii="宋体" w:hAnsi="宋体" w:cs="宋体"/>
                <w:color w:val="000000"/>
                <w:kern w:val="0"/>
                <w:sz w:val="21"/>
                <w:szCs w:val="21"/>
              </w:rPr>
            </w:pPr>
            <w:r>
              <w:rPr>
                <w:rFonts w:ascii="宋体" w:hAnsi="宋体"/>
                <w:sz w:val="21"/>
                <w:szCs w:val="21"/>
              </w:rPr>
              <w:t>1</w:t>
            </w:r>
          </w:p>
        </w:tc>
        <w:tc>
          <w:tcPr>
            <w:tcW w:w="709" w:type="dxa"/>
            <w:vAlign w:val="center"/>
          </w:tcPr>
          <w:p w14:paraId="0109A371">
            <w:pPr>
              <w:widowControl/>
              <w:jc w:val="center"/>
              <w:rPr>
                <w:rFonts w:hint="eastAsia" w:ascii="宋体" w:hAnsi="宋体" w:cs="宋体"/>
                <w:color w:val="000000"/>
                <w:kern w:val="0"/>
                <w:sz w:val="21"/>
                <w:szCs w:val="21"/>
              </w:rPr>
            </w:pPr>
            <w:r>
              <w:rPr>
                <w:rFonts w:ascii="宋体" w:hAnsi="宋体"/>
                <w:sz w:val="21"/>
                <w:szCs w:val="21"/>
              </w:rPr>
              <w:t>套</w:t>
            </w:r>
          </w:p>
        </w:tc>
      </w:tr>
      <w:tr w14:paraId="73D4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rPr>
        <w:tc>
          <w:tcPr>
            <w:tcW w:w="493" w:type="dxa"/>
            <w:noWrap/>
            <w:vAlign w:val="center"/>
          </w:tcPr>
          <w:p w14:paraId="65408891">
            <w:pPr>
              <w:widowControl/>
              <w:jc w:val="center"/>
              <w:rPr>
                <w:rFonts w:hint="eastAsia" w:ascii="宋体" w:hAnsi="宋体" w:cs="宋体"/>
                <w:color w:val="000000"/>
                <w:kern w:val="0"/>
                <w:sz w:val="21"/>
                <w:szCs w:val="21"/>
              </w:rPr>
            </w:pPr>
            <w:r>
              <w:rPr>
                <w:rFonts w:ascii="宋体" w:hAnsi="宋体"/>
                <w:sz w:val="21"/>
                <w:szCs w:val="21"/>
              </w:rPr>
              <w:t>3</w:t>
            </w:r>
          </w:p>
        </w:tc>
        <w:tc>
          <w:tcPr>
            <w:tcW w:w="1292" w:type="dxa"/>
            <w:vAlign w:val="center"/>
          </w:tcPr>
          <w:p w14:paraId="77C42220">
            <w:pPr>
              <w:widowControl/>
              <w:jc w:val="center"/>
              <w:rPr>
                <w:rFonts w:hint="eastAsia" w:ascii="宋体" w:hAnsi="宋体" w:cs="宋体"/>
                <w:color w:val="000000"/>
                <w:kern w:val="0"/>
                <w:sz w:val="21"/>
                <w:szCs w:val="21"/>
              </w:rPr>
            </w:pPr>
            <w:r>
              <w:rPr>
                <w:rFonts w:ascii="宋体" w:hAnsi="宋体"/>
                <w:sz w:val="21"/>
                <w:szCs w:val="21"/>
              </w:rPr>
              <w:t>10KVA UPS电源系统</w:t>
            </w:r>
          </w:p>
        </w:tc>
        <w:tc>
          <w:tcPr>
            <w:tcW w:w="5156" w:type="dxa"/>
            <w:vAlign w:val="center"/>
          </w:tcPr>
          <w:p w14:paraId="3A5E24B4">
            <w:pPr>
              <w:widowControl/>
              <w:jc w:val="left"/>
              <w:rPr>
                <w:rFonts w:hint="eastAsia" w:ascii="宋体" w:hAnsi="宋体" w:cs="宋体"/>
                <w:color w:val="000000"/>
                <w:kern w:val="0"/>
                <w:sz w:val="21"/>
                <w:szCs w:val="21"/>
              </w:rPr>
            </w:pPr>
            <w:r>
              <w:rPr>
                <w:rFonts w:ascii="宋体" w:hAnsi="宋体"/>
                <w:sz w:val="21"/>
                <w:szCs w:val="21"/>
              </w:rPr>
              <w:t>用于展厅重要设备、消防广播、弱电系统或关键展示设备的备用电源保障；容量不低于10KVA，配置相匹配蓄电池组，后备时间不低于30分钟；满足短时断电保护、电压稳压和设备安全关机需要；具备过载保护、短路保护、电池保护及运行状态提示等功能；供应商负责运输、安装、接线、调试及运行测试。</w:t>
            </w:r>
          </w:p>
        </w:tc>
        <w:tc>
          <w:tcPr>
            <w:tcW w:w="567" w:type="dxa"/>
            <w:vAlign w:val="center"/>
          </w:tcPr>
          <w:p w14:paraId="48B2E9A1">
            <w:pPr>
              <w:widowControl/>
              <w:jc w:val="center"/>
              <w:rPr>
                <w:rFonts w:hint="eastAsia" w:ascii="宋体" w:hAnsi="宋体" w:cs="宋体"/>
                <w:color w:val="000000"/>
                <w:kern w:val="0"/>
                <w:sz w:val="21"/>
                <w:szCs w:val="21"/>
              </w:rPr>
            </w:pPr>
            <w:r>
              <w:rPr>
                <w:rFonts w:ascii="宋体" w:hAnsi="宋体"/>
                <w:sz w:val="21"/>
                <w:szCs w:val="21"/>
              </w:rPr>
              <w:t>1</w:t>
            </w:r>
          </w:p>
        </w:tc>
        <w:tc>
          <w:tcPr>
            <w:tcW w:w="709" w:type="dxa"/>
            <w:vAlign w:val="center"/>
          </w:tcPr>
          <w:p w14:paraId="12B98FF8">
            <w:pPr>
              <w:widowControl/>
              <w:jc w:val="center"/>
              <w:rPr>
                <w:rFonts w:hint="eastAsia" w:ascii="宋体" w:hAnsi="宋体" w:cs="宋体"/>
                <w:color w:val="000000"/>
                <w:kern w:val="0"/>
                <w:sz w:val="21"/>
                <w:szCs w:val="21"/>
              </w:rPr>
            </w:pPr>
            <w:r>
              <w:rPr>
                <w:rFonts w:hint="eastAsia" w:ascii="宋体" w:hAnsi="宋体"/>
                <w:sz w:val="21"/>
                <w:szCs w:val="21"/>
              </w:rPr>
              <w:t>系统</w:t>
            </w:r>
          </w:p>
        </w:tc>
      </w:tr>
      <w:tr w14:paraId="2DC7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rPr>
        <w:tc>
          <w:tcPr>
            <w:tcW w:w="493" w:type="dxa"/>
            <w:noWrap/>
            <w:vAlign w:val="center"/>
          </w:tcPr>
          <w:p w14:paraId="497CDE3E">
            <w:pPr>
              <w:widowControl/>
              <w:jc w:val="center"/>
              <w:rPr>
                <w:rFonts w:hint="eastAsia" w:ascii="宋体" w:hAnsi="宋体" w:cs="宋体"/>
                <w:color w:val="000000"/>
                <w:kern w:val="0"/>
                <w:sz w:val="21"/>
                <w:szCs w:val="21"/>
              </w:rPr>
            </w:pPr>
            <w:r>
              <w:rPr>
                <w:rFonts w:ascii="宋体" w:hAnsi="宋体"/>
                <w:sz w:val="21"/>
                <w:szCs w:val="21"/>
              </w:rPr>
              <w:t>4</w:t>
            </w:r>
          </w:p>
        </w:tc>
        <w:tc>
          <w:tcPr>
            <w:tcW w:w="1292" w:type="dxa"/>
            <w:vAlign w:val="center"/>
          </w:tcPr>
          <w:p w14:paraId="5666BEAC">
            <w:pPr>
              <w:widowControl/>
              <w:jc w:val="center"/>
              <w:rPr>
                <w:rFonts w:hint="eastAsia" w:ascii="宋体" w:hAnsi="宋体" w:cs="宋体"/>
                <w:color w:val="000000"/>
                <w:kern w:val="0"/>
                <w:sz w:val="21"/>
                <w:szCs w:val="21"/>
              </w:rPr>
            </w:pPr>
            <w:r>
              <w:rPr>
                <w:rFonts w:ascii="宋体" w:hAnsi="宋体"/>
                <w:sz w:val="21"/>
                <w:szCs w:val="21"/>
              </w:rPr>
              <w:t>配管</w:t>
            </w:r>
          </w:p>
        </w:tc>
        <w:tc>
          <w:tcPr>
            <w:tcW w:w="5156" w:type="dxa"/>
            <w:vAlign w:val="center"/>
          </w:tcPr>
          <w:p w14:paraId="3EADB7A2">
            <w:pPr>
              <w:widowControl/>
              <w:jc w:val="left"/>
              <w:rPr>
                <w:rFonts w:hint="eastAsia" w:ascii="宋体" w:hAnsi="宋体" w:cs="宋体"/>
                <w:color w:val="000000"/>
                <w:kern w:val="0"/>
                <w:sz w:val="21"/>
                <w:szCs w:val="21"/>
              </w:rPr>
            </w:pPr>
            <w:r>
              <w:rPr>
                <w:rFonts w:ascii="宋体" w:hAnsi="宋体"/>
                <w:sz w:val="21"/>
                <w:szCs w:val="21"/>
              </w:rPr>
              <w:t>电气配管；规格：PC20；配置形式：暗敷。</w:t>
            </w:r>
          </w:p>
        </w:tc>
        <w:tc>
          <w:tcPr>
            <w:tcW w:w="567" w:type="dxa"/>
            <w:vAlign w:val="center"/>
          </w:tcPr>
          <w:p w14:paraId="296A91F4">
            <w:pPr>
              <w:widowControl/>
              <w:jc w:val="center"/>
              <w:rPr>
                <w:rFonts w:hint="eastAsia" w:ascii="宋体" w:hAnsi="宋体" w:cs="宋体"/>
                <w:color w:val="000000"/>
                <w:kern w:val="0"/>
                <w:sz w:val="21"/>
                <w:szCs w:val="21"/>
              </w:rPr>
            </w:pPr>
            <w:r>
              <w:rPr>
                <w:rFonts w:ascii="宋体" w:hAnsi="宋体"/>
                <w:sz w:val="21"/>
                <w:szCs w:val="21"/>
              </w:rPr>
              <w:t>100</w:t>
            </w:r>
          </w:p>
        </w:tc>
        <w:tc>
          <w:tcPr>
            <w:tcW w:w="709" w:type="dxa"/>
            <w:vAlign w:val="center"/>
          </w:tcPr>
          <w:p w14:paraId="786DF7C8">
            <w:pPr>
              <w:widowControl/>
              <w:jc w:val="center"/>
              <w:rPr>
                <w:rFonts w:hint="eastAsia" w:ascii="宋体" w:hAnsi="宋体" w:cs="宋体"/>
                <w:color w:val="000000"/>
                <w:kern w:val="0"/>
                <w:sz w:val="21"/>
                <w:szCs w:val="21"/>
              </w:rPr>
            </w:pPr>
            <w:r>
              <w:rPr>
                <w:rFonts w:ascii="宋体" w:hAnsi="宋体"/>
                <w:sz w:val="21"/>
                <w:szCs w:val="21"/>
              </w:rPr>
              <w:t>m</w:t>
            </w:r>
          </w:p>
        </w:tc>
      </w:tr>
      <w:tr w14:paraId="6636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rPr>
        <w:tc>
          <w:tcPr>
            <w:tcW w:w="493" w:type="dxa"/>
            <w:noWrap/>
            <w:vAlign w:val="center"/>
          </w:tcPr>
          <w:p w14:paraId="6106D3C5">
            <w:pPr>
              <w:widowControl/>
              <w:jc w:val="center"/>
              <w:rPr>
                <w:rFonts w:hint="eastAsia" w:ascii="宋体" w:hAnsi="宋体" w:cs="宋体"/>
                <w:color w:val="000000"/>
                <w:kern w:val="0"/>
                <w:sz w:val="21"/>
                <w:szCs w:val="21"/>
              </w:rPr>
            </w:pPr>
            <w:r>
              <w:rPr>
                <w:rFonts w:ascii="宋体" w:hAnsi="宋体"/>
                <w:sz w:val="21"/>
                <w:szCs w:val="21"/>
              </w:rPr>
              <w:t>5</w:t>
            </w:r>
          </w:p>
        </w:tc>
        <w:tc>
          <w:tcPr>
            <w:tcW w:w="1292" w:type="dxa"/>
            <w:vAlign w:val="center"/>
          </w:tcPr>
          <w:p w14:paraId="5DF7231A">
            <w:pPr>
              <w:widowControl/>
              <w:jc w:val="center"/>
              <w:rPr>
                <w:rFonts w:hint="eastAsia" w:ascii="宋体" w:hAnsi="宋体" w:cs="宋体"/>
                <w:color w:val="000000"/>
                <w:kern w:val="0"/>
                <w:sz w:val="21"/>
                <w:szCs w:val="21"/>
              </w:rPr>
            </w:pPr>
            <w:r>
              <w:rPr>
                <w:rFonts w:ascii="宋体" w:hAnsi="宋体"/>
                <w:sz w:val="21"/>
                <w:szCs w:val="21"/>
              </w:rPr>
              <w:t>配线</w:t>
            </w:r>
          </w:p>
        </w:tc>
        <w:tc>
          <w:tcPr>
            <w:tcW w:w="5156" w:type="dxa"/>
            <w:vAlign w:val="center"/>
          </w:tcPr>
          <w:p w14:paraId="6D0A83EB">
            <w:pPr>
              <w:widowControl/>
              <w:jc w:val="left"/>
              <w:rPr>
                <w:rFonts w:hint="eastAsia" w:ascii="宋体" w:hAnsi="宋体" w:cs="宋体"/>
                <w:color w:val="000000"/>
                <w:kern w:val="0"/>
                <w:sz w:val="21"/>
                <w:szCs w:val="21"/>
              </w:rPr>
            </w:pPr>
            <w:r>
              <w:rPr>
                <w:rFonts w:ascii="宋体" w:hAnsi="宋体"/>
                <w:sz w:val="21"/>
                <w:szCs w:val="21"/>
              </w:rPr>
              <w:t>电气配线；配线形式：管内敷设；型号：ZRBV-2.5。</w:t>
            </w:r>
          </w:p>
        </w:tc>
        <w:tc>
          <w:tcPr>
            <w:tcW w:w="567" w:type="dxa"/>
            <w:vAlign w:val="center"/>
          </w:tcPr>
          <w:p w14:paraId="4773C8A7">
            <w:pPr>
              <w:widowControl/>
              <w:jc w:val="center"/>
              <w:rPr>
                <w:rFonts w:hint="eastAsia" w:ascii="宋体" w:hAnsi="宋体" w:cs="宋体"/>
                <w:color w:val="000000"/>
                <w:kern w:val="0"/>
                <w:sz w:val="21"/>
                <w:szCs w:val="21"/>
              </w:rPr>
            </w:pPr>
            <w:r>
              <w:rPr>
                <w:rFonts w:ascii="宋体" w:hAnsi="宋体"/>
                <w:sz w:val="21"/>
                <w:szCs w:val="21"/>
              </w:rPr>
              <w:t>300</w:t>
            </w:r>
          </w:p>
        </w:tc>
        <w:tc>
          <w:tcPr>
            <w:tcW w:w="709" w:type="dxa"/>
            <w:vAlign w:val="center"/>
          </w:tcPr>
          <w:p w14:paraId="3FE5994B">
            <w:pPr>
              <w:widowControl/>
              <w:jc w:val="center"/>
              <w:rPr>
                <w:rFonts w:hint="eastAsia" w:ascii="宋体" w:hAnsi="宋体" w:cs="宋体"/>
                <w:color w:val="000000"/>
                <w:kern w:val="0"/>
                <w:sz w:val="21"/>
                <w:szCs w:val="21"/>
              </w:rPr>
            </w:pPr>
            <w:r>
              <w:rPr>
                <w:rFonts w:ascii="宋体" w:hAnsi="宋体"/>
                <w:sz w:val="21"/>
                <w:szCs w:val="21"/>
              </w:rPr>
              <w:t>m</w:t>
            </w:r>
          </w:p>
        </w:tc>
      </w:tr>
      <w:tr w14:paraId="2DA18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rPr>
        <w:tc>
          <w:tcPr>
            <w:tcW w:w="493" w:type="dxa"/>
            <w:noWrap/>
            <w:vAlign w:val="center"/>
          </w:tcPr>
          <w:p w14:paraId="576F5C74">
            <w:pPr>
              <w:widowControl/>
              <w:jc w:val="center"/>
              <w:rPr>
                <w:rFonts w:hint="eastAsia" w:ascii="宋体" w:hAnsi="宋体" w:cs="宋体"/>
                <w:color w:val="000000"/>
                <w:kern w:val="0"/>
                <w:sz w:val="21"/>
                <w:szCs w:val="21"/>
              </w:rPr>
            </w:pPr>
            <w:r>
              <w:rPr>
                <w:rFonts w:ascii="宋体" w:hAnsi="宋体"/>
                <w:sz w:val="21"/>
                <w:szCs w:val="21"/>
              </w:rPr>
              <w:t>6</w:t>
            </w:r>
          </w:p>
        </w:tc>
        <w:tc>
          <w:tcPr>
            <w:tcW w:w="1292" w:type="dxa"/>
            <w:vAlign w:val="center"/>
          </w:tcPr>
          <w:p w14:paraId="663AA38F">
            <w:pPr>
              <w:widowControl/>
              <w:jc w:val="center"/>
              <w:rPr>
                <w:rFonts w:hint="eastAsia" w:ascii="宋体" w:hAnsi="宋体" w:cs="宋体"/>
                <w:color w:val="000000"/>
                <w:kern w:val="0"/>
                <w:sz w:val="21"/>
                <w:szCs w:val="21"/>
              </w:rPr>
            </w:pPr>
            <w:r>
              <w:rPr>
                <w:rFonts w:ascii="宋体" w:hAnsi="宋体"/>
                <w:sz w:val="21"/>
                <w:szCs w:val="21"/>
              </w:rPr>
              <w:t>配线</w:t>
            </w:r>
          </w:p>
        </w:tc>
        <w:tc>
          <w:tcPr>
            <w:tcW w:w="5156" w:type="dxa"/>
            <w:vAlign w:val="center"/>
          </w:tcPr>
          <w:p w14:paraId="72A1817C">
            <w:pPr>
              <w:widowControl/>
              <w:jc w:val="left"/>
              <w:rPr>
                <w:rFonts w:hint="eastAsia" w:ascii="宋体" w:hAnsi="宋体" w:cs="宋体"/>
                <w:color w:val="000000"/>
                <w:kern w:val="0"/>
                <w:sz w:val="21"/>
                <w:szCs w:val="21"/>
              </w:rPr>
            </w:pPr>
            <w:r>
              <w:rPr>
                <w:rFonts w:ascii="宋体" w:hAnsi="宋体"/>
                <w:sz w:val="21"/>
                <w:szCs w:val="21"/>
              </w:rPr>
              <w:t>动力配线；配线形式：管内敷设；型号：ZRBV-4。</w:t>
            </w:r>
          </w:p>
        </w:tc>
        <w:tc>
          <w:tcPr>
            <w:tcW w:w="567" w:type="dxa"/>
            <w:vAlign w:val="center"/>
          </w:tcPr>
          <w:p w14:paraId="38F15866">
            <w:pPr>
              <w:widowControl/>
              <w:jc w:val="center"/>
              <w:rPr>
                <w:rFonts w:hint="eastAsia" w:ascii="宋体" w:hAnsi="宋体" w:cs="宋体"/>
                <w:color w:val="000000"/>
                <w:kern w:val="0"/>
                <w:sz w:val="21"/>
                <w:szCs w:val="21"/>
              </w:rPr>
            </w:pPr>
            <w:r>
              <w:rPr>
                <w:rFonts w:ascii="宋体" w:hAnsi="宋体"/>
                <w:sz w:val="21"/>
                <w:szCs w:val="21"/>
              </w:rPr>
              <w:t>150</w:t>
            </w:r>
          </w:p>
        </w:tc>
        <w:tc>
          <w:tcPr>
            <w:tcW w:w="709" w:type="dxa"/>
            <w:vAlign w:val="center"/>
          </w:tcPr>
          <w:p w14:paraId="1DD91FB1">
            <w:pPr>
              <w:widowControl/>
              <w:jc w:val="center"/>
              <w:rPr>
                <w:rFonts w:hint="eastAsia" w:ascii="宋体" w:hAnsi="宋体" w:cs="宋体"/>
                <w:color w:val="000000"/>
                <w:kern w:val="0"/>
                <w:sz w:val="21"/>
                <w:szCs w:val="21"/>
              </w:rPr>
            </w:pPr>
            <w:r>
              <w:rPr>
                <w:rFonts w:ascii="宋体" w:hAnsi="宋体"/>
                <w:sz w:val="21"/>
                <w:szCs w:val="21"/>
              </w:rPr>
              <w:t>m</w:t>
            </w:r>
          </w:p>
        </w:tc>
      </w:tr>
      <w:tr w14:paraId="2F774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rPr>
        <w:tc>
          <w:tcPr>
            <w:tcW w:w="493" w:type="dxa"/>
            <w:noWrap/>
            <w:vAlign w:val="center"/>
          </w:tcPr>
          <w:p w14:paraId="299B34AE">
            <w:pPr>
              <w:widowControl/>
              <w:jc w:val="center"/>
              <w:rPr>
                <w:rFonts w:hint="eastAsia" w:ascii="宋体" w:hAnsi="宋体" w:cs="宋体"/>
                <w:color w:val="000000"/>
                <w:kern w:val="0"/>
                <w:sz w:val="21"/>
                <w:szCs w:val="21"/>
              </w:rPr>
            </w:pPr>
            <w:r>
              <w:rPr>
                <w:rFonts w:ascii="宋体" w:hAnsi="宋体"/>
                <w:sz w:val="21"/>
                <w:szCs w:val="21"/>
              </w:rPr>
              <w:t>7</w:t>
            </w:r>
          </w:p>
        </w:tc>
        <w:tc>
          <w:tcPr>
            <w:tcW w:w="1292" w:type="dxa"/>
            <w:vAlign w:val="center"/>
          </w:tcPr>
          <w:p w14:paraId="4240B70D">
            <w:pPr>
              <w:widowControl/>
              <w:jc w:val="center"/>
              <w:rPr>
                <w:rFonts w:hint="eastAsia" w:ascii="宋体" w:hAnsi="宋体" w:cs="宋体"/>
                <w:color w:val="000000"/>
                <w:kern w:val="0"/>
                <w:sz w:val="21"/>
                <w:szCs w:val="21"/>
              </w:rPr>
            </w:pPr>
            <w:r>
              <w:rPr>
                <w:rFonts w:ascii="宋体" w:hAnsi="宋体"/>
                <w:sz w:val="21"/>
                <w:szCs w:val="21"/>
              </w:rPr>
              <w:t>配线</w:t>
            </w:r>
          </w:p>
        </w:tc>
        <w:tc>
          <w:tcPr>
            <w:tcW w:w="5156" w:type="dxa"/>
            <w:vAlign w:val="center"/>
          </w:tcPr>
          <w:p w14:paraId="47BB3E45">
            <w:pPr>
              <w:widowControl/>
              <w:jc w:val="left"/>
              <w:rPr>
                <w:rFonts w:hint="eastAsia" w:ascii="宋体" w:hAnsi="宋体" w:cs="宋体"/>
                <w:color w:val="000000"/>
                <w:kern w:val="0"/>
                <w:sz w:val="21"/>
                <w:szCs w:val="21"/>
              </w:rPr>
            </w:pPr>
            <w:r>
              <w:rPr>
                <w:rFonts w:ascii="宋体" w:hAnsi="宋体"/>
                <w:sz w:val="21"/>
                <w:szCs w:val="21"/>
              </w:rPr>
              <w:t>电气配线；配线形式：管内敷设；型号：RVV-2×2.5。</w:t>
            </w:r>
          </w:p>
        </w:tc>
        <w:tc>
          <w:tcPr>
            <w:tcW w:w="567" w:type="dxa"/>
            <w:vAlign w:val="center"/>
          </w:tcPr>
          <w:p w14:paraId="7550C105">
            <w:pPr>
              <w:widowControl/>
              <w:jc w:val="center"/>
              <w:rPr>
                <w:rFonts w:hint="eastAsia" w:ascii="宋体" w:hAnsi="宋体" w:cs="宋体"/>
                <w:color w:val="000000"/>
                <w:kern w:val="0"/>
                <w:sz w:val="21"/>
                <w:szCs w:val="21"/>
              </w:rPr>
            </w:pPr>
            <w:r>
              <w:rPr>
                <w:rFonts w:ascii="宋体" w:hAnsi="宋体"/>
                <w:sz w:val="21"/>
                <w:szCs w:val="21"/>
              </w:rPr>
              <w:t>300</w:t>
            </w:r>
          </w:p>
        </w:tc>
        <w:tc>
          <w:tcPr>
            <w:tcW w:w="709" w:type="dxa"/>
            <w:vAlign w:val="center"/>
          </w:tcPr>
          <w:p w14:paraId="3609C27F">
            <w:pPr>
              <w:widowControl/>
              <w:jc w:val="center"/>
              <w:rPr>
                <w:rFonts w:hint="eastAsia" w:ascii="宋体" w:hAnsi="宋体" w:cs="宋体"/>
                <w:color w:val="000000"/>
                <w:kern w:val="0"/>
                <w:sz w:val="21"/>
                <w:szCs w:val="21"/>
              </w:rPr>
            </w:pPr>
            <w:r>
              <w:rPr>
                <w:rFonts w:ascii="宋体" w:hAnsi="宋体"/>
                <w:sz w:val="21"/>
                <w:szCs w:val="21"/>
              </w:rPr>
              <w:t>m</w:t>
            </w:r>
          </w:p>
        </w:tc>
      </w:tr>
      <w:tr w14:paraId="52DB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3" w:type="dxa"/>
            <w:vAlign w:val="center"/>
          </w:tcPr>
          <w:p w14:paraId="0E1F3961">
            <w:pPr>
              <w:jc w:val="center"/>
              <w:rPr>
                <w:sz w:val="21"/>
                <w:szCs w:val="21"/>
              </w:rPr>
            </w:pPr>
            <w:r>
              <w:rPr>
                <w:rFonts w:ascii="宋体" w:hAnsi="宋体"/>
                <w:sz w:val="21"/>
                <w:szCs w:val="21"/>
              </w:rPr>
              <w:t>8</w:t>
            </w:r>
          </w:p>
        </w:tc>
        <w:tc>
          <w:tcPr>
            <w:tcW w:w="1292" w:type="dxa"/>
            <w:vAlign w:val="center"/>
          </w:tcPr>
          <w:p w14:paraId="5EE8F6CF">
            <w:pPr>
              <w:jc w:val="center"/>
              <w:rPr>
                <w:sz w:val="21"/>
                <w:szCs w:val="21"/>
              </w:rPr>
            </w:pPr>
            <w:r>
              <w:rPr>
                <w:rFonts w:ascii="宋体" w:hAnsi="宋体"/>
                <w:sz w:val="21"/>
                <w:szCs w:val="21"/>
              </w:rPr>
              <w:t>配线</w:t>
            </w:r>
          </w:p>
        </w:tc>
        <w:tc>
          <w:tcPr>
            <w:tcW w:w="5156" w:type="dxa"/>
            <w:vAlign w:val="center"/>
          </w:tcPr>
          <w:p w14:paraId="2A51425C">
            <w:pPr>
              <w:jc w:val="left"/>
              <w:rPr>
                <w:sz w:val="21"/>
                <w:szCs w:val="21"/>
              </w:rPr>
            </w:pPr>
            <w:r>
              <w:rPr>
                <w:rFonts w:ascii="宋体" w:hAnsi="宋体"/>
                <w:sz w:val="21"/>
                <w:szCs w:val="21"/>
              </w:rPr>
              <w:t>电气配线；配线形式：管内敷设；型号：超六类网线。</w:t>
            </w:r>
          </w:p>
        </w:tc>
        <w:tc>
          <w:tcPr>
            <w:tcW w:w="567" w:type="dxa"/>
            <w:vAlign w:val="center"/>
          </w:tcPr>
          <w:p w14:paraId="0A6B9120">
            <w:pPr>
              <w:jc w:val="center"/>
              <w:rPr>
                <w:sz w:val="21"/>
                <w:szCs w:val="21"/>
              </w:rPr>
            </w:pPr>
            <w:r>
              <w:rPr>
                <w:rFonts w:ascii="宋体" w:hAnsi="宋体"/>
                <w:sz w:val="21"/>
                <w:szCs w:val="21"/>
              </w:rPr>
              <w:t>150</w:t>
            </w:r>
          </w:p>
        </w:tc>
        <w:tc>
          <w:tcPr>
            <w:tcW w:w="709" w:type="dxa"/>
            <w:vAlign w:val="center"/>
          </w:tcPr>
          <w:p w14:paraId="5BAB39F6">
            <w:pPr>
              <w:jc w:val="center"/>
              <w:rPr>
                <w:sz w:val="21"/>
                <w:szCs w:val="21"/>
              </w:rPr>
            </w:pPr>
            <w:r>
              <w:rPr>
                <w:rFonts w:ascii="宋体" w:hAnsi="宋体"/>
                <w:sz w:val="21"/>
                <w:szCs w:val="21"/>
              </w:rPr>
              <w:t>m</w:t>
            </w:r>
          </w:p>
        </w:tc>
      </w:tr>
      <w:tr w14:paraId="26EA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3" w:type="dxa"/>
            <w:vAlign w:val="center"/>
          </w:tcPr>
          <w:p w14:paraId="4911E50F">
            <w:pPr>
              <w:jc w:val="center"/>
              <w:rPr>
                <w:sz w:val="21"/>
                <w:szCs w:val="21"/>
              </w:rPr>
            </w:pPr>
            <w:r>
              <w:rPr>
                <w:rFonts w:ascii="宋体" w:hAnsi="宋体"/>
                <w:sz w:val="21"/>
                <w:szCs w:val="21"/>
              </w:rPr>
              <w:t>9</w:t>
            </w:r>
          </w:p>
        </w:tc>
        <w:tc>
          <w:tcPr>
            <w:tcW w:w="1292" w:type="dxa"/>
            <w:vAlign w:val="center"/>
          </w:tcPr>
          <w:p w14:paraId="4E8D5D9F">
            <w:pPr>
              <w:jc w:val="center"/>
              <w:rPr>
                <w:sz w:val="21"/>
                <w:szCs w:val="21"/>
              </w:rPr>
            </w:pPr>
            <w:r>
              <w:rPr>
                <w:rFonts w:ascii="宋体" w:hAnsi="宋体"/>
                <w:sz w:val="21"/>
                <w:szCs w:val="21"/>
              </w:rPr>
              <w:t>信息插座</w:t>
            </w:r>
          </w:p>
        </w:tc>
        <w:tc>
          <w:tcPr>
            <w:tcW w:w="5156" w:type="dxa"/>
            <w:vAlign w:val="center"/>
          </w:tcPr>
          <w:p w14:paraId="204D6931">
            <w:pPr>
              <w:jc w:val="left"/>
              <w:rPr>
                <w:sz w:val="21"/>
                <w:szCs w:val="21"/>
              </w:rPr>
            </w:pPr>
            <w:r>
              <w:rPr>
                <w:rFonts w:ascii="宋体" w:hAnsi="宋体"/>
                <w:sz w:val="21"/>
                <w:szCs w:val="21"/>
              </w:rPr>
              <w:t>名称：信息插座；安装方式：暗敷。</w:t>
            </w:r>
          </w:p>
        </w:tc>
        <w:tc>
          <w:tcPr>
            <w:tcW w:w="567" w:type="dxa"/>
            <w:vAlign w:val="center"/>
          </w:tcPr>
          <w:p w14:paraId="54C93AC4">
            <w:pPr>
              <w:jc w:val="center"/>
              <w:rPr>
                <w:sz w:val="21"/>
                <w:szCs w:val="21"/>
              </w:rPr>
            </w:pPr>
            <w:r>
              <w:rPr>
                <w:rFonts w:ascii="宋体" w:hAnsi="宋体"/>
                <w:sz w:val="21"/>
                <w:szCs w:val="21"/>
              </w:rPr>
              <w:t>3</w:t>
            </w:r>
          </w:p>
        </w:tc>
        <w:tc>
          <w:tcPr>
            <w:tcW w:w="709" w:type="dxa"/>
            <w:vAlign w:val="center"/>
          </w:tcPr>
          <w:p w14:paraId="46E0535C">
            <w:pPr>
              <w:jc w:val="center"/>
              <w:rPr>
                <w:sz w:val="21"/>
                <w:szCs w:val="21"/>
              </w:rPr>
            </w:pPr>
            <w:r>
              <w:rPr>
                <w:rFonts w:ascii="宋体" w:hAnsi="宋体"/>
                <w:sz w:val="21"/>
                <w:szCs w:val="21"/>
              </w:rPr>
              <w:t>个</w:t>
            </w:r>
          </w:p>
        </w:tc>
      </w:tr>
      <w:tr w14:paraId="35CA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3" w:type="dxa"/>
            <w:vAlign w:val="center"/>
          </w:tcPr>
          <w:p w14:paraId="18138160">
            <w:pPr>
              <w:jc w:val="center"/>
              <w:rPr>
                <w:sz w:val="21"/>
                <w:szCs w:val="21"/>
              </w:rPr>
            </w:pPr>
            <w:r>
              <w:rPr>
                <w:rFonts w:ascii="宋体" w:hAnsi="宋体"/>
                <w:sz w:val="21"/>
                <w:szCs w:val="21"/>
              </w:rPr>
              <w:t>10</w:t>
            </w:r>
          </w:p>
        </w:tc>
        <w:tc>
          <w:tcPr>
            <w:tcW w:w="1292" w:type="dxa"/>
            <w:vAlign w:val="center"/>
          </w:tcPr>
          <w:p w14:paraId="3F571153">
            <w:pPr>
              <w:jc w:val="center"/>
              <w:rPr>
                <w:sz w:val="21"/>
                <w:szCs w:val="21"/>
              </w:rPr>
            </w:pPr>
            <w:r>
              <w:rPr>
                <w:rFonts w:ascii="宋体" w:hAnsi="宋体"/>
                <w:sz w:val="21"/>
                <w:szCs w:val="21"/>
              </w:rPr>
              <w:t>接线盒</w:t>
            </w:r>
          </w:p>
        </w:tc>
        <w:tc>
          <w:tcPr>
            <w:tcW w:w="5156" w:type="dxa"/>
            <w:vAlign w:val="center"/>
          </w:tcPr>
          <w:p w14:paraId="0A4061A4">
            <w:pPr>
              <w:jc w:val="left"/>
              <w:rPr>
                <w:sz w:val="21"/>
                <w:szCs w:val="21"/>
              </w:rPr>
            </w:pPr>
            <w:r>
              <w:rPr>
                <w:rFonts w:ascii="宋体" w:hAnsi="宋体"/>
                <w:sz w:val="21"/>
                <w:szCs w:val="21"/>
              </w:rPr>
              <w:t>名称：接线盒；规格：86型。</w:t>
            </w:r>
          </w:p>
        </w:tc>
        <w:tc>
          <w:tcPr>
            <w:tcW w:w="567" w:type="dxa"/>
            <w:vAlign w:val="center"/>
          </w:tcPr>
          <w:p w14:paraId="62EE84CD">
            <w:pPr>
              <w:jc w:val="center"/>
              <w:rPr>
                <w:sz w:val="21"/>
                <w:szCs w:val="21"/>
              </w:rPr>
            </w:pPr>
            <w:r>
              <w:rPr>
                <w:rFonts w:ascii="宋体" w:hAnsi="宋体"/>
                <w:sz w:val="21"/>
                <w:szCs w:val="21"/>
              </w:rPr>
              <w:t>3</w:t>
            </w:r>
          </w:p>
        </w:tc>
        <w:tc>
          <w:tcPr>
            <w:tcW w:w="709" w:type="dxa"/>
            <w:vAlign w:val="center"/>
          </w:tcPr>
          <w:p w14:paraId="73699D76">
            <w:pPr>
              <w:jc w:val="center"/>
              <w:rPr>
                <w:sz w:val="21"/>
                <w:szCs w:val="21"/>
              </w:rPr>
            </w:pPr>
            <w:r>
              <w:rPr>
                <w:rFonts w:ascii="宋体" w:hAnsi="宋体"/>
                <w:sz w:val="21"/>
                <w:szCs w:val="21"/>
              </w:rPr>
              <w:t>个</w:t>
            </w:r>
          </w:p>
        </w:tc>
      </w:tr>
    </w:tbl>
    <w:p w14:paraId="0E767CED">
      <w:pPr>
        <w:pStyle w:val="15"/>
        <w:ind w:firstLine="480"/>
      </w:pPr>
    </w:p>
    <w:p w14:paraId="7065577B">
      <w:pPr>
        <w:pStyle w:val="15"/>
        <w:ind w:firstLine="480"/>
      </w:pPr>
      <w:r>
        <w:rPr>
          <w:rFonts w:hint="eastAsia"/>
        </w:rPr>
        <w:t>（四）</w:t>
      </w:r>
      <w:r>
        <w:t>园区及展厅导视系统设计制作要求</w:t>
      </w:r>
    </w:p>
    <w:p w14:paraId="7D8BB5BA">
      <w:pPr>
        <w:pStyle w:val="15"/>
        <w:ind w:firstLine="480"/>
      </w:pPr>
      <w:r>
        <w:rPr>
          <w:rFonts w:hint="eastAsia"/>
        </w:rPr>
        <w:t>1.导视系统设计范围</w:t>
      </w:r>
    </w:p>
    <w:p w14:paraId="4CABFAE3">
      <w:pPr>
        <w:pStyle w:val="15"/>
        <w:ind w:firstLine="480"/>
      </w:pPr>
      <w:r>
        <w:rPr>
          <w:rFonts w:hint="eastAsia"/>
        </w:rPr>
        <w:t>导视系统应结合湖北考古博物馆园区、展厅入口、公共服务区域、游客流线节点、功能空间及安全提示区域的实际使用需求进行规划设计，建设内容包括但不限于以下类型：</w:t>
      </w:r>
    </w:p>
    <w:p w14:paraId="1F258399">
      <w:pPr>
        <w:pStyle w:val="15"/>
        <w:ind w:firstLine="480"/>
      </w:pPr>
      <w:r>
        <w:rPr>
          <w:rFonts w:hint="eastAsia"/>
        </w:rPr>
        <w:t>1）展厅入口形象牌；</w:t>
      </w:r>
    </w:p>
    <w:p w14:paraId="2786C14A">
      <w:pPr>
        <w:pStyle w:val="15"/>
        <w:ind w:firstLine="480"/>
      </w:pPr>
      <w:r>
        <w:rPr>
          <w:rFonts w:hint="eastAsia"/>
        </w:rPr>
        <w:t>2）方向指引牌；</w:t>
      </w:r>
    </w:p>
    <w:p w14:paraId="043B4A17">
      <w:pPr>
        <w:pStyle w:val="15"/>
        <w:ind w:firstLine="480"/>
      </w:pPr>
      <w:r>
        <w:rPr>
          <w:rFonts w:hint="eastAsia"/>
        </w:rPr>
        <w:t>3）功能提示牌；</w:t>
      </w:r>
    </w:p>
    <w:p w14:paraId="2491BE39">
      <w:pPr>
        <w:pStyle w:val="15"/>
        <w:ind w:firstLine="480"/>
      </w:pPr>
      <w:r>
        <w:rPr>
          <w:rFonts w:hint="eastAsia"/>
        </w:rPr>
        <w:t>4）区域说明牌；</w:t>
      </w:r>
    </w:p>
    <w:p w14:paraId="2F7659EA">
      <w:pPr>
        <w:pStyle w:val="15"/>
        <w:ind w:firstLine="480"/>
      </w:pPr>
      <w:r>
        <w:rPr>
          <w:rFonts w:hint="eastAsia"/>
        </w:rPr>
        <w:t>5）楼层索引牌；</w:t>
      </w:r>
    </w:p>
    <w:p w14:paraId="1FBC1E7E">
      <w:pPr>
        <w:pStyle w:val="15"/>
        <w:ind w:firstLine="480"/>
      </w:pPr>
      <w:r>
        <w:rPr>
          <w:rFonts w:hint="eastAsia"/>
        </w:rPr>
        <w:t>6）服务设施标识牌；</w:t>
      </w:r>
    </w:p>
    <w:p w14:paraId="589D68D9">
      <w:pPr>
        <w:pStyle w:val="15"/>
        <w:ind w:firstLine="480"/>
      </w:pPr>
      <w:r>
        <w:rPr>
          <w:rFonts w:hint="eastAsia"/>
        </w:rPr>
        <w:t>7）安全提示牌；</w:t>
      </w:r>
    </w:p>
    <w:p w14:paraId="174DADA9">
      <w:pPr>
        <w:pStyle w:val="15"/>
        <w:ind w:firstLine="480"/>
      </w:pPr>
      <w:r>
        <w:rPr>
          <w:rFonts w:hint="eastAsia"/>
        </w:rPr>
        <w:t>8）温馨提示牌。</w:t>
      </w:r>
    </w:p>
    <w:p w14:paraId="55DA3133">
      <w:pPr>
        <w:pStyle w:val="15"/>
        <w:ind w:firstLine="480"/>
      </w:pPr>
      <w:r>
        <w:rPr>
          <w:rFonts w:hint="eastAsia"/>
        </w:rPr>
        <w:t>具体导视类型、设置数量及安装位置根据博物馆实际使用需求和采购人确认结果确定。</w:t>
      </w:r>
    </w:p>
    <w:p w14:paraId="097EE9AB">
      <w:pPr>
        <w:pStyle w:val="15"/>
        <w:ind w:firstLine="480"/>
      </w:pPr>
      <w:r>
        <w:rPr>
          <w:rFonts w:hint="eastAsia"/>
        </w:rPr>
        <w:t>2.导视系统设计要求</w:t>
      </w:r>
    </w:p>
    <w:p w14:paraId="28113FFA">
      <w:pPr>
        <w:pStyle w:val="15"/>
        <w:ind w:firstLine="480"/>
      </w:pPr>
      <w:r>
        <w:rPr>
          <w:rFonts w:hint="eastAsia"/>
        </w:rPr>
        <w:t>2.1 供应商应结合博物馆建筑环境、考古文化属性、展厅空间风格和观众参观习惯，完成导视系统整体规划设计，确保导视设施与博物馆整体环境协调统一。</w:t>
      </w:r>
    </w:p>
    <w:p w14:paraId="245B0317">
      <w:pPr>
        <w:pStyle w:val="15"/>
        <w:ind w:firstLine="480"/>
      </w:pPr>
      <w:r>
        <w:rPr>
          <w:rFonts w:hint="eastAsia"/>
        </w:rPr>
        <w:t>2.2 导视设计内容应包括导视分级逻辑、点位规划、整体视觉样式及中英文信息排版，合理区分不同区域和功能的导视信息，形成清晰、统一的导视体系。</w:t>
      </w:r>
    </w:p>
    <w:p w14:paraId="4FD581CF">
      <w:pPr>
        <w:pStyle w:val="15"/>
        <w:ind w:firstLine="480"/>
      </w:pPr>
      <w:r>
        <w:rPr>
          <w:rFonts w:hint="eastAsia"/>
        </w:rPr>
        <w:t>2.3 导视系统应兼顾博物馆公共服务需求和视觉识别效果，设计风格应简洁、庄重、协调，导视内容应清晰准确、导向明确、便于识别，满足观众参观引导和公共服务需要。</w:t>
      </w:r>
    </w:p>
    <w:p w14:paraId="0ACF5F1E">
      <w:pPr>
        <w:pStyle w:val="15"/>
        <w:ind w:firstLine="480"/>
      </w:pPr>
      <w:r>
        <w:rPr>
          <w:rFonts w:hint="eastAsia"/>
        </w:rPr>
        <w:t>2.4 导视文字、图标及指引信息应准确规范，不得出现错字、漏字、图文不符、导向混乱或信息歧义等问题。</w:t>
      </w:r>
    </w:p>
    <w:p w14:paraId="778F54F4">
      <w:pPr>
        <w:pStyle w:val="15"/>
        <w:ind w:firstLine="480"/>
      </w:pPr>
      <w:r>
        <w:rPr>
          <w:rFonts w:hint="eastAsia"/>
        </w:rPr>
        <w:t>2.5 导视设计成果应经采购人确认后用于制作，未经确认不得擅自加工或安装。</w:t>
      </w:r>
    </w:p>
    <w:p w14:paraId="33A2B9A6">
      <w:pPr>
        <w:pStyle w:val="15"/>
        <w:ind w:firstLine="480"/>
      </w:pPr>
      <w:r>
        <w:rPr>
          <w:rFonts w:hint="eastAsia"/>
        </w:rPr>
        <w:t>3.导视系统制作要求</w:t>
      </w:r>
    </w:p>
    <w:p w14:paraId="43E6A532">
      <w:pPr>
        <w:pStyle w:val="15"/>
        <w:ind w:firstLine="480"/>
      </w:pPr>
      <w:r>
        <w:rPr>
          <w:rFonts w:hint="eastAsia"/>
        </w:rPr>
        <w:t>3.1 导视系统制作应根据室内外不同安装环境和实际使用需求选用适宜材料，确保制作质量符合国家现行相关标准及采购人现场管理要求。</w:t>
      </w:r>
    </w:p>
    <w:p w14:paraId="2686BE46">
      <w:pPr>
        <w:pStyle w:val="15"/>
        <w:ind w:firstLine="480"/>
      </w:pPr>
      <w:r>
        <w:rPr>
          <w:rFonts w:hint="eastAsia"/>
        </w:rPr>
        <w:t>3.2 室外导视设施应具备良好的环境适应能力，满足防晒、防雨、防锈、防褪色等使用要求，确保长期使用过程中结构稳固、外观完整、信息清晰。</w:t>
      </w:r>
    </w:p>
    <w:p w14:paraId="633A0383">
      <w:pPr>
        <w:pStyle w:val="15"/>
        <w:ind w:firstLine="480"/>
      </w:pPr>
      <w:r>
        <w:rPr>
          <w:rFonts w:hint="eastAsia"/>
        </w:rPr>
        <w:t>3.3 室内导视设施应注重制作精致度、耐久性及整体观感，外露构件表面应平整，边角处理应安全、细致，与展厅及公共空间装修风格协调统一。</w:t>
      </w:r>
    </w:p>
    <w:p w14:paraId="41DE1869">
      <w:pPr>
        <w:pStyle w:val="15"/>
        <w:ind w:firstLine="480"/>
      </w:pPr>
      <w:r>
        <w:rPr>
          <w:rFonts w:hint="eastAsia"/>
        </w:rPr>
        <w:t>3.4 导视文字、图案及标识内容应制作清晰、准确，表面无明显划伤、污迹、色差等影响识别和观感的问题，确保成品符合经采购人确认的设计方案。</w:t>
      </w:r>
    </w:p>
    <w:p w14:paraId="47AF2688">
      <w:pPr>
        <w:pStyle w:val="15"/>
        <w:ind w:firstLine="480"/>
      </w:pPr>
      <w:r>
        <w:rPr>
          <w:rFonts w:hint="eastAsia"/>
        </w:rPr>
        <w:t>4.导视系统安装要求</w:t>
      </w:r>
    </w:p>
    <w:p w14:paraId="578BC9C9">
      <w:pPr>
        <w:pStyle w:val="15"/>
        <w:ind w:firstLine="480"/>
      </w:pPr>
      <w:r>
        <w:rPr>
          <w:rFonts w:hint="eastAsia"/>
        </w:rPr>
        <w:t>4.1 导视安装前须完成现场点位确认和安装放样，结合参观动线、空间布局及游客观看习惯确定具体安装位置、高度和朝向。</w:t>
      </w:r>
    </w:p>
    <w:p w14:paraId="46267FE6">
      <w:pPr>
        <w:pStyle w:val="15"/>
        <w:ind w:firstLine="480"/>
      </w:pPr>
      <w:r>
        <w:rPr>
          <w:rFonts w:hint="eastAsia"/>
        </w:rPr>
        <w:t>4.2 导视设施应根据安装位置、结构形式及现场基层条件采用可靠的固定方式，保证安装牢固、稳定、安全。</w:t>
      </w:r>
    </w:p>
    <w:p w14:paraId="419CE062">
      <w:pPr>
        <w:pStyle w:val="15"/>
        <w:ind w:firstLine="480"/>
      </w:pPr>
      <w:r>
        <w:rPr>
          <w:rFonts w:hint="eastAsia"/>
        </w:rPr>
        <w:t>4.3 导视牌安装后应保持位置准确、线条顺直，不得出现明显歪斜、松动、翘边、变形等问题，安装节点及收口处理应整洁美观。</w:t>
      </w:r>
    </w:p>
    <w:p w14:paraId="7DFAFCFF">
      <w:pPr>
        <w:pStyle w:val="15"/>
        <w:ind w:firstLine="480"/>
      </w:pPr>
      <w:r>
        <w:rPr>
          <w:rFonts w:hint="eastAsia"/>
        </w:rPr>
        <w:t>4.4 安装过程中应做好既有建筑装修、展陈设施及周边环境保护，避免因开孔、固定、搬运等作业造成损坏或污染。</w:t>
      </w:r>
    </w:p>
    <w:p w14:paraId="00612642">
      <w:pPr>
        <w:pStyle w:val="15"/>
        <w:ind w:firstLine="480"/>
      </w:pPr>
      <w:r>
        <w:rPr>
          <w:rFonts w:hint="eastAsia"/>
        </w:rPr>
        <w:t>4.5 导视系统安装完成后，应对导视内容准确性、设置位置、安装牢固性及整体观感进行检查，确认符合采购要求及使用需求后完成验收移交。</w:t>
      </w:r>
    </w:p>
    <w:p w14:paraId="74DF180D">
      <w:pPr>
        <w:pStyle w:val="15"/>
        <w:ind w:firstLine="480"/>
      </w:pPr>
      <w:r>
        <w:rPr>
          <w:rFonts w:hint="eastAsia"/>
        </w:rPr>
        <w:t>（五）安装实施及系统调试要求</w:t>
      </w:r>
    </w:p>
    <w:p w14:paraId="2DAA962C">
      <w:pPr>
        <w:pStyle w:val="15"/>
        <w:ind w:firstLine="480"/>
      </w:pPr>
      <w:r>
        <w:rPr>
          <w:rFonts w:hint="eastAsia"/>
        </w:rPr>
        <w:t>1.施工前应完成现场保护、放线定位、设备点位及管线路由核对，并确认电源、网络、信号及安装接口条件。</w:t>
      </w:r>
    </w:p>
    <w:p w14:paraId="044FDBBF">
      <w:pPr>
        <w:pStyle w:val="15"/>
        <w:ind w:firstLine="480"/>
      </w:pPr>
      <w:r>
        <w:rPr>
          <w:rFonts w:hint="eastAsia"/>
        </w:rPr>
        <w:t>2.IP网络消防采集器、无线移动手持机及UPS电源系统应安装牢固、接线规范、标识清晰，完成相应网络、信号和供电接入后进行功能调试及运行测试。</w:t>
      </w:r>
    </w:p>
    <w:p w14:paraId="06ADE5FD">
      <w:pPr>
        <w:pStyle w:val="15"/>
        <w:ind w:firstLine="480"/>
      </w:pPr>
      <w:r>
        <w:rPr>
          <w:rFonts w:hint="eastAsia"/>
        </w:rPr>
        <w:t>3.配管暗敷施工应符合相关规范要求，管路走向应合理、固定可靠，穿线前应清理管内杂物，避免对既有结构及装修造成不必要破坏。</w:t>
      </w:r>
    </w:p>
    <w:p w14:paraId="585CC5D8">
      <w:pPr>
        <w:pStyle w:val="15"/>
        <w:ind w:firstLine="480"/>
      </w:pPr>
      <w:r>
        <w:rPr>
          <w:rFonts w:hint="eastAsia"/>
        </w:rPr>
        <w:t>4.各类配线须按清单规定的型号、规格和数量施工，管内敷设应顺畅整齐，线缆端部应留有合理余量并做好编号或标识。</w:t>
      </w:r>
    </w:p>
    <w:p w14:paraId="7A1ECC60">
      <w:pPr>
        <w:pStyle w:val="15"/>
        <w:ind w:firstLine="480"/>
      </w:pPr>
      <w:r>
        <w:rPr>
          <w:rFonts w:hint="eastAsia"/>
        </w:rPr>
        <w:t>5.信息插座及接线盒安装位置应准确、固定牢靠、收口整洁，与周边墙面或装修面协调。</w:t>
      </w:r>
    </w:p>
    <w:p w14:paraId="0A938813">
      <w:pPr>
        <w:pStyle w:val="15"/>
        <w:ind w:firstLine="480"/>
      </w:pPr>
      <w:r>
        <w:rPr>
          <w:rFonts w:hint="eastAsia"/>
        </w:rPr>
        <w:t>6.如需现场切割、开孔、打磨等作业，应采取严格的防火、防尘、防噪、防污染措施；涉及隐蔽施工的，应做好过程记录。</w:t>
      </w:r>
    </w:p>
    <w:p w14:paraId="58D7E47E">
      <w:pPr>
        <w:pStyle w:val="15"/>
        <w:ind w:firstLine="480"/>
      </w:pPr>
      <w:r>
        <w:rPr>
          <w:rFonts w:hint="eastAsia"/>
        </w:rPr>
        <w:t>7.因施工造成既有结构、装修、展柜、灯具、消防设施或其他设备损坏的，应由供应商负责无偿恢复。</w:t>
      </w:r>
    </w:p>
    <w:p w14:paraId="1F52893C">
      <w:pPr>
        <w:pStyle w:val="15"/>
        <w:ind w:firstLine="480"/>
      </w:pPr>
      <w:r>
        <w:rPr>
          <w:rFonts w:hint="eastAsia"/>
        </w:rPr>
        <w:t>8.</w:t>
      </w:r>
      <w:r>
        <w:t>导视系统安装前应完成设计成果确认、现场点位核查及安装放样，根据导视设施类型和安装条件做好固定安装及收口处理，确保导视内容准确、位置合理、安装牢固，并符合博物馆参观动线和整体环境要求。</w:t>
      </w:r>
    </w:p>
    <w:p w14:paraId="6D659A53">
      <w:pPr>
        <w:pStyle w:val="15"/>
        <w:ind w:firstLine="480"/>
      </w:pPr>
      <w:r>
        <w:rPr>
          <w:rFonts w:hint="eastAsia"/>
        </w:rPr>
        <w:t>（六）运输、装卸、搬运要求</w:t>
      </w:r>
    </w:p>
    <w:p w14:paraId="6DDE5936">
      <w:pPr>
        <w:pStyle w:val="15"/>
        <w:ind w:firstLine="480"/>
      </w:pPr>
      <w:r>
        <w:rPr>
          <w:rFonts w:hint="eastAsia"/>
        </w:rPr>
        <w:t>1.</w:t>
      </w:r>
      <w:r>
        <w:t>本项目全部玻璃、导视成品、设备、材料及配件的包装、运输、装卸和馆内二次搬运均由供应商负责。</w:t>
      </w:r>
    </w:p>
    <w:p w14:paraId="06115E96">
      <w:pPr>
        <w:pStyle w:val="15"/>
        <w:ind w:firstLine="480"/>
      </w:pPr>
      <w:r>
        <w:rPr>
          <w:rFonts w:hint="eastAsia"/>
        </w:rPr>
        <w:t>2.玻璃运输须采用专用防震包装和可靠固定措施，避免运输过程中产生破损、划伤或受压变形。</w:t>
      </w:r>
    </w:p>
    <w:p w14:paraId="63665E9B">
      <w:pPr>
        <w:pStyle w:val="15"/>
        <w:ind w:firstLine="480"/>
      </w:pPr>
      <w:r>
        <w:rPr>
          <w:rFonts w:hint="eastAsia"/>
        </w:rPr>
        <w:t>3.</w:t>
      </w:r>
      <w:r>
        <w:t>导视成品、设备及配套材料运输应采取防潮、防撞、防挤压等措施，避免运输过程中产生破损、划伤或变形，确保进场时外观完好，设备功能正常。</w:t>
      </w:r>
    </w:p>
    <w:p w14:paraId="69485066">
      <w:pPr>
        <w:pStyle w:val="15"/>
        <w:ind w:firstLine="480"/>
      </w:pPr>
      <w:r>
        <w:rPr>
          <w:rFonts w:hint="eastAsia"/>
        </w:rPr>
        <w:t>4.大尺寸玻璃或设备进入馆内时应结合现场通道条件制定搬运方案，必要时采取分时段、分批次组织。</w:t>
      </w:r>
    </w:p>
    <w:p w14:paraId="16414F12">
      <w:pPr>
        <w:pStyle w:val="15"/>
        <w:ind w:firstLine="480"/>
      </w:pPr>
      <w:r>
        <w:rPr>
          <w:rFonts w:hint="eastAsia"/>
        </w:rPr>
        <w:t>5.因运输、装卸、搬运不当造成的损坏、污染或安全事故，由供应商承担相应责任；运输及施工组织应服从采购人现场管理要求。</w:t>
      </w:r>
    </w:p>
    <w:p w14:paraId="62831C3C">
      <w:pPr>
        <w:pStyle w:val="15"/>
        <w:ind w:firstLine="480"/>
      </w:pPr>
      <w:r>
        <w:rPr>
          <w:rFonts w:hint="eastAsia"/>
        </w:rPr>
        <w:t>（七）工程实施及成品保护要求</w:t>
      </w:r>
    </w:p>
    <w:p w14:paraId="5ADF1A90">
      <w:pPr>
        <w:pStyle w:val="15"/>
        <w:ind w:firstLine="480"/>
      </w:pPr>
      <w:r>
        <w:rPr>
          <w:rFonts w:hint="eastAsia"/>
        </w:rPr>
        <w:t>1.工程实施要求</w:t>
      </w:r>
    </w:p>
    <w:p w14:paraId="3C0AEE50">
      <w:pPr>
        <w:pStyle w:val="15"/>
        <w:ind w:firstLine="480"/>
      </w:pPr>
      <w:r>
        <w:rPr>
          <w:rFonts w:hint="eastAsia"/>
        </w:rPr>
        <w:t>1.1供应商须编制施工组织方案，明确人员安排、时间计划、材料设备进场安排、安全文明措施、应急预案及质量控制措施等内容。</w:t>
      </w:r>
    </w:p>
    <w:p w14:paraId="0A655167">
      <w:pPr>
        <w:pStyle w:val="15"/>
        <w:ind w:firstLine="480"/>
      </w:pPr>
      <w:r>
        <w:rPr>
          <w:rFonts w:hint="eastAsia"/>
        </w:rPr>
        <w:t>1.2应采取低干扰施工方式，尽量减少对博物馆正常开放、办公及管理秩序的影响。</w:t>
      </w:r>
    </w:p>
    <w:p w14:paraId="6BF083D4">
      <w:pPr>
        <w:pStyle w:val="15"/>
        <w:ind w:firstLine="480"/>
      </w:pPr>
      <w:r>
        <w:rPr>
          <w:rFonts w:hint="eastAsia"/>
        </w:rPr>
        <w:t>1.3每日施工结束后应及时清理现场，做到工完、料尽、场清，施工人员须服从采购人统一管理。</w:t>
      </w:r>
    </w:p>
    <w:p w14:paraId="04FE4AB0">
      <w:pPr>
        <w:pStyle w:val="15"/>
        <w:ind w:firstLine="480"/>
      </w:pPr>
      <w:r>
        <w:rPr>
          <w:rFonts w:hint="eastAsia"/>
        </w:rPr>
        <w:t>2.成品保护要求</w:t>
      </w:r>
    </w:p>
    <w:p w14:paraId="2A84005B">
      <w:pPr>
        <w:pStyle w:val="15"/>
        <w:ind w:firstLine="480"/>
      </w:pPr>
      <w:r>
        <w:rPr>
          <w:rFonts w:hint="eastAsia"/>
        </w:rPr>
        <w:t>2.1对施工区域地面、墙面、门套、展柜、灯具、消防设施及既有设备等应采取全过程保护措施。</w:t>
      </w:r>
    </w:p>
    <w:p w14:paraId="250E624D">
      <w:pPr>
        <w:pStyle w:val="15"/>
        <w:ind w:firstLine="480"/>
      </w:pPr>
      <w:r>
        <w:rPr>
          <w:rFonts w:hint="eastAsia"/>
        </w:rPr>
        <w:t>2.2成品保护可结合现场情况采用地面保护膜、板材覆盖、防撞软包、临时围挡、防尘膜隔离等措施。</w:t>
      </w:r>
    </w:p>
    <w:p w14:paraId="33DDE323">
      <w:pPr>
        <w:pStyle w:val="15"/>
        <w:ind w:firstLine="480"/>
      </w:pPr>
      <w:r>
        <w:rPr>
          <w:rFonts w:hint="eastAsia"/>
        </w:rPr>
        <w:t>2.3</w:t>
      </w:r>
      <w:r>
        <w:t>已安装完成的玻璃、导视设施、设备、插座及其他成品应做好后续保护，防止交叉施工造成污染、碰撞或损伤。</w:t>
      </w:r>
    </w:p>
    <w:p w14:paraId="625F9446">
      <w:pPr>
        <w:pStyle w:val="15"/>
        <w:ind w:firstLine="480"/>
      </w:pPr>
      <w:r>
        <w:rPr>
          <w:rFonts w:hint="eastAsia"/>
        </w:rPr>
        <w:t>2.4竣工前须完成全面清洁和检查，确保交付时无残胶、灰尘、污迹、明显划痕及松动等问题。</w:t>
      </w:r>
    </w:p>
    <w:p w14:paraId="07C8241D">
      <w:pPr>
        <w:pStyle w:val="15"/>
        <w:ind w:firstLine="480"/>
      </w:pPr>
      <w:r>
        <w:rPr>
          <w:rFonts w:hint="eastAsia"/>
        </w:rPr>
        <w:t>（八）项目成果交付要求</w:t>
      </w:r>
    </w:p>
    <w:p w14:paraId="52C4AE62">
      <w:pPr>
        <w:pStyle w:val="15"/>
        <w:ind w:firstLine="480"/>
      </w:pPr>
      <w:r>
        <w:rPr>
          <w:rFonts w:hint="eastAsia"/>
        </w:rPr>
        <w:t>成交供应商应向采购人提交以下成果资料：</w:t>
      </w:r>
    </w:p>
    <w:p w14:paraId="0F486D5A">
      <w:pPr>
        <w:pStyle w:val="15"/>
        <w:ind w:firstLine="480"/>
      </w:pPr>
      <w:r>
        <w:rPr>
          <w:rFonts w:hint="eastAsia"/>
        </w:rPr>
        <w:t>1.现场复尺、导视点位、设备点位及管线路由确认记录；</w:t>
      </w:r>
    </w:p>
    <w:p w14:paraId="246073E3">
      <w:pPr>
        <w:pStyle w:val="15"/>
        <w:ind w:firstLine="480"/>
      </w:pPr>
      <w:r>
        <w:rPr>
          <w:rFonts w:hint="eastAsia"/>
        </w:rPr>
        <w:t>2.玻璃隔断深化图或节点确认资料；</w:t>
      </w:r>
    </w:p>
    <w:p w14:paraId="00476370">
      <w:pPr>
        <w:pStyle w:val="15"/>
        <w:ind w:firstLine="480"/>
      </w:pPr>
      <w:r>
        <w:rPr>
          <w:rFonts w:hint="eastAsia"/>
        </w:rPr>
        <w:t>3.园区及展厅导视系统设计方案、样式图及相关确认资料；</w:t>
      </w:r>
    </w:p>
    <w:p w14:paraId="1C359C60">
      <w:pPr>
        <w:pStyle w:val="15"/>
        <w:ind w:firstLine="480"/>
      </w:pPr>
      <w:r>
        <w:rPr>
          <w:rFonts w:hint="eastAsia"/>
        </w:rPr>
        <w:t>4.材料、设备合格证明、出厂资料及必要的检测资料；</w:t>
      </w:r>
    </w:p>
    <w:p w14:paraId="1B4CFC45">
      <w:pPr>
        <w:pStyle w:val="15"/>
        <w:ind w:firstLine="480"/>
      </w:pPr>
      <w:r>
        <w:rPr>
          <w:rFonts w:hint="eastAsia"/>
        </w:rPr>
        <w:t>5.施工组织方案及安全文明施工资料；</w:t>
      </w:r>
    </w:p>
    <w:p w14:paraId="29882C81">
      <w:pPr>
        <w:pStyle w:val="15"/>
        <w:ind w:firstLine="480"/>
      </w:pPr>
      <w:r>
        <w:rPr>
          <w:rFonts w:hint="eastAsia"/>
        </w:rPr>
        <w:t>6.隐蔽工程过程记录及必要的影像资料；</w:t>
      </w:r>
    </w:p>
    <w:p w14:paraId="313BF94B">
      <w:pPr>
        <w:pStyle w:val="15"/>
        <w:ind w:firstLine="480"/>
      </w:pPr>
      <w:r>
        <w:rPr>
          <w:rFonts w:hint="eastAsia"/>
        </w:rPr>
        <w:t>7.设备安装调试及运行测试记录；</w:t>
      </w:r>
    </w:p>
    <w:p w14:paraId="3A938BC5">
      <w:pPr>
        <w:pStyle w:val="15"/>
        <w:ind w:firstLine="480"/>
      </w:pPr>
      <w:r>
        <w:rPr>
          <w:rFonts w:hint="eastAsia"/>
        </w:rPr>
        <w:t>8.完工清单；</w:t>
      </w:r>
    </w:p>
    <w:p w14:paraId="643A4BA4">
      <w:pPr>
        <w:pStyle w:val="15"/>
        <w:ind w:firstLine="480"/>
      </w:pPr>
      <w:r>
        <w:rPr>
          <w:rFonts w:hint="eastAsia"/>
        </w:rPr>
        <w:t>9.竣工图、完工尺寸图、导视安装点位图或管线点位图；</w:t>
      </w:r>
    </w:p>
    <w:p w14:paraId="38D03679">
      <w:pPr>
        <w:pStyle w:val="15"/>
        <w:ind w:firstLine="480"/>
      </w:pPr>
      <w:r>
        <w:rPr>
          <w:rFonts w:hint="eastAsia"/>
        </w:rPr>
        <w:t>10.验收资料；</w:t>
      </w:r>
    </w:p>
    <w:p w14:paraId="2846E3FA">
      <w:pPr>
        <w:pStyle w:val="15"/>
        <w:ind w:firstLine="480"/>
      </w:pPr>
      <w:r>
        <w:rPr>
          <w:rFonts w:hint="eastAsia"/>
        </w:rPr>
        <w:t>11.质保承诺书；</w:t>
      </w:r>
    </w:p>
    <w:p w14:paraId="4CDD70F9">
      <w:pPr>
        <w:pStyle w:val="15"/>
        <w:ind w:firstLine="480"/>
      </w:pPr>
      <w:r>
        <w:rPr>
          <w:rFonts w:hint="eastAsia"/>
        </w:rPr>
        <w:t>12.售后服务方案。</w:t>
      </w:r>
    </w:p>
    <w:p w14:paraId="0D750ED9">
      <w:pPr>
        <w:spacing w:before="240" w:after="60"/>
        <w:jc w:val="left"/>
        <w:outlineLvl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五、合同草案条款</w:t>
      </w:r>
    </w:p>
    <w:p w14:paraId="5EC75EDE">
      <w:pPr>
        <w:pStyle w:val="15"/>
        <w:ind w:firstLine="480"/>
      </w:pPr>
      <w:r>
        <w:rPr>
          <w:rFonts w:hint="eastAsia"/>
        </w:rPr>
        <w:t>1.交付需求：</w:t>
      </w:r>
      <w:r>
        <w:t>完成本项目两个展厅玻璃隔断、园区及展厅导视系统设计制作安装、IP网络消防采集器、无线移动手持机、10KVA UPS电源系统、配管配线、信息插座、接线盒等全部设计、供货、制作、安装、接线、调试、测试、清洁收尾及资料移交工作，整体完工交付使用。</w:t>
      </w:r>
    </w:p>
    <w:p w14:paraId="218F41CB">
      <w:pPr>
        <w:pStyle w:val="15"/>
        <w:ind w:firstLine="480"/>
      </w:pPr>
      <w:r>
        <w:rPr>
          <w:rFonts w:hint="eastAsia"/>
        </w:rPr>
        <w:t>2.交货时间：合同签订之日起10个工作日内完成</w:t>
      </w:r>
      <w:r>
        <w:t>现场复尺</w:t>
      </w:r>
      <w:r>
        <w:rPr>
          <w:rFonts w:hint="eastAsia"/>
        </w:rPr>
        <w:t>、</w:t>
      </w:r>
      <w:r>
        <w:t>深化确认、生产制作、现场安装、整改验收并全面交付</w:t>
      </w:r>
      <w:r>
        <w:rPr>
          <w:rFonts w:hint="eastAsia"/>
        </w:rPr>
        <w:t>。</w:t>
      </w:r>
    </w:p>
    <w:p w14:paraId="0FDBC5BE">
      <w:pPr>
        <w:pStyle w:val="15"/>
        <w:ind w:firstLine="480"/>
      </w:pPr>
      <w:r>
        <w:rPr>
          <w:rFonts w:hint="eastAsia"/>
        </w:rPr>
        <w:t>3.交货地点：湖北考古博物馆(或采购人指定的地点)。</w:t>
      </w:r>
    </w:p>
    <w:p w14:paraId="7D3DB7F3">
      <w:pPr>
        <w:pStyle w:val="15"/>
        <w:ind w:firstLine="480"/>
      </w:pPr>
      <w:r>
        <w:rPr>
          <w:rFonts w:hint="eastAsia"/>
        </w:rPr>
        <w:t>4.安装与调试：本项目为全包总价包干，成交供应商负责全部设计、供货、运输、安装、调试、整改、清洁工作，响应总价为固定不变交钥匙总价。合同履行期间，人工、材料、运输、税费、管理、维保等所有成本上涨风险由供应商自行承担，采购人不追加任何费用。</w:t>
      </w:r>
    </w:p>
    <w:p w14:paraId="43C6F2BE">
      <w:pPr>
        <w:pStyle w:val="15"/>
        <w:ind w:firstLine="480"/>
      </w:pPr>
      <w:r>
        <w:rPr>
          <w:rFonts w:hint="eastAsia"/>
        </w:rPr>
        <w:t>5.验收要求：满足国家相关规定标准，</w:t>
      </w:r>
      <w:r>
        <w:t>无</w:t>
      </w:r>
      <w:r>
        <w:rPr>
          <w:rFonts w:hint="eastAsia"/>
        </w:rPr>
        <w:t>安全隐患</w:t>
      </w:r>
      <w:r>
        <w:t>交付后正常使用</w:t>
      </w:r>
      <w:r>
        <w:rPr>
          <w:rFonts w:hint="eastAsia"/>
        </w:rPr>
        <w:t>。</w:t>
      </w:r>
    </w:p>
    <w:p w14:paraId="425B3A77">
      <w:pPr>
        <w:pStyle w:val="15"/>
        <w:ind w:firstLine="480"/>
      </w:pPr>
      <w:r>
        <w:rPr>
          <w:rFonts w:hint="eastAsia"/>
        </w:rPr>
        <w:t>6.合同签订及付款方式：</w:t>
      </w:r>
    </w:p>
    <w:p w14:paraId="40DEC018">
      <w:pPr>
        <w:pStyle w:val="15"/>
        <w:ind w:firstLine="480"/>
      </w:pPr>
      <w:r>
        <w:rPr>
          <w:rFonts w:hint="eastAsia"/>
        </w:rPr>
        <w:t>6.1.本次采购合同由采购人与成交供应商签订。</w:t>
      </w:r>
    </w:p>
    <w:p w14:paraId="3C7C42E5">
      <w:pPr>
        <w:pStyle w:val="15"/>
        <w:ind w:firstLine="480"/>
        <w:rPr>
          <w:highlight w:val="yellow"/>
        </w:rPr>
      </w:pPr>
      <w:r>
        <w:rPr>
          <w:rFonts w:hint="eastAsia"/>
        </w:rPr>
        <w:t>6.2.付款方式：项目全部完工、采购人组织验收合格，由成交供应商开具发票，采购方在10个工作日内办理付款。</w:t>
      </w:r>
    </w:p>
    <w:p w14:paraId="061F0D6F">
      <w:pPr>
        <w:spacing w:before="240" w:after="60"/>
        <w:jc w:val="left"/>
        <w:outlineLvl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六、评审方法</w:t>
      </w:r>
    </w:p>
    <w:p w14:paraId="7052FE50">
      <w:pPr>
        <w:pStyle w:val="15"/>
        <w:ind w:firstLine="480"/>
      </w:pPr>
      <w:r>
        <w:rPr>
          <w:rFonts w:hint="eastAsia"/>
        </w:rPr>
        <w:t>根据符合采购需求、质量和服务相等且报价（评审价）最低的原则确定成交候选供应商。</w:t>
      </w:r>
    </w:p>
    <w:p w14:paraId="34F42EB9">
      <w:pPr>
        <w:widowControl/>
        <w:jc w:val="left"/>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br w:type="page"/>
      </w:r>
    </w:p>
    <w:p w14:paraId="64C480BC">
      <w:pPr>
        <w:tabs>
          <w:tab w:val="left" w:pos="7665"/>
        </w:tabs>
        <w:ind w:firstLine="705" w:firstLineChars="196"/>
        <w:jc w:val="center"/>
        <w:outlineLvl w:val="1"/>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36"/>
          <w:szCs w:val="36"/>
        </w:rPr>
        <w:t>第四章  合同书（格式）</w:t>
      </w:r>
    </w:p>
    <w:p w14:paraId="618B9DA9">
      <w:pPr>
        <w:spacing w:line="440" w:lineRule="exact"/>
        <w:jc w:val="center"/>
        <w:rPr>
          <w:rFonts w:hint="eastAsia" w:asciiTheme="minorEastAsia" w:hAnsiTheme="minorEastAsia" w:eastAsiaTheme="minorEastAsia" w:cstheme="minorEastAsia"/>
          <w:sz w:val="44"/>
          <w:szCs w:val="44"/>
        </w:rPr>
      </w:pPr>
    </w:p>
    <w:p w14:paraId="442C55C7">
      <w:pPr>
        <w:spacing w:line="30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根据《政府采购法》和《民法典》。采购人和供应商之间的权利和义务，应当按照平等的原则以合同方式约定。此合同书仅作为签订正式合同时的参考，正式合同书应包括本参考格式之内容。</w:t>
      </w:r>
    </w:p>
    <w:p w14:paraId="73E39705">
      <w:pPr>
        <w:spacing w:line="300" w:lineRule="auto"/>
        <w:ind w:firstLine="539" w:firstLineChars="245"/>
        <w:rPr>
          <w:rFonts w:hint="eastAsia" w:asciiTheme="minorEastAsia" w:hAnsiTheme="minorEastAsia" w:eastAsiaTheme="minorEastAsia" w:cstheme="minorEastAsia"/>
          <w:spacing w:val="-10"/>
          <w:sz w:val="24"/>
        </w:rPr>
      </w:pPr>
    </w:p>
    <w:p w14:paraId="7D2591F3">
      <w:pPr>
        <w:spacing w:line="500" w:lineRule="exact"/>
        <w:ind w:firstLine="540"/>
        <w:jc w:val="center"/>
        <w:rPr>
          <w:rFonts w:hint="eastAsia" w:asciiTheme="minorEastAsia" w:hAnsiTheme="minorEastAsia" w:eastAsiaTheme="minorEastAsia" w:cstheme="minorEastAsia"/>
          <w:kern w:val="0"/>
          <w:sz w:val="36"/>
          <w:szCs w:val="36"/>
        </w:rPr>
      </w:pPr>
      <w:r>
        <w:rPr>
          <w:rFonts w:hint="eastAsia" w:asciiTheme="minorEastAsia" w:hAnsiTheme="minorEastAsia" w:eastAsiaTheme="minorEastAsia" w:cstheme="minorEastAsia"/>
          <w:kern w:val="0"/>
          <w:sz w:val="36"/>
          <w:szCs w:val="36"/>
        </w:rPr>
        <w:t>合同书</w:t>
      </w:r>
    </w:p>
    <w:p w14:paraId="255D104A">
      <w:pPr>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项目名称：</w:t>
      </w:r>
    </w:p>
    <w:p w14:paraId="7E46A7D8">
      <w:pPr>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合同编号：</w:t>
      </w:r>
    </w:p>
    <w:p w14:paraId="77A1F5D0">
      <w:pPr>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签订日期：</w:t>
      </w:r>
    </w:p>
    <w:p w14:paraId="1B601F94">
      <w:pPr>
        <w:autoSpaceDE w:val="0"/>
        <w:autoSpaceDN w:val="0"/>
        <w:adjustRightInd w:val="0"/>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签订合同地点：</w:t>
      </w:r>
    </w:p>
    <w:p w14:paraId="51A843B6">
      <w:pPr>
        <w:spacing w:line="500" w:lineRule="exact"/>
        <w:ind w:firstLine="480" w:firstLineChars="200"/>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本合同由（以下简称“需方”）与（以下简称“供方”）签订。</w:t>
      </w:r>
    </w:p>
    <w:p w14:paraId="3F3A79E1">
      <w:pPr>
        <w:autoSpaceDE w:val="0"/>
        <w:autoSpaceDN w:val="0"/>
        <w:adjustRightInd w:val="0"/>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供方以总金额万元人民币（用大写数字书写）向需方提供如下货物（服务）：</w:t>
      </w:r>
    </w:p>
    <w:p w14:paraId="416281A2">
      <w:pPr>
        <w:autoSpaceDE w:val="0"/>
        <w:autoSpaceDN w:val="0"/>
        <w:adjustRightInd w:val="0"/>
        <w:spacing w:line="500" w:lineRule="exact"/>
        <w:ind w:firstLine="470" w:firstLineChars="196"/>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经双方协商，同意按下列条文执行：</w:t>
      </w:r>
    </w:p>
    <w:p w14:paraId="7B13F5F8">
      <w:pPr>
        <w:autoSpaceDE w:val="0"/>
        <w:autoSpaceDN w:val="0"/>
        <w:adjustRightInd w:val="0"/>
        <w:spacing w:line="500" w:lineRule="exact"/>
        <w:ind w:firstLine="470" w:firstLineChars="196"/>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1.本合同供、需双方必须遵守国家颁布的《中华人民共和国合同法》、《中华人民共和国政府采购法》，并各自履行应负的全部责任和义务。</w:t>
      </w:r>
    </w:p>
    <w:p w14:paraId="47D02E4B">
      <w:pPr>
        <w:autoSpaceDE w:val="0"/>
        <w:autoSpaceDN w:val="0"/>
        <w:adjustRightInd w:val="0"/>
        <w:spacing w:line="500" w:lineRule="exact"/>
        <w:ind w:firstLine="470" w:firstLineChars="196"/>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2.需方保证按合同条款规定的时间和方式付给供方到期应付的金额，并承担应负的责任和义务。</w:t>
      </w:r>
    </w:p>
    <w:p w14:paraId="188CCF30">
      <w:pPr>
        <w:autoSpaceDE w:val="0"/>
        <w:autoSpaceDN w:val="0"/>
        <w:adjustRightInd w:val="0"/>
        <w:spacing w:line="500" w:lineRule="exact"/>
        <w:ind w:firstLine="470" w:firstLineChars="196"/>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3.供方保证全部按合同条款规定的内容和实施周期向需方提供合格的货物（服务），并承担应负的责任和义务。</w:t>
      </w:r>
    </w:p>
    <w:p w14:paraId="6CF5130A">
      <w:pPr>
        <w:autoSpaceDE w:val="0"/>
        <w:autoSpaceDN w:val="0"/>
        <w:adjustRightInd w:val="0"/>
        <w:spacing w:line="500" w:lineRule="exact"/>
        <w:ind w:firstLine="470" w:firstLineChars="196"/>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4.合同文件</w:t>
      </w:r>
    </w:p>
    <w:p w14:paraId="10E86617">
      <w:pPr>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下列文件为本合同不可分割的部分：</w:t>
      </w:r>
    </w:p>
    <w:p w14:paraId="3EA132C8">
      <w:pPr>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4.1谈判文件(编号：　　　　)；</w:t>
      </w:r>
    </w:p>
    <w:p w14:paraId="492605DC">
      <w:pPr>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4.2供方成交的响应文件（副本）；</w:t>
      </w:r>
    </w:p>
    <w:p w14:paraId="52BBB5A4">
      <w:pPr>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4.3合同书；</w:t>
      </w:r>
    </w:p>
    <w:p w14:paraId="063443ED">
      <w:pPr>
        <w:autoSpaceDE w:val="0"/>
        <w:autoSpaceDN w:val="0"/>
        <w:adjustRightInd w:val="0"/>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4.4合同条款；</w:t>
      </w:r>
    </w:p>
    <w:p w14:paraId="1E1E8B6E">
      <w:pPr>
        <w:autoSpaceDE w:val="0"/>
        <w:autoSpaceDN w:val="0"/>
        <w:adjustRightInd w:val="0"/>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4.5（集中采购机构名称）发出的成交通知书；</w:t>
      </w:r>
    </w:p>
    <w:p w14:paraId="14D7B482">
      <w:pPr>
        <w:autoSpaceDE w:val="0"/>
        <w:autoSpaceDN w:val="0"/>
        <w:adjustRightInd w:val="0"/>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4.6在商洽本合同时，双方澄清、确认并共同签字的补充文件、技术协议。</w:t>
      </w:r>
    </w:p>
    <w:p w14:paraId="3234A5E3">
      <w:pPr>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5.合同范围和条件</w:t>
      </w:r>
    </w:p>
    <w:p w14:paraId="28CCB3F5">
      <w:pPr>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本合同的范围和条件应与上述规定的合同文件内容相一致。</w:t>
      </w:r>
    </w:p>
    <w:p w14:paraId="50208436">
      <w:pPr>
        <w:autoSpaceDE w:val="0"/>
        <w:autoSpaceDN w:val="0"/>
        <w:adjustRightInd w:val="0"/>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6.货物（服务）及数量</w:t>
      </w:r>
    </w:p>
    <w:p w14:paraId="0A7CED07">
      <w:pPr>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本合同所提供的货物（服务）及数量详见谈判文件的要求及供方响应文件中的承诺。</w:t>
      </w:r>
    </w:p>
    <w:p w14:paraId="759DDE1C">
      <w:pPr>
        <w:autoSpaceDE w:val="0"/>
        <w:autoSpaceDN w:val="0"/>
        <w:adjustRightInd w:val="0"/>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7.付款方式</w:t>
      </w:r>
    </w:p>
    <w:p w14:paraId="445EDDB2">
      <w:pPr>
        <w:autoSpaceDE w:val="0"/>
        <w:autoSpaceDN w:val="0"/>
        <w:adjustRightInd w:val="0"/>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本合同的付款条件在谈判文件中有明确规定。</w:t>
      </w:r>
    </w:p>
    <w:p w14:paraId="066BC385">
      <w:pPr>
        <w:autoSpaceDE w:val="0"/>
        <w:autoSpaceDN w:val="0"/>
        <w:adjustRightInd w:val="0"/>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8.合同金额</w:t>
      </w:r>
    </w:p>
    <w:p w14:paraId="6F386E3A">
      <w:pPr>
        <w:autoSpaceDE w:val="0"/>
        <w:autoSpaceDN w:val="0"/>
        <w:adjustRightInd w:val="0"/>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合同总金额：人民币</w:t>
      </w:r>
    </w:p>
    <w:p w14:paraId="62E987A7">
      <w:pPr>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9.实施时间和地点</w:t>
      </w:r>
    </w:p>
    <w:p w14:paraId="3405F0C1">
      <w:pPr>
        <w:autoSpaceDE w:val="0"/>
        <w:autoSpaceDN w:val="0"/>
        <w:adjustRightInd w:val="0"/>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本合同中货物（服务）的实施时间、地点在谈判文件中有明确规定。</w:t>
      </w:r>
    </w:p>
    <w:p w14:paraId="62F1E2D8">
      <w:pPr>
        <w:autoSpaceDE w:val="0"/>
        <w:autoSpaceDN w:val="0"/>
        <w:adjustRightInd w:val="0"/>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10.合同生效</w:t>
      </w:r>
    </w:p>
    <w:p w14:paraId="7498644A">
      <w:pPr>
        <w:autoSpaceDE w:val="0"/>
        <w:autoSpaceDN w:val="0"/>
        <w:adjustRightInd w:val="0"/>
        <w:spacing w:line="500" w:lineRule="exact"/>
        <w:ind w:firstLine="480" w:firstLineChars="200"/>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本合同经供、需双方授权代表签字和加盖公章（或合同专用章）后生效。</w:t>
      </w:r>
    </w:p>
    <w:p w14:paraId="154C5356">
      <w:pPr>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11.合同的份数</w:t>
      </w:r>
    </w:p>
    <w:p w14:paraId="2C25C5D0">
      <w:pPr>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本合同正本一式　　份，需方执　　份，供方执　　份；副本一式　　份，需方执　　份，供方执　　份，湖北省财政厅政府采购管理处壹份备案。</w:t>
      </w:r>
    </w:p>
    <w:p w14:paraId="40227F8C">
      <w:pPr>
        <w:tabs>
          <w:tab w:val="left" w:pos="4860"/>
        </w:tabs>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p>
    <w:p w14:paraId="0684068A">
      <w:pPr>
        <w:tabs>
          <w:tab w:val="left" w:pos="4860"/>
        </w:tabs>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需　　方：供　　方：</w:t>
      </w:r>
    </w:p>
    <w:p w14:paraId="11FB8619">
      <w:pPr>
        <w:tabs>
          <w:tab w:val="left" w:pos="4860"/>
        </w:tabs>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单位名称（盖章）：单位名称（盖章）：</w:t>
      </w:r>
    </w:p>
    <w:p w14:paraId="795415C4">
      <w:pPr>
        <w:tabs>
          <w:tab w:val="left" w:pos="4860"/>
        </w:tabs>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单位地址：单位地址：</w:t>
      </w:r>
    </w:p>
    <w:p w14:paraId="29D3F23F">
      <w:pPr>
        <w:tabs>
          <w:tab w:val="left" w:pos="4860"/>
        </w:tabs>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法人（负责人）代表授权人(签字)：法人（负责人）代表授权人(签字)：</w:t>
      </w:r>
    </w:p>
    <w:p w14:paraId="4301200C">
      <w:pPr>
        <w:tabs>
          <w:tab w:val="left" w:pos="4860"/>
        </w:tabs>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联系人：联系人：</w:t>
      </w:r>
    </w:p>
    <w:p w14:paraId="1D3738F0">
      <w:pPr>
        <w:tabs>
          <w:tab w:val="left" w:pos="4860"/>
        </w:tabs>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电　　话：电　　话：</w:t>
      </w:r>
    </w:p>
    <w:p w14:paraId="6A901B16">
      <w:pPr>
        <w:tabs>
          <w:tab w:val="left" w:pos="4860"/>
        </w:tabs>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传　　真：传　　真：</w:t>
      </w:r>
    </w:p>
    <w:p w14:paraId="356C1B45">
      <w:pPr>
        <w:tabs>
          <w:tab w:val="left" w:pos="4860"/>
        </w:tabs>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邮政编码：邮政编码：</w:t>
      </w:r>
    </w:p>
    <w:p w14:paraId="0F5EFEB6">
      <w:pPr>
        <w:tabs>
          <w:tab w:val="left" w:pos="4860"/>
        </w:tabs>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开户银行：开户银行：</w:t>
      </w:r>
    </w:p>
    <w:p w14:paraId="4A5E3B06">
      <w:pPr>
        <w:tabs>
          <w:tab w:val="left" w:pos="4860"/>
        </w:tabs>
        <w:autoSpaceDE w:val="0"/>
        <w:autoSpaceDN w:val="0"/>
        <w:adjustRightInd w:val="0"/>
        <w:spacing w:line="500" w:lineRule="exact"/>
        <w:ind w:firstLine="480" w:firstLineChars="200"/>
        <w:jc w:val="left"/>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帐　　号：帐　　号：</w:t>
      </w:r>
    </w:p>
    <w:p w14:paraId="5FF5E2CF">
      <w:pPr>
        <w:spacing w:line="440" w:lineRule="exact"/>
        <w:ind w:left="3" w:leftChars="1" w:firstLine="480" w:firstLineChars="200"/>
        <w:jc w:val="left"/>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kern w:val="0"/>
          <w:sz w:val="24"/>
          <w:szCs w:val="20"/>
        </w:rPr>
        <w:t>税　　号：                           税　　号：</w:t>
      </w:r>
      <w:r>
        <w:rPr>
          <w:rFonts w:hint="eastAsia" w:asciiTheme="minorEastAsia" w:hAnsiTheme="minorEastAsia" w:eastAsiaTheme="minorEastAsia" w:cstheme="minorEastAsia"/>
          <w:sz w:val="36"/>
          <w:szCs w:val="36"/>
        </w:rPr>
        <w:br w:type="page"/>
      </w:r>
    </w:p>
    <w:p w14:paraId="2CCC1D34">
      <w:pPr>
        <w:adjustRightInd w:val="0"/>
        <w:snapToGrid w:val="0"/>
        <w:jc w:val="center"/>
        <w:outlineLvl w:val="0"/>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第五章  响应文件格式</w:t>
      </w:r>
    </w:p>
    <w:p w14:paraId="2D89105C">
      <w:pPr>
        <w:adjustRightInd w:val="0"/>
        <w:snapToGrid w:val="0"/>
        <w:jc w:val="center"/>
        <w:outlineLvl w:val="0"/>
        <w:rPr>
          <w:rFonts w:hint="eastAsia" w:asciiTheme="minorEastAsia" w:hAnsiTheme="minorEastAsia" w:eastAsiaTheme="minorEastAsia" w:cstheme="minorEastAsia"/>
          <w:sz w:val="18"/>
          <w:szCs w:val="18"/>
        </w:rPr>
      </w:pPr>
    </w:p>
    <w:p w14:paraId="7E45634C">
      <w:pPr>
        <w:adjustRightInd w:val="0"/>
        <w:snapToGrid w:val="0"/>
        <w:outlineLvl w:val="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封面：</w:t>
      </w:r>
    </w:p>
    <w:p w14:paraId="46FF5E8F">
      <w:pPr>
        <w:pStyle w:val="18"/>
        <w:tabs>
          <w:tab w:val="left" w:pos="1260"/>
        </w:tabs>
        <w:jc w:val="center"/>
        <w:rPr>
          <w:rFonts w:hint="eastAsia" w:asciiTheme="minorEastAsia" w:hAnsiTheme="minorEastAsia" w:eastAsiaTheme="minorEastAsia" w:cstheme="minorEastAsia"/>
          <w:spacing w:val="100"/>
          <w:w w:val="110"/>
          <w:kern w:val="0"/>
          <w:sz w:val="52"/>
          <w:szCs w:val="52"/>
        </w:rPr>
      </w:pPr>
    </w:p>
    <w:p w14:paraId="4DDB68D8">
      <w:pPr>
        <w:pStyle w:val="18"/>
        <w:tabs>
          <w:tab w:val="left" w:pos="1260"/>
        </w:tabs>
        <w:jc w:val="center"/>
        <w:rPr>
          <w:rFonts w:hint="eastAsia" w:asciiTheme="minorEastAsia" w:hAnsiTheme="minorEastAsia" w:eastAsiaTheme="minorEastAsia" w:cstheme="minorEastAsia"/>
          <w:spacing w:val="100"/>
          <w:w w:val="110"/>
          <w:sz w:val="100"/>
          <w:szCs w:val="100"/>
        </w:rPr>
      </w:pPr>
      <w:r>
        <w:rPr>
          <w:rFonts w:hint="eastAsia" w:asciiTheme="minorEastAsia" w:hAnsiTheme="minorEastAsia" w:eastAsiaTheme="minorEastAsia" w:cstheme="minorEastAsia"/>
          <w:spacing w:val="100"/>
          <w:w w:val="110"/>
          <w:kern w:val="0"/>
          <w:sz w:val="100"/>
          <w:szCs w:val="100"/>
        </w:rPr>
        <w:t>响应文件</w:t>
      </w:r>
    </w:p>
    <w:p w14:paraId="7551F896">
      <w:pPr>
        <w:pStyle w:val="18"/>
        <w:jc w:val="center"/>
        <w:rPr>
          <w:rFonts w:hint="eastAsia" w:asciiTheme="minorEastAsia" w:hAnsiTheme="minorEastAsia" w:eastAsiaTheme="minorEastAsia" w:cstheme="minorEastAsia"/>
          <w:sz w:val="44"/>
        </w:rPr>
      </w:pPr>
      <w:r>
        <w:rPr>
          <w:rFonts w:hint="eastAsia" w:asciiTheme="minorEastAsia" w:hAnsiTheme="minorEastAsia" w:eastAsiaTheme="minorEastAsia" w:cstheme="minorEastAsia"/>
          <w:sz w:val="44"/>
        </w:rPr>
        <w:t>（正本）</w:t>
      </w:r>
    </w:p>
    <w:p w14:paraId="64BA95B1">
      <w:pPr>
        <w:pStyle w:val="18"/>
        <w:jc w:val="center"/>
        <w:rPr>
          <w:rFonts w:hint="eastAsia" w:asciiTheme="minorEastAsia" w:hAnsiTheme="minorEastAsia" w:eastAsiaTheme="minorEastAsia" w:cstheme="minorEastAsia"/>
          <w:sz w:val="44"/>
        </w:rPr>
      </w:pPr>
    </w:p>
    <w:p w14:paraId="650D833C">
      <w:pPr>
        <w:pStyle w:val="18"/>
        <w:jc w:val="center"/>
        <w:rPr>
          <w:rFonts w:hint="eastAsia" w:asciiTheme="minorEastAsia" w:hAnsiTheme="minorEastAsia" w:eastAsiaTheme="minorEastAsia" w:cstheme="minorEastAsia"/>
          <w:sz w:val="44"/>
        </w:rPr>
      </w:pPr>
    </w:p>
    <w:p w14:paraId="52709021">
      <w:pPr>
        <w:pStyle w:val="18"/>
        <w:spacing w:line="360" w:lineRule="auto"/>
        <w:ind w:firstLine="1280" w:firstLineChars="400"/>
        <w:rPr>
          <w:rFonts w:hint="eastAsia" w:asciiTheme="minorEastAsia" w:hAnsiTheme="minorEastAsia" w:eastAsiaTheme="minorEastAsia" w:cstheme="minorEastAsia"/>
          <w:sz w:val="32"/>
          <w:szCs w:val="32"/>
          <w:u w:val="single"/>
        </w:rPr>
      </w:pPr>
      <w:r>
        <w:rPr>
          <w:rFonts w:hint="eastAsia" w:asciiTheme="minorEastAsia" w:hAnsiTheme="minorEastAsia" w:eastAsiaTheme="minorEastAsia" w:cstheme="minorEastAsia"/>
          <w:sz w:val="32"/>
          <w:szCs w:val="32"/>
        </w:rPr>
        <w:t>项目编号：</w:t>
      </w:r>
    </w:p>
    <w:p w14:paraId="43561B14">
      <w:pPr>
        <w:pStyle w:val="16"/>
        <w:spacing w:line="360" w:lineRule="auto"/>
        <w:ind w:firstLine="1280" w:firstLineChars="400"/>
        <w:rPr>
          <w:rFonts w:hint="eastAsia" w:asciiTheme="minorEastAsia" w:hAnsiTheme="minorEastAsia" w:eastAsiaTheme="minorEastAsia" w:cstheme="minorEastAsia"/>
          <w:szCs w:val="32"/>
          <w:u w:val="single"/>
        </w:rPr>
      </w:pPr>
      <w:r>
        <w:rPr>
          <w:rFonts w:hint="eastAsia" w:asciiTheme="minorEastAsia" w:hAnsiTheme="minorEastAsia" w:eastAsiaTheme="minorEastAsia" w:cstheme="minorEastAsia"/>
          <w:szCs w:val="32"/>
        </w:rPr>
        <w:t>项目名称：</w:t>
      </w:r>
    </w:p>
    <w:p w14:paraId="5959A6FB">
      <w:pPr>
        <w:pStyle w:val="18"/>
        <w:spacing w:line="360" w:lineRule="auto"/>
        <w:ind w:firstLine="1280" w:firstLineChars="400"/>
        <w:rPr>
          <w:rFonts w:hint="eastAsia" w:asciiTheme="minorEastAsia" w:hAnsiTheme="minorEastAsia" w:eastAsiaTheme="minorEastAsia" w:cstheme="minorEastAsia"/>
          <w:sz w:val="32"/>
          <w:szCs w:val="32"/>
          <w:u w:val="single"/>
        </w:rPr>
      </w:pPr>
      <w:r>
        <w:rPr>
          <w:rFonts w:hint="eastAsia" w:asciiTheme="minorEastAsia" w:hAnsiTheme="minorEastAsia" w:eastAsiaTheme="minorEastAsia" w:cstheme="minorEastAsia"/>
          <w:sz w:val="32"/>
          <w:szCs w:val="32"/>
        </w:rPr>
        <w:t>谈判内容：</w:t>
      </w:r>
    </w:p>
    <w:p w14:paraId="5F67C76B">
      <w:pPr>
        <w:pStyle w:val="18"/>
        <w:ind w:firstLine="1320" w:firstLineChars="300"/>
        <w:rPr>
          <w:rFonts w:hint="eastAsia" w:asciiTheme="minorEastAsia" w:hAnsiTheme="minorEastAsia" w:eastAsiaTheme="minorEastAsia" w:cstheme="minorEastAsia"/>
          <w:sz w:val="44"/>
        </w:rPr>
      </w:pPr>
    </w:p>
    <w:p w14:paraId="2B5A44B7">
      <w:pPr>
        <w:pStyle w:val="18"/>
        <w:ind w:firstLine="1320" w:firstLineChars="300"/>
        <w:rPr>
          <w:rFonts w:hint="eastAsia" w:asciiTheme="minorEastAsia" w:hAnsiTheme="minorEastAsia" w:eastAsiaTheme="minorEastAsia" w:cstheme="minorEastAsia"/>
          <w:sz w:val="44"/>
        </w:rPr>
      </w:pPr>
    </w:p>
    <w:p w14:paraId="410AE916">
      <w:pPr>
        <w:pStyle w:val="18"/>
        <w:ind w:firstLine="1320" w:firstLineChars="300"/>
        <w:rPr>
          <w:rFonts w:hint="eastAsia" w:asciiTheme="minorEastAsia" w:hAnsiTheme="minorEastAsia" w:eastAsiaTheme="minorEastAsia" w:cstheme="minorEastAsia"/>
          <w:sz w:val="44"/>
        </w:rPr>
      </w:pPr>
    </w:p>
    <w:p w14:paraId="5A9CCB34">
      <w:pPr>
        <w:pStyle w:val="18"/>
        <w:rPr>
          <w:rFonts w:hint="eastAsia" w:asciiTheme="minorEastAsia" w:hAnsiTheme="minorEastAsia" w:eastAsiaTheme="minorEastAsia" w:cstheme="minorEastAsia"/>
          <w:sz w:val="44"/>
        </w:rPr>
      </w:pPr>
    </w:p>
    <w:p w14:paraId="4C2C7E67">
      <w:pPr>
        <w:pStyle w:val="18"/>
        <w:ind w:firstLine="1320" w:firstLineChars="300"/>
        <w:rPr>
          <w:rFonts w:hint="eastAsia" w:asciiTheme="minorEastAsia" w:hAnsiTheme="minorEastAsia" w:eastAsiaTheme="minorEastAsia" w:cstheme="minorEastAsia"/>
          <w:sz w:val="44"/>
        </w:rPr>
      </w:pPr>
    </w:p>
    <w:p w14:paraId="61FA2090">
      <w:pPr>
        <w:pStyle w:val="18"/>
        <w:spacing w:line="360" w:lineRule="auto"/>
        <w:ind w:firstLine="1584" w:firstLineChars="495"/>
        <w:rPr>
          <w:rFonts w:hint="eastAsia" w:asciiTheme="minorEastAsia" w:hAnsiTheme="minorEastAsia" w:eastAsiaTheme="minorEastAsia" w:cstheme="minorEastAsia"/>
          <w:sz w:val="32"/>
          <w:szCs w:val="32"/>
          <w:u w:val="single"/>
        </w:rPr>
      </w:pPr>
      <w:r>
        <w:rPr>
          <w:rFonts w:hint="eastAsia" w:asciiTheme="minorEastAsia" w:hAnsiTheme="minorEastAsia" w:eastAsiaTheme="minorEastAsia" w:cstheme="minorEastAsia"/>
          <w:sz w:val="32"/>
          <w:szCs w:val="32"/>
        </w:rPr>
        <w:t>供应商名称：</w:t>
      </w:r>
    </w:p>
    <w:p w14:paraId="53C02AC6">
      <w:pPr>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年  月  日</w:t>
      </w:r>
    </w:p>
    <w:p w14:paraId="0E35CE71">
      <w:pPr>
        <w:adjustRightInd w:val="0"/>
        <w:snapToGrid w:val="0"/>
        <w:jc w:val="center"/>
        <w:outlineLvl w:val="0"/>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Cs w:val="21"/>
        </w:rPr>
        <w:br w:type="page"/>
      </w:r>
      <w:r>
        <w:rPr>
          <w:rFonts w:hint="eastAsia" w:asciiTheme="minorEastAsia" w:hAnsiTheme="minorEastAsia" w:eastAsiaTheme="minorEastAsia" w:cstheme="minorEastAsia"/>
          <w:sz w:val="44"/>
          <w:szCs w:val="44"/>
        </w:rPr>
        <w:t>目  录</w:t>
      </w:r>
    </w:p>
    <w:p w14:paraId="413D76BA">
      <w:pPr>
        <w:adjustRightInd w:val="0"/>
        <w:snapToGrid w:val="0"/>
        <w:outlineLvl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Cs w:val="21"/>
        </w:rPr>
        <w:br w:type="page"/>
      </w:r>
      <w:r>
        <w:rPr>
          <w:rFonts w:hint="eastAsia" w:asciiTheme="minorEastAsia" w:hAnsiTheme="minorEastAsia" w:eastAsiaTheme="minorEastAsia" w:cstheme="minorEastAsia"/>
          <w:sz w:val="24"/>
        </w:rPr>
        <w:t>附件1</w:t>
      </w:r>
    </w:p>
    <w:p w14:paraId="6E00A7D1">
      <w:pPr>
        <w:adjustRightInd w:val="0"/>
        <w:snapToGrid w:val="0"/>
        <w:jc w:val="center"/>
        <w:outlineLvl w:val="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谈判书</w:t>
      </w:r>
    </w:p>
    <w:p w14:paraId="2A32EC7F">
      <w:pPr>
        <w:spacing w:line="500" w:lineRule="exact"/>
        <w:ind w:left="-118" w:leftChars="-42"/>
        <w:rPr>
          <w:rFonts w:hint="eastAsia" w:asciiTheme="minorEastAsia" w:hAnsiTheme="minorEastAsia" w:eastAsiaTheme="minorEastAsia" w:cstheme="minorEastAsia"/>
          <w:szCs w:val="28"/>
        </w:rPr>
      </w:pPr>
    </w:p>
    <w:p w14:paraId="7EA78971">
      <w:pPr>
        <w:pStyle w:val="18"/>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致：</w:t>
      </w:r>
      <w:r>
        <w:rPr>
          <w:rFonts w:hint="eastAsia" w:asciiTheme="minorEastAsia" w:hAnsiTheme="minorEastAsia" w:eastAsiaTheme="minorEastAsia" w:cstheme="minorEastAsia"/>
          <w:sz w:val="24"/>
          <w:u w:val="single"/>
        </w:rPr>
        <w:t>(湖北省文物考古研究院（湖北考古博物馆）)</w:t>
      </w:r>
    </w:p>
    <w:p w14:paraId="7C50B4ED">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根据贵方</w:t>
      </w:r>
      <w:r>
        <w:rPr>
          <w:rFonts w:hint="eastAsia" w:asciiTheme="minorEastAsia" w:hAnsiTheme="minorEastAsia" w:eastAsiaTheme="minorEastAsia" w:cstheme="minorEastAsia"/>
          <w:sz w:val="24"/>
          <w:u w:val="single"/>
        </w:rPr>
        <w:t>（项目名称/项目编号）</w:t>
      </w:r>
      <w:r>
        <w:rPr>
          <w:rFonts w:hint="eastAsia" w:asciiTheme="minorEastAsia" w:hAnsiTheme="minorEastAsia" w:eastAsiaTheme="minorEastAsia" w:cstheme="minorEastAsia"/>
          <w:sz w:val="24"/>
        </w:rPr>
        <w:t>项目政府采购的谈判邀请，</w:t>
      </w:r>
      <w:r>
        <w:rPr>
          <w:rFonts w:hint="eastAsia" w:asciiTheme="minorEastAsia" w:hAnsiTheme="minorEastAsia" w:eastAsiaTheme="minorEastAsia" w:cstheme="minorEastAsia"/>
          <w:sz w:val="24"/>
          <w:u w:val="single"/>
        </w:rPr>
        <w:t>签字代表</w:t>
      </w:r>
      <w:r>
        <w:rPr>
          <w:rFonts w:hint="eastAsia" w:asciiTheme="minorEastAsia" w:hAnsiTheme="minorEastAsia" w:eastAsiaTheme="minorEastAsia" w:cstheme="minorEastAsia"/>
          <w:sz w:val="24"/>
        </w:rPr>
        <w:t>（姓名和职务）经正式授权并代表谈判供应商</w:t>
      </w:r>
      <w:r>
        <w:rPr>
          <w:rFonts w:hint="eastAsia" w:asciiTheme="minorEastAsia" w:hAnsiTheme="minorEastAsia" w:eastAsiaTheme="minorEastAsia" w:cstheme="minorEastAsia"/>
          <w:sz w:val="24"/>
          <w:u w:val="single"/>
        </w:rPr>
        <w:t>（谈判供应商名称、地址）</w:t>
      </w:r>
      <w:r>
        <w:rPr>
          <w:rFonts w:hint="eastAsia" w:asciiTheme="minorEastAsia" w:hAnsiTheme="minorEastAsia" w:eastAsiaTheme="minorEastAsia" w:cstheme="minorEastAsia"/>
          <w:sz w:val="24"/>
        </w:rPr>
        <w:t>提交下述响应文件正本一份。</w:t>
      </w:r>
    </w:p>
    <w:p w14:paraId="3F39D21F">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1.谈判书(附件1)；</w:t>
      </w:r>
    </w:p>
    <w:p w14:paraId="283ECA00">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2.报价组成情况表(附件2)；</w:t>
      </w:r>
    </w:p>
    <w:p w14:paraId="0BD83A92">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3.货物（服务）清单(附件3)；</w:t>
      </w:r>
    </w:p>
    <w:p w14:paraId="014B9AFB">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4.资格性符合性检查对照表(附件4)；</w:t>
      </w:r>
    </w:p>
    <w:p w14:paraId="4C853B8A">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5.技术响应、偏离情况说明表(附件5)；</w:t>
      </w:r>
    </w:p>
    <w:p w14:paraId="2E4A0B5B">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6.合同草案条款响应、偏离情况说明表(附件6)；</w:t>
      </w:r>
    </w:p>
    <w:p w14:paraId="69A2686A">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7.法人（负责人）代表授权书(附件7)；</w:t>
      </w:r>
    </w:p>
    <w:p w14:paraId="168C99DB">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8.法人或者其他组织的营业执照等证明文件，自然人的身份证明(附件8)；</w:t>
      </w:r>
    </w:p>
    <w:p w14:paraId="2AF716E4">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9.具备履行合同所必需的设备和专业技术能力的证明材料(附件9)；</w:t>
      </w:r>
    </w:p>
    <w:p w14:paraId="6435E25F">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10.本文件要求提供的其他资格证明文件及资料。</w:t>
      </w:r>
    </w:p>
    <w:p w14:paraId="023A4389">
      <w:pPr>
        <w:pStyle w:val="18"/>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在此，我方宣布同意如下：</w:t>
      </w:r>
    </w:p>
    <w:p w14:paraId="103D9D43">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 将按竞争性响应文件的规定履行合同责任和义务；</w:t>
      </w:r>
    </w:p>
    <w:p w14:paraId="26C6D98D">
      <w:pPr>
        <w:pStyle w:val="18"/>
        <w:spacing w:line="440" w:lineRule="exact"/>
        <w:ind w:left="840" w:hanging="36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 已详细审查全部竞争性谈判文件，包括第（编号、补遗书）（如果有的话）；我们完全理解并同意放弃对这方面有不明及误解的权力；</w:t>
      </w:r>
    </w:p>
    <w:p w14:paraId="3594C845">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 本响应文件有效期为自谈判之日起</w:t>
      </w:r>
      <w:r>
        <w:rPr>
          <w:rFonts w:hint="eastAsia" w:asciiTheme="minorEastAsia" w:hAnsiTheme="minorEastAsia" w:eastAsiaTheme="minorEastAsia" w:cstheme="minorEastAsia"/>
          <w:sz w:val="24"/>
          <w:u w:val="single"/>
        </w:rPr>
        <w:t>（  ）</w:t>
      </w:r>
      <w:r>
        <w:rPr>
          <w:rFonts w:hint="eastAsia" w:asciiTheme="minorEastAsia" w:hAnsiTheme="minorEastAsia" w:eastAsiaTheme="minorEastAsia" w:cstheme="minorEastAsia"/>
          <w:sz w:val="24"/>
        </w:rPr>
        <w:t>个日历日；</w:t>
      </w:r>
    </w:p>
    <w:p w14:paraId="27D3D4F0">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 同意提供按照贵方可能要求的与其谈判有关的一切数据或资料；</w:t>
      </w:r>
    </w:p>
    <w:p w14:paraId="049CB4D0">
      <w:pPr>
        <w:pStyle w:val="18"/>
        <w:spacing w:line="440" w:lineRule="exact"/>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 与本谈判有关的一切正式往来信函请寄：</w:t>
      </w:r>
    </w:p>
    <w:p w14:paraId="0AD136D4">
      <w:pPr>
        <w:pStyle w:val="18"/>
        <w:spacing w:line="440" w:lineRule="exact"/>
        <w:ind w:firstLine="840"/>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地址：</w:t>
      </w:r>
    </w:p>
    <w:p w14:paraId="17311D63">
      <w:pPr>
        <w:pStyle w:val="18"/>
        <w:spacing w:line="440" w:lineRule="exact"/>
        <w:ind w:firstLine="84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电话/传真：</w:t>
      </w:r>
    </w:p>
    <w:p w14:paraId="5241258C">
      <w:pPr>
        <w:pStyle w:val="18"/>
        <w:spacing w:line="440" w:lineRule="exact"/>
        <w:ind w:firstLine="84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电子信箱：</w:t>
      </w:r>
    </w:p>
    <w:p w14:paraId="284A49BF">
      <w:pPr>
        <w:pStyle w:val="18"/>
        <w:spacing w:line="440" w:lineRule="exact"/>
        <w:ind w:firstLine="84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谈判供应商（授权）代表签字：</w:t>
      </w:r>
    </w:p>
    <w:p w14:paraId="44FBEEB7">
      <w:pPr>
        <w:pStyle w:val="18"/>
        <w:spacing w:line="440" w:lineRule="exact"/>
        <w:ind w:firstLine="84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谈判供应商名称（公章）：</w:t>
      </w:r>
    </w:p>
    <w:p w14:paraId="1001C384">
      <w:pPr>
        <w:pStyle w:val="18"/>
        <w:spacing w:line="440" w:lineRule="exact"/>
        <w:ind w:firstLine="84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日期：</w:t>
      </w:r>
      <w:r>
        <w:rPr>
          <w:rFonts w:hint="eastAsia" w:asciiTheme="minorEastAsia" w:hAnsiTheme="minorEastAsia" w:eastAsiaTheme="minorEastAsia" w:cstheme="minorEastAsia"/>
          <w:sz w:val="24"/>
        </w:rPr>
        <w:br w:type="page"/>
      </w:r>
      <w:r>
        <w:rPr>
          <w:rFonts w:hint="eastAsia" w:asciiTheme="minorEastAsia" w:hAnsiTheme="minorEastAsia" w:eastAsiaTheme="minorEastAsia" w:cstheme="minorEastAsia"/>
          <w:sz w:val="24"/>
        </w:rPr>
        <w:t>附件2</w:t>
      </w:r>
    </w:p>
    <w:p w14:paraId="2EB65B0C">
      <w:pPr>
        <w:ind w:firstLine="3040" w:firstLineChars="95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报价组成情况表</w:t>
      </w:r>
    </w:p>
    <w:p w14:paraId="24CFA8C3">
      <w:pPr>
        <w:spacing w:line="500" w:lineRule="exact"/>
        <w:rPr>
          <w:rFonts w:hint="eastAsia" w:asciiTheme="minorEastAsia" w:hAnsiTheme="minorEastAsia" w:eastAsiaTheme="minorEastAsia" w:cstheme="minorEastAsia"/>
        </w:rPr>
      </w:pPr>
    </w:p>
    <w:p w14:paraId="4D8A0CAB">
      <w:pPr>
        <w:spacing w:line="240" w:lineRule="atLeast"/>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项目编号（包号）：</w:t>
      </w:r>
    </w:p>
    <w:p w14:paraId="4414CF11">
      <w:pPr>
        <w:spacing w:line="240" w:lineRule="atLeas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w:t>
      </w:r>
      <w:r>
        <w:rPr>
          <w:rFonts w:asciiTheme="minorEastAsia" w:hAnsiTheme="minorEastAsia" w:eastAsiaTheme="minorEastAsia" w:cstheme="minorEastAsia"/>
          <w:sz w:val="24"/>
        </w:rPr>
        <w:t>湖北考古博物馆展厅维修改造项目</w:t>
      </w:r>
    </w:p>
    <w:p w14:paraId="71829052">
      <w:pPr>
        <w:spacing w:line="240" w:lineRule="atLeast"/>
        <w:ind w:firstLine="482" w:firstLineChars="200"/>
        <w:rPr>
          <w:rFonts w:hint="eastAsia" w:asciiTheme="minorEastAsia" w:hAnsiTheme="minorEastAsia" w:eastAsiaTheme="minorEastAsia" w:cstheme="minorEastAsia"/>
          <w:b/>
          <w:bCs/>
          <w:sz w:val="24"/>
        </w:rPr>
      </w:pPr>
      <w:r>
        <w:rPr>
          <w:rFonts w:asciiTheme="minorEastAsia" w:hAnsiTheme="minorEastAsia" w:eastAsiaTheme="minorEastAsia" w:cstheme="minorEastAsia"/>
          <w:b/>
          <w:bCs/>
          <w:sz w:val="24"/>
        </w:rPr>
        <w:t>完成从现场踏勘、复尺确认、导视系统设计、材料设备采购、玻璃加工、导视制作、包装运输、装卸搬运、现场保护、安装施工、接线调试、运行测试、整改完善、资料提交到验收移交及质保服务的全流程工作，报价组成如下表所示：</w:t>
      </w:r>
    </w:p>
    <w:tbl>
      <w:tblPr>
        <w:tblStyle w:val="29"/>
        <w:tblW w:w="51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3607"/>
        <w:gridCol w:w="1015"/>
        <w:gridCol w:w="925"/>
        <w:gridCol w:w="1306"/>
        <w:gridCol w:w="1332"/>
      </w:tblGrid>
      <w:tr w14:paraId="66B7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6DC26AE">
            <w:pPr>
              <w:widowControl/>
              <w:spacing w:before="100" w:beforeAutospacing="1" w:after="100" w:afterAutospacing="1"/>
              <w:jc w:val="center"/>
              <w:rPr>
                <w:rFonts w:ascii="Times New Roman" w:hAnsi="Times New Roman" w:cs="宋体"/>
                <w:b/>
                <w:bCs/>
                <w:kern w:val="0"/>
                <w:sz w:val="24"/>
              </w:rPr>
            </w:pPr>
            <w:r>
              <w:rPr>
                <w:rFonts w:hint="eastAsia" w:ascii="Times New Roman" w:hAnsi="Times New Roman" w:cs="宋体"/>
                <w:b/>
                <w:bCs/>
                <w:kern w:val="0"/>
                <w:sz w:val="24"/>
              </w:rPr>
              <w:t>序号</w:t>
            </w:r>
          </w:p>
        </w:tc>
        <w:tc>
          <w:tcPr>
            <w:tcW w:w="3526"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06C4B74F">
            <w:pPr>
              <w:widowControl/>
              <w:spacing w:before="100" w:beforeAutospacing="1" w:after="100" w:afterAutospacing="1"/>
              <w:jc w:val="center"/>
              <w:rPr>
                <w:rFonts w:ascii="Times New Roman" w:hAnsi="Times New Roman" w:cs="宋体"/>
                <w:b/>
                <w:bCs/>
                <w:kern w:val="0"/>
                <w:sz w:val="24"/>
              </w:rPr>
            </w:pPr>
            <w:r>
              <w:rPr>
                <w:rFonts w:hint="eastAsia" w:ascii="Times New Roman" w:hAnsi="Times New Roman" w:cs="宋体"/>
                <w:b/>
                <w:bCs/>
                <w:kern w:val="0"/>
                <w:sz w:val="24"/>
              </w:rPr>
              <w:t>建设内容</w:t>
            </w:r>
          </w:p>
        </w:tc>
        <w:tc>
          <w:tcPr>
            <w:tcW w:w="992"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3B8F9DC">
            <w:pPr>
              <w:widowControl/>
              <w:spacing w:before="100" w:beforeAutospacing="1" w:after="100" w:afterAutospacing="1"/>
              <w:jc w:val="center"/>
              <w:rPr>
                <w:rFonts w:ascii="Times New Roman" w:hAnsi="Times New Roman" w:cs="宋体"/>
                <w:b/>
                <w:bCs/>
                <w:kern w:val="0"/>
                <w:sz w:val="24"/>
              </w:rPr>
            </w:pPr>
            <w:r>
              <w:rPr>
                <w:rFonts w:hint="eastAsia" w:ascii="Times New Roman" w:hAnsi="Times New Roman" w:cs="宋体"/>
                <w:b/>
                <w:bCs/>
                <w:kern w:val="0"/>
                <w:sz w:val="24"/>
              </w:rPr>
              <w:t>单位</w:t>
            </w:r>
          </w:p>
        </w:tc>
        <w:tc>
          <w:tcPr>
            <w:tcW w:w="869"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A56548D">
            <w:pPr>
              <w:widowControl/>
              <w:spacing w:before="100" w:beforeAutospacing="1" w:after="100" w:afterAutospacing="1"/>
              <w:jc w:val="center"/>
              <w:rPr>
                <w:rFonts w:ascii="Times New Roman" w:hAnsi="Times New Roman" w:cs="宋体"/>
                <w:b/>
                <w:bCs/>
                <w:kern w:val="0"/>
                <w:sz w:val="24"/>
              </w:rPr>
            </w:pPr>
            <w:r>
              <w:rPr>
                <w:rFonts w:hint="eastAsia" w:ascii="Times New Roman" w:hAnsi="Times New Roman" w:cs="宋体"/>
                <w:b/>
                <w:bCs/>
                <w:kern w:val="0"/>
                <w:sz w:val="24"/>
              </w:rPr>
              <w:t>数量</w:t>
            </w:r>
          </w:p>
        </w:tc>
        <w:tc>
          <w:tcPr>
            <w:tcW w:w="1277"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CF660B7">
            <w:pPr>
              <w:widowControl/>
              <w:spacing w:before="100" w:beforeAutospacing="1" w:after="100" w:afterAutospacing="1"/>
              <w:jc w:val="center"/>
              <w:rPr>
                <w:rFonts w:ascii="Times New Roman" w:hAnsi="Times New Roman" w:cs="宋体"/>
                <w:b/>
                <w:bCs/>
                <w:kern w:val="0"/>
                <w:sz w:val="24"/>
              </w:rPr>
            </w:pPr>
            <w:r>
              <w:rPr>
                <w:rFonts w:hint="eastAsia" w:ascii="Times New Roman" w:hAnsi="Times New Roman" w:cs="宋体"/>
                <w:b/>
                <w:bCs/>
                <w:kern w:val="0"/>
                <w:sz w:val="24"/>
              </w:rPr>
              <w:t>单价（元）</w:t>
            </w:r>
          </w:p>
        </w:tc>
        <w:tc>
          <w:tcPr>
            <w:tcW w:w="1301"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2E92EDD">
            <w:pPr>
              <w:widowControl/>
              <w:spacing w:before="100" w:beforeAutospacing="1" w:after="100" w:afterAutospacing="1"/>
              <w:jc w:val="center"/>
              <w:rPr>
                <w:rFonts w:ascii="Times New Roman" w:hAnsi="Times New Roman" w:cs="宋体"/>
                <w:b/>
                <w:bCs/>
                <w:kern w:val="0"/>
                <w:sz w:val="24"/>
              </w:rPr>
            </w:pPr>
            <w:r>
              <w:rPr>
                <w:rFonts w:hint="eastAsia" w:ascii="Times New Roman" w:hAnsi="Times New Roman" w:cs="宋体"/>
                <w:b/>
                <w:bCs/>
                <w:kern w:val="0"/>
                <w:sz w:val="24"/>
              </w:rPr>
              <w:t>总价（元）</w:t>
            </w:r>
          </w:p>
        </w:tc>
      </w:tr>
      <w:tr w14:paraId="4910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Borders>
              <w:top w:val="single" w:color="auto" w:sz="4" w:space="0"/>
              <w:left w:val="single" w:color="auto" w:sz="4" w:space="0"/>
              <w:bottom w:val="single" w:color="auto" w:sz="4" w:space="0"/>
              <w:right w:val="single" w:color="auto" w:sz="4" w:space="0"/>
            </w:tcBorders>
            <w:vAlign w:val="center"/>
          </w:tcPr>
          <w:p w14:paraId="2CB754CB">
            <w:pPr>
              <w:widowControl/>
              <w:spacing w:before="100" w:beforeAutospacing="1" w:after="100" w:afterAutospacing="1" w:line="360" w:lineRule="auto"/>
              <w:jc w:val="center"/>
              <w:rPr>
                <w:rFonts w:ascii="Times New Roman" w:hAnsi="Times New Roman" w:cs="宋体"/>
                <w:kern w:val="0"/>
                <w:sz w:val="24"/>
              </w:rPr>
            </w:pPr>
            <w:r>
              <w:rPr>
                <w:rFonts w:ascii="Times New Roman" w:hAnsi="Times New Roman" w:cs="宋体"/>
                <w:kern w:val="0"/>
                <w:sz w:val="24"/>
              </w:rPr>
              <w:t>1</w:t>
            </w:r>
          </w:p>
        </w:tc>
        <w:tc>
          <w:tcPr>
            <w:tcW w:w="3526" w:type="dxa"/>
            <w:tcBorders>
              <w:top w:val="single" w:color="auto" w:sz="4" w:space="0"/>
              <w:left w:val="single" w:color="auto" w:sz="4" w:space="0"/>
              <w:right w:val="single" w:color="auto" w:sz="4" w:space="0"/>
            </w:tcBorders>
            <w:vAlign w:val="center"/>
          </w:tcPr>
          <w:p w14:paraId="05F77DB6">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玻璃隔断</w:t>
            </w:r>
          </w:p>
        </w:tc>
        <w:tc>
          <w:tcPr>
            <w:tcW w:w="992" w:type="dxa"/>
            <w:tcBorders>
              <w:top w:val="single" w:color="auto" w:sz="4" w:space="0"/>
              <w:left w:val="single" w:color="auto" w:sz="4" w:space="0"/>
              <w:bottom w:val="single" w:color="auto" w:sz="4" w:space="0"/>
              <w:right w:val="single" w:color="auto" w:sz="4" w:space="0"/>
            </w:tcBorders>
            <w:vAlign w:val="center"/>
          </w:tcPr>
          <w:p w14:paraId="029E7242">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m²</w:t>
            </w:r>
          </w:p>
        </w:tc>
        <w:tc>
          <w:tcPr>
            <w:tcW w:w="869" w:type="dxa"/>
            <w:tcBorders>
              <w:top w:val="single" w:color="auto" w:sz="4" w:space="0"/>
              <w:left w:val="single" w:color="auto" w:sz="4" w:space="0"/>
              <w:bottom w:val="single" w:color="auto" w:sz="4" w:space="0"/>
              <w:right w:val="single" w:color="auto" w:sz="4" w:space="0"/>
            </w:tcBorders>
            <w:vAlign w:val="center"/>
          </w:tcPr>
          <w:p w14:paraId="1391F7DD">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74.32</w:t>
            </w:r>
          </w:p>
        </w:tc>
        <w:tc>
          <w:tcPr>
            <w:tcW w:w="1277" w:type="dxa"/>
            <w:tcBorders>
              <w:top w:val="single" w:color="auto" w:sz="4" w:space="0"/>
              <w:left w:val="single" w:color="auto" w:sz="4" w:space="0"/>
              <w:bottom w:val="single" w:color="auto" w:sz="4" w:space="0"/>
              <w:right w:val="single" w:color="auto" w:sz="4" w:space="0"/>
            </w:tcBorders>
          </w:tcPr>
          <w:p w14:paraId="61DEA15E">
            <w:pPr>
              <w:widowControl/>
              <w:spacing w:before="100" w:beforeAutospacing="1" w:after="100" w:afterAutospacing="1" w:line="360" w:lineRule="auto"/>
              <w:jc w:val="center"/>
              <w:rPr>
                <w:rFonts w:ascii="Times New Roman" w:hAnsi="Times New Roman" w:cs="宋体"/>
                <w:kern w:val="0"/>
                <w:sz w:val="24"/>
              </w:rPr>
            </w:pPr>
          </w:p>
        </w:tc>
        <w:tc>
          <w:tcPr>
            <w:tcW w:w="1301" w:type="dxa"/>
            <w:tcBorders>
              <w:top w:val="single" w:color="auto" w:sz="4" w:space="0"/>
              <w:left w:val="single" w:color="auto" w:sz="4" w:space="0"/>
              <w:bottom w:val="single" w:color="auto" w:sz="4" w:space="0"/>
              <w:right w:val="single" w:color="auto" w:sz="4" w:space="0"/>
            </w:tcBorders>
          </w:tcPr>
          <w:p w14:paraId="34E179F3">
            <w:pPr>
              <w:widowControl/>
              <w:spacing w:before="100" w:beforeAutospacing="1" w:after="100" w:afterAutospacing="1" w:line="360" w:lineRule="auto"/>
              <w:jc w:val="center"/>
              <w:rPr>
                <w:rFonts w:ascii="Times New Roman" w:hAnsi="Times New Roman" w:cs="宋体"/>
                <w:kern w:val="0"/>
                <w:sz w:val="24"/>
              </w:rPr>
            </w:pPr>
          </w:p>
        </w:tc>
      </w:tr>
      <w:tr w14:paraId="7CC1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Borders>
              <w:top w:val="single" w:color="auto" w:sz="4" w:space="0"/>
              <w:left w:val="single" w:color="auto" w:sz="4" w:space="0"/>
              <w:bottom w:val="single" w:color="auto" w:sz="4" w:space="0"/>
              <w:right w:val="single" w:color="auto" w:sz="4" w:space="0"/>
            </w:tcBorders>
            <w:vAlign w:val="center"/>
          </w:tcPr>
          <w:p w14:paraId="68347F47">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s="宋体"/>
                <w:kern w:val="0"/>
                <w:sz w:val="24"/>
              </w:rPr>
              <w:t>2</w:t>
            </w:r>
          </w:p>
        </w:tc>
        <w:tc>
          <w:tcPr>
            <w:tcW w:w="3526" w:type="dxa"/>
            <w:tcBorders>
              <w:left w:val="single" w:color="auto" w:sz="4" w:space="0"/>
              <w:right w:val="single" w:color="auto" w:sz="4" w:space="0"/>
            </w:tcBorders>
            <w:vAlign w:val="center"/>
          </w:tcPr>
          <w:p w14:paraId="4103C114">
            <w:pPr>
              <w:widowControl/>
              <w:spacing w:before="100" w:beforeAutospacing="1" w:after="100" w:afterAutospacing="1" w:line="360" w:lineRule="auto"/>
              <w:jc w:val="center"/>
              <w:rPr>
                <w:rFonts w:ascii="Calibri" w:hAnsi="Calibri"/>
                <w:color w:val="000000"/>
                <w:sz w:val="24"/>
              </w:rPr>
            </w:pPr>
            <w:r>
              <w:rPr>
                <w:rFonts w:ascii="Calibri" w:hAnsi="Calibri"/>
                <w:color w:val="000000"/>
                <w:sz w:val="24"/>
              </w:rPr>
              <w:t>园区及展厅导视系统设计制作</w:t>
            </w:r>
          </w:p>
        </w:tc>
        <w:tc>
          <w:tcPr>
            <w:tcW w:w="992" w:type="dxa"/>
            <w:tcBorders>
              <w:top w:val="single" w:color="auto" w:sz="4" w:space="0"/>
              <w:left w:val="single" w:color="auto" w:sz="4" w:space="0"/>
              <w:bottom w:val="single" w:color="auto" w:sz="4" w:space="0"/>
              <w:right w:val="single" w:color="auto" w:sz="4" w:space="0"/>
            </w:tcBorders>
            <w:vAlign w:val="center"/>
          </w:tcPr>
          <w:p w14:paraId="4812E086">
            <w:pPr>
              <w:widowControl/>
              <w:spacing w:before="100" w:beforeAutospacing="1" w:after="100" w:afterAutospacing="1" w:line="360" w:lineRule="auto"/>
              <w:jc w:val="center"/>
              <w:rPr>
                <w:rFonts w:ascii="Calibri" w:hAnsi="Calibri"/>
                <w:color w:val="000000"/>
                <w:sz w:val="24"/>
              </w:rPr>
            </w:pPr>
            <w:r>
              <w:rPr>
                <w:rFonts w:hint="eastAsia" w:ascii="Calibri" w:hAnsi="Calibri"/>
                <w:color w:val="000000"/>
                <w:sz w:val="24"/>
              </w:rPr>
              <w:t>项</w:t>
            </w:r>
          </w:p>
        </w:tc>
        <w:tc>
          <w:tcPr>
            <w:tcW w:w="869" w:type="dxa"/>
            <w:tcBorders>
              <w:top w:val="single" w:color="auto" w:sz="4" w:space="0"/>
              <w:left w:val="single" w:color="auto" w:sz="4" w:space="0"/>
              <w:bottom w:val="single" w:color="auto" w:sz="4" w:space="0"/>
              <w:right w:val="single" w:color="auto" w:sz="4" w:space="0"/>
            </w:tcBorders>
            <w:vAlign w:val="center"/>
          </w:tcPr>
          <w:p w14:paraId="173C60BB">
            <w:pPr>
              <w:widowControl/>
              <w:spacing w:before="100" w:beforeAutospacing="1" w:after="100" w:afterAutospacing="1" w:line="360" w:lineRule="auto"/>
              <w:jc w:val="center"/>
              <w:rPr>
                <w:rFonts w:ascii="Calibri" w:hAnsi="Calibri"/>
                <w:color w:val="000000"/>
                <w:sz w:val="24"/>
              </w:rPr>
            </w:pPr>
            <w:r>
              <w:rPr>
                <w:rFonts w:hint="eastAsia" w:ascii="Calibri" w:hAnsi="Calibri"/>
                <w:color w:val="000000"/>
                <w:sz w:val="24"/>
              </w:rPr>
              <w:t>1</w:t>
            </w:r>
          </w:p>
        </w:tc>
        <w:tc>
          <w:tcPr>
            <w:tcW w:w="1277" w:type="dxa"/>
            <w:tcBorders>
              <w:top w:val="single" w:color="auto" w:sz="4" w:space="0"/>
              <w:left w:val="single" w:color="auto" w:sz="4" w:space="0"/>
              <w:bottom w:val="single" w:color="auto" w:sz="4" w:space="0"/>
              <w:right w:val="single" w:color="auto" w:sz="4" w:space="0"/>
            </w:tcBorders>
          </w:tcPr>
          <w:p w14:paraId="02579691">
            <w:pPr>
              <w:widowControl/>
              <w:spacing w:before="100" w:beforeAutospacing="1" w:after="100" w:afterAutospacing="1" w:line="360" w:lineRule="auto"/>
              <w:jc w:val="center"/>
              <w:rPr>
                <w:rFonts w:ascii="Calibri" w:hAnsi="Calibri" w:cs="宋体"/>
                <w:kern w:val="0"/>
                <w:sz w:val="24"/>
              </w:rPr>
            </w:pPr>
          </w:p>
        </w:tc>
        <w:tc>
          <w:tcPr>
            <w:tcW w:w="1301" w:type="dxa"/>
            <w:tcBorders>
              <w:top w:val="single" w:color="auto" w:sz="4" w:space="0"/>
              <w:left w:val="single" w:color="auto" w:sz="4" w:space="0"/>
              <w:bottom w:val="single" w:color="auto" w:sz="4" w:space="0"/>
              <w:right w:val="single" w:color="auto" w:sz="4" w:space="0"/>
            </w:tcBorders>
          </w:tcPr>
          <w:p w14:paraId="7537E7BA">
            <w:pPr>
              <w:widowControl/>
              <w:spacing w:before="100" w:beforeAutospacing="1" w:after="100" w:afterAutospacing="1" w:line="360" w:lineRule="auto"/>
              <w:jc w:val="center"/>
              <w:rPr>
                <w:rFonts w:ascii="Calibri" w:hAnsi="Calibri" w:cs="宋体"/>
                <w:kern w:val="0"/>
                <w:sz w:val="24"/>
              </w:rPr>
            </w:pPr>
          </w:p>
        </w:tc>
      </w:tr>
      <w:tr w14:paraId="560E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80" w:type="dxa"/>
            <w:tcBorders>
              <w:top w:val="single" w:color="auto" w:sz="4" w:space="0"/>
              <w:left w:val="single" w:color="auto" w:sz="4" w:space="0"/>
              <w:bottom w:val="single" w:color="auto" w:sz="4" w:space="0"/>
              <w:right w:val="single" w:color="auto" w:sz="4" w:space="0"/>
            </w:tcBorders>
            <w:vAlign w:val="center"/>
          </w:tcPr>
          <w:p w14:paraId="0FA2779B">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s="宋体"/>
                <w:kern w:val="0"/>
                <w:sz w:val="24"/>
              </w:rPr>
              <w:t>3</w:t>
            </w:r>
          </w:p>
        </w:tc>
        <w:tc>
          <w:tcPr>
            <w:tcW w:w="3526" w:type="dxa"/>
            <w:tcBorders>
              <w:left w:val="single" w:color="auto" w:sz="4" w:space="0"/>
              <w:right w:val="single" w:color="auto" w:sz="4" w:space="0"/>
            </w:tcBorders>
            <w:vAlign w:val="center"/>
          </w:tcPr>
          <w:p w14:paraId="50099F16">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IP网络消防采集器</w:t>
            </w:r>
          </w:p>
        </w:tc>
        <w:tc>
          <w:tcPr>
            <w:tcW w:w="992" w:type="dxa"/>
            <w:tcBorders>
              <w:top w:val="single" w:color="auto" w:sz="4" w:space="0"/>
              <w:left w:val="single" w:color="auto" w:sz="4" w:space="0"/>
              <w:bottom w:val="single" w:color="auto" w:sz="4" w:space="0"/>
              <w:right w:val="single" w:color="auto" w:sz="4" w:space="0"/>
            </w:tcBorders>
            <w:vAlign w:val="center"/>
          </w:tcPr>
          <w:p w14:paraId="1C28DE0B">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套</w:t>
            </w:r>
          </w:p>
        </w:tc>
        <w:tc>
          <w:tcPr>
            <w:tcW w:w="869" w:type="dxa"/>
            <w:tcBorders>
              <w:top w:val="single" w:color="auto" w:sz="4" w:space="0"/>
              <w:left w:val="single" w:color="auto" w:sz="4" w:space="0"/>
              <w:bottom w:val="single" w:color="auto" w:sz="4" w:space="0"/>
              <w:right w:val="single" w:color="auto" w:sz="4" w:space="0"/>
            </w:tcBorders>
            <w:vAlign w:val="center"/>
          </w:tcPr>
          <w:p w14:paraId="66DB17AC">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1</w:t>
            </w:r>
          </w:p>
        </w:tc>
        <w:tc>
          <w:tcPr>
            <w:tcW w:w="1277" w:type="dxa"/>
            <w:tcBorders>
              <w:top w:val="single" w:color="auto" w:sz="4" w:space="0"/>
              <w:left w:val="single" w:color="auto" w:sz="4" w:space="0"/>
              <w:bottom w:val="single" w:color="auto" w:sz="4" w:space="0"/>
              <w:right w:val="single" w:color="auto" w:sz="4" w:space="0"/>
            </w:tcBorders>
          </w:tcPr>
          <w:p w14:paraId="7E280CDA">
            <w:pPr>
              <w:widowControl/>
              <w:spacing w:before="100" w:beforeAutospacing="1" w:after="100" w:afterAutospacing="1" w:line="360" w:lineRule="auto"/>
              <w:jc w:val="center"/>
              <w:rPr>
                <w:rFonts w:ascii="Times New Roman" w:hAnsi="Times New Roman" w:cs="宋体"/>
                <w:kern w:val="0"/>
                <w:sz w:val="24"/>
              </w:rPr>
            </w:pPr>
          </w:p>
        </w:tc>
        <w:tc>
          <w:tcPr>
            <w:tcW w:w="1301" w:type="dxa"/>
            <w:tcBorders>
              <w:top w:val="single" w:color="auto" w:sz="4" w:space="0"/>
              <w:left w:val="single" w:color="auto" w:sz="4" w:space="0"/>
              <w:bottom w:val="single" w:color="auto" w:sz="4" w:space="0"/>
              <w:right w:val="single" w:color="auto" w:sz="4" w:space="0"/>
            </w:tcBorders>
          </w:tcPr>
          <w:p w14:paraId="6182128F">
            <w:pPr>
              <w:widowControl/>
              <w:spacing w:before="100" w:beforeAutospacing="1" w:after="100" w:afterAutospacing="1" w:line="360" w:lineRule="auto"/>
              <w:jc w:val="center"/>
              <w:rPr>
                <w:rFonts w:ascii="Times New Roman" w:hAnsi="Times New Roman" w:cs="宋体"/>
                <w:kern w:val="0"/>
                <w:sz w:val="24"/>
              </w:rPr>
            </w:pPr>
          </w:p>
        </w:tc>
      </w:tr>
      <w:tr w14:paraId="71D08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Borders>
              <w:top w:val="single" w:color="auto" w:sz="4" w:space="0"/>
              <w:left w:val="single" w:color="auto" w:sz="4" w:space="0"/>
              <w:bottom w:val="single" w:color="auto" w:sz="4" w:space="0"/>
              <w:right w:val="single" w:color="auto" w:sz="4" w:space="0"/>
            </w:tcBorders>
            <w:vAlign w:val="center"/>
          </w:tcPr>
          <w:p w14:paraId="16784BAC">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s="宋体"/>
                <w:kern w:val="0"/>
                <w:sz w:val="24"/>
              </w:rPr>
              <w:t>4</w:t>
            </w:r>
          </w:p>
        </w:tc>
        <w:tc>
          <w:tcPr>
            <w:tcW w:w="3526" w:type="dxa"/>
            <w:tcBorders>
              <w:left w:val="single" w:color="auto" w:sz="4" w:space="0"/>
              <w:right w:val="single" w:color="auto" w:sz="4" w:space="0"/>
            </w:tcBorders>
            <w:vAlign w:val="center"/>
          </w:tcPr>
          <w:p w14:paraId="17D3BCF4">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无线移动手持机</w:t>
            </w:r>
          </w:p>
        </w:tc>
        <w:tc>
          <w:tcPr>
            <w:tcW w:w="992" w:type="dxa"/>
            <w:tcBorders>
              <w:top w:val="single" w:color="auto" w:sz="4" w:space="0"/>
              <w:left w:val="single" w:color="auto" w:sz="4" w:space="0"/>
              <w:bottom w:val="single" w:color="auto" w:sz="4" w:space="0"/>
              <w:right w:val="single" w:color="auto" w:sz="4" w:space="0"/>
            </w:tcBorders>
            <w:vAlign w:val="center"/>
          </w:tcPr>
          <w:p w14:paraId="3104A77F">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套</w:t>
            </w:r>
          </w:p>
        </w:tc>
        <w:tc>
          <w:tcPr>
            <w:tcW w:w="869" w:type="dxa"/>
            <w:tcBorders>
              <w:top w:val="single" w:color="auto" w:sz="4" w:space="0"/>
              <w:left w:val="single" w:color="auto" w:sz="4" w:space="0"/>
              <w:bottom w:val="single" w:color="auto" w:sz="4" w:space="0"/>
              <w:right w:val="single" w:color="auto" w:sz="4" w:space="0"/>
            </w:tcBorders>
            <w:vAlign w:val="center"/>
          </w:tcPr>
          <w:p w14:paraId="1A9A7839">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1</w:t>
            </w:r>
          </w:p>
        </w:tc>
        <w:tc>
          <w:tcPr>
            <w:tcW w:w="1277" w:type="dxa"/>
            <w:tcBorders>
              <w:top w:val="single" w:color="auto" w:sz="4" w:space="0"/>
              <w:left w:val="single" w:color="auto" w:sz="4" w:space="0"/>
              <w:bottom w:val="single" w:color="auto" w:sz="4" w:space="0"/>
              <w:right w:val="single" w:color="auto" w:sz="4" w:space="0"/>
            </w:tcBorders>
          </w:tcPr>
          <w:p w14:paraId="3302E851">
            <w:pPr>
              <w:widowControl/>
              <w:spacing w:before="100" w:beforeAutospacing="1" w:after="100" w:afterAutospacing="1" w:line="360" w:lineRule="auto"/>
              <w:jc w:val="center"/>
              <w:rPr>
                <w:rFonts w:ascii="Times New Roman" w:hAnsi="Times New Roman" w:cs="宋体"/>
                <w:kern w:val="0"/>
                <w:sz w:val="24"/>
              </w:rPr>
            </w:pPr>
          </w:p>
        </w:tc>
        <w:tc>
          <w:tcPr>
            <w:tcW w:w="1301" w:type="dxa"/>
            <w:tcBorders>
              <w:top w:val="single" w:color="auto" w:sz="4" w:space="0"/>
              <w:left w:val="single" w:color="auto" w:sz="4" w:space="0"/>
              <w:bottom w:val="single" w:color="auto" w:sz="4" w:space="0"/>
              <w:right w:val="single" w:color="auto" w:sz="4" w:space="0"/>
            </w:tcBorders>
          </w:tcPr>
          <w:p w14:paraId="11973B74">
            <w:pPr>
              <w:widowControl/>
              <w:spacing w:before="100" w:beforeAutospacing="1" w:after="100" w:afterAutospacing="1" w:line="360" w:lineRule="auto"/>
              <w:jc w:val="center"/>
              <w:rPr>
                <w:rFonts w:ascii="Times New Roman" w:hAnsi="Times New Roman" w:cs="宋体"/>
                <w:kern w:val="0"/>
                <w:sz w:val="24"/>
              </w:rPr>
            </w:pPr>
          </w:p>
        </w:tc>
      </w:tr>
      <w:tr w14:paraId="50F92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Borders>
              <w:top w:val="single" w:color="auto" w:sz="4" w:space="0"/>
              <w:left w:val="single" w:color="auto" w:sz="4" w:space="0"/>
              <w:bottom w:val="single" w:color="auto" w:sz="4" w:space="0"/>
              <w:right w:val="single" w:color="auto" w:sz="4" w:space="0"/>
            </w:tcBorders>
            <w:vAlign w:val="center"/>
          </w:tcPr>
          <w:p w14:paraId="6770F396">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s="宋体"/>
                <w:kern w:val="0"/>
                <w:sz w:val="24"/>
              </w:rPr>
              <w:t>5</w:t>
            </w:r>
          </w:p>
        </w:tc>
        <w:tc>
          <w:tcPr>
            <w:tcW w:w="3526" w:type="dxa"/>
            <w:tcBorders>
              <w:left w:val="single" w:color="auto" w:sz="4" w:space="0"/>
              <w:right w:val="single" w:color="auto" w:sz="4" w:space="0"/>
            </w:tcBorders>
            <w:vAlign w:val="center"/>
          </w:tcPr>
          <w:p w14:paraId="1FE9C19E">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10KVA UPS电源系统</w:t>
            </w:r>
          </w:p>
        </w:tc>
        <w:tc>
          <w:tcPr>
            <w:tcW w:w="992" w:type="dxa"/>
            <w:tcBorders>
              <w:top w:val="single" w:color="auto" w:sz="4" w:space="0"/>
              <w:left w:val="single" w:color="auto" w:sz="4" w:space="0"/>
              <w:bottom w:val="single" w:color="auto" w:sz="4" w:space="0"/>
              <w:right w:val="single" w:color="auto" w:sz="4" w:space="0"/>
            </w:tcBorders>
            <w:vAlign w:val="center"/>
          </w:tcPr>
          <w:p w14:paraId="65B59C25">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系统</w:t>
            </w:r>
          </w:p>
        </w:tc>
        <w:tc>
          <w:tcPr>
            <w:tcW w:w="869" w:type="dxa"/>
            <w:tcBorders>
              <w:top w:val="single" w:color="auto" w:sz="4" w:space="0"/>
              <w:left w:val="single" w:color="auto" w:sz="4" w:space="0"/>
              <w:bottom w:val="single" w:color="auto" w:sz="4" w:space="0"/>
              <w:right w:val="single" w:color="auto" w:sz="4" w:space="0"/>
            </w:tcBorders>
            <w:vAlign w:val="center"/>
          </w:tcPr>
          <w:p w14:paraId="033417CE">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1</w:t>
            </w:r>
          </w:p>
        </w:tc>
        <w:tc>
          <w:tcPr>
            <w:tcW w:w="1277" w:type="dxa"/>
            <w:tcBorders>
              <w:top w:val="single" w:color="auto" w:sz="4" w:space="0"/>
              <w:left w:val="single" w:color="auto" w:sz="4" w:space="0"/>
              <w:bottom w:val="single" w:color="auto" w:sz="4" w:space="0"/>
              <w:right w:val="single" w:color="auto" w:sz="4" w:space="0"/>
            </w:tcBorders>
          </w:tcPr>
          <w:p w14:paraId="0081DD95">
            <w:pPr>
              <w:widowControl/>
              <w:spacing w:before="100" w:beforeAutospacing="1" w:after="100" w:afterAutospacing="1" w:line="360" w:lineRule="auto"/>
              <w:jc w:val="center"/>
              <w:rPr>
                <w:rFonts w:ascii="Times New Roman" w:hAnsi="Times New Roman" w:cs="宋体"/>
                <w:kern w:val="0"/>
                <w:sz w:val="24"/>
              </w:rPr>
            </w:pPr>
          </w:p>
        </w:tc>
        <w:tc>
          <w:tcPr>
            <w:tcW w:w="1301" w:type="dxa"/>
            <w:tcBorders>
              <w:top w:val="single" w:color="auto" w:sz="4" w:space="0"/>
              <w:left w:val="single" w:color="auto" w:sz="4" w:space="0"/>
              <w:bottom w:val="single" w:color="auto" w:sz="4" w:space="0"/>
              <w:right w:val="single" w:color="auto" w:sz="4" w:space="0"/>
            </w:tcBorders>
          </w:tcPr>
          <w:p w14:paraId="111E42E6">
            <w:pPr>
              <w:widowControl/>
              <w:spacing w:before="100" w:beforeAutospacing="1" w:after="100" w:afterAutospacing="1" w:line="360" w:lineRule="auto"/>
              <w:jc w:val="center"/>
              <w:rPr>
                <w:rFonts w:ascii="Times New Roman" w:hAnsi="Times New Roman" w:cs="宋体"/>
                <w:kern w:val="0"/>
                <w:sz w:val="24"/>
              </w:rPr>
            </w:pPr>
          </w:p>
        </w:tc>
      </w:tr>
      <w:tr w14:paraId="4B31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Borders>
              <w:top w:val="single" w:color="auto" w:sz="4" w:space="0"/>
              <w:left w:val="single" w:color="auto" w:sz="4" w:space="0"/>
              <w:bottom w:val="single" w:color="auto" w:sz="4" w:space="0"/>
              <w:right w:val="single" w:color="auto" w:sz="4" w:space="0"/>
            </w:tcBorders>
            <w:vAlign w:val="center"/>
          </w:tcPr>
          <w:p w14:paraId="01E5D265">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s="宋体"/>
                <w:kern w:val="0"/>
                <w:sz w:val="24"/>
              </w:rPr>
              <w:t>6</w:t>
            </w:r>
          </w:p>
        </w:tc>
        <w:tc>
          <w:tcPr>
            <w:tcW w:w="3526" w:type="dxa"/>
            <w:tcBorders>
              <w:left w:val="single" w:color="auto" w:sz="4" w:space="0"/>
              <w:right w:val="single" w:color="auto" w:sz="4" w:space="0"/>
            </w:tcBorders>
            <w:vAlign w:val="center"/>
          </w:tcPr>
          <w:p w14:paraId="6C648F52">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配管</w:t>
            </w:r>
          </w:p>
        </w:tc>
        <w:tc>
          <w:tcPr>
            <w:tcW w:w="992" w:type="dxa"/>
            <w:tcBorders>
              <w:top w:val="single" w:color="auto" w:sz="4" w:space="0"/>
              <w:left w:val="single" w:color="auto" w:sz="4" w:space="0"/>
              <w:bottom w:val="single" w:color="auto" w:sz="4" w:space="0"/>
              <w:right w:val="single" w:color="auto" w:sz="4" w:space="0"/>
            </w:tcBorders>
            <w:vAlign w:val="center"/>
          </w:tcPr>
          <w:p w14:paraId="68DB2CCE">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m</w:t>
            </w:r>
          </w:p>
        </w:tc>
        <w:tc>
          <w:tcPr>
            <w:tcW w:w="869" w:type="dxa"/>
            <w:tcBorders>
              <w:top w:val="single" w:color="auto" w:sz="4" w:space="0"/>
              <w:left w:val="single" w:color="auto" w:sz="4" w:space="0"/>
              <w:bottom w:val="single" w:color="auto" w:sz="4" w:space="0"/>
              <w:right w:val="single" w:color="auto" w:sz="4" w:space="0"/>
            </w:tcBorders>
            <w:vAlign w:val="center"/>
          </w:tcPr>
          <w:p w14:paraId="3B52C9F5">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100</w:t>
            </w:r>
          </w:p>
        </w:tc>
        <w:tc>
          <w:tcPr>
            <w:tcW w:w="1277" w:type="dxa"/>
            <w:tcBorders>
              <w:top w:val="single" w:color="auto" w:sz="4" w:space="0"/>
              <w:left w:val="single" w:color="auto" w:sz="4" w:space="0"/>
              <w:bottom w:val="single" w:color="auto" w:sz="4" w:space="0"/>
              <w:right w:val="single" w:color="auto" w:sz="4" w:space="0"/>
            </w:tcBorders>
          </w:tcPr>
          <w:p w14:paraId="721A7DCA">
            <w:pPr>
              <w:widowControl/>
              <w:spacing w:before="100" w:beforeAutospacing="1" w:after="100" w:afterAutospacing="1" w:line="360" w:lineRule="auto"/>
              <w:jc w:val="center"/>
              <w:rPr>
                <w:rFonts w:ascii="Times New Roman" w:hAnsi="Times New Roman" w:cs="宋体"/>
                <w:kern w:val="0"/>
                <w:sz w:val="24"/>
              </w:rPr>
            </w:pPr>
          </w:p>
        </w:tc>
        <w:tc>
          <w:tcPr>
            <w:tcW w:w="1301" w:type="dxa"/>
            <w:tcBorders>
              <w:top w:val="single" w:color="auto" w:sz="4" w:space="0"/>
              <w:left w:val="single" w:color="auto" w:sz="4" w:space="0"/>
              <w:bottom w:val="single" w:color="auto" w:sz="4" w:space="0"/>
              <w:right w:val="single" w:color="auto" w:sz="4" w:space="0"/>
            </w:tcBorders>
          </w:tcPr>
          <w:p w14:paraId="7D589AA7">
            <w:pPr>
              <w:widowControl/>
              <w:spacing w:before="100" w:beforeAutospacing="1" w:after="100" w:afterAutospacing="1" w:line="360" w:lineRule="auto"/>
              <w:jc w:val="center"/>
              <w:rPr>
                <w:rFonts w:ascii="Times New Roman" w:hAnsi="Times New Roman" w:cs="宋体"/>
                <w:kern w:val="0"/>
                <w:sz w:val="24"/>
              </w:rPr>
            </w:pPr>
          </w:p>
        </w:tc>
      </w:tr>
      <w:tr w14:paraId="08B1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80" w:type="dxa"/>
            <w:tcBorders>
              <w:top w:val="single" w:color="auto" w:sz="4" w:space="0"/>
              <w:left w:val="single" w:color="auto" w:sz="4" w:space="0"/>
              <w:bottom w:val="single" w:color="auto" w:sz="4" w:space="0"/>
              <w:right w:val="single" w:color="auto" w:sz="4" w:space="0"/>
            </w:tcBorders>
            <w:vAlign w:val="center"/>
          </w:tcPr>
          <w:p w14:paraId="541D37AD">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s="宋体"/>
                <w:kern w:val="0"/>
                <w:sz w:val="24"/>
              </w:rPr>
              <w:t>7</w:t>
            </w:r>
          </w:p>
        </w:tc>
        <w:tc>
          <w:tcPr>
            <w:tcW w:w="3526" w:type="dxa"/>
            <w:tcBorders>
              <w:left w:val="single" w:color="auto" w:sz="4" w:space="0"/>
              <w:right w:val="single" w:color="auto" w:sz="4" w:space="0"/>
            </w:tcBorders>
            <w:vAlign w:val="center"/>
          </w:tcPr>
          <w:p w14:paraId="602C2319">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配线</w:t>
            </w:r>
          </w:p>
        </w:tc>
        <w:tc>
          <w:tcPr>
            <w:tcW w:w="992" w:type="dxa"/>
            <w:tcBorders>
              <w:top w:val="single" w:color="auto" w:sz="4" w:space="0"/>
              <w:left w:val="single" w:color="auto" w:sz="4" w:space="0"/>
              <w:bottom w:val="single" w:color="auto" w:sz="4" w:space="0"/>
              <w:right w:val="single" w:color="auto" w:sz="4" w:space="0"/>
            </w:tcBorders>
            <w:vAlign w:val="center"/>
          </w:tcPr>
          <w:p w14:paraId="184B6068">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m</w:t>
            </w:r>
          </w:p>
        </w:tc>
        <w:tc>
          <w:tcPr>
            <w:tcW w:w="869" w:type="dxa"/>
            <w:tcBorders>
              <w:top w:val="single" w:color="auto" w:sz="4" w:space="0"/>
              <w:left w:val="single" w:color="auto" w:sz="4" w:space="0"/>
              <w:bottom w:val="single" w:color="auto" w:sz="4" w:space="0"/>
              <w:right w:val="single" w:color="auto" w:sz="4" w:space="0"/>
            </w:tcBorders>
            <w:vAlign w:val="center"/>
          </w:tcPr>
          <w:p w14:paraId="1EBE45F5">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300</w:t>
            </w:r>
          </w:p>
        </w:tc>
        <w:tc>
          <w:tcPr>
            <w:tcW w:w="1277" w:type="dxa"/>
            <w:tcBorders>
              <w:top w:val="single" w:color="auto" w:sz="4" w:space="0"/>
              <w:left w:val="single" w:color="auto" w:sz="4" w:space="0"/>
              <w:bottom w:val="single" w:color="auto" w:sz="4" w:space="0"/>
              <w:right w:val="single" w:color="auto" w:sz="4" w:space="0"/>
            </w:tcBorders>
          </w:tcPr>
          <w:p w14:paraId="048E891F">
            <w:pPr>
              <w:widowControl/>
              <w:spacing w:before="100" w:beforeAutospacing="1" w:after="100" w:afterAutospacing="1" w:line="360" w:lineRule="auto"/>
              <w:jc w:val="center"/>
              <w:rPr>
                <w:rFonts w:ascii="Times New Roman" w:hAnsi="Times New Roman" w:cs="宋体"/>
                <w:kern w:val="0"/>
                <w:sz w:val="24"/>
              </w:rPr>
            </w:pPr>
          </w:p>
        </w:tc>
        <w:tc>
          <w:tcPr>
            <w:tcW w:w="1301" w:type="dxa"/>
            <w:tcBorders>
              <w:top w:val="single" w:color="auto" w:sz="4" w:space="0"/>
              <w:left w:val="single" w:color="auto" w:sz="4" w:space="0"/>
              <w:bottom w:val="single" w:color="auto" w:sz="4" w:space="0"/>
              <w:right w:val="single" w:color="auto" w:sz="4" w:space="0"/>
            </w:tcBorders>
          </w:tcPr>
          <w:p w14:paraId="6B2F17D1">
            <w:pPr>
              <w:widowControl/>
              <w:spacing w:before="100" w:beforeAutospacing="1" w:after="100" w:afterAutospacing="1" w:line="360" w:lineRule="auto"/>
              <w:jc w:val="center"/>
              <w:rPr>
                <w:rFonts w:ascii="Times New Roman" w:hAnsi="Times New Roman" w:cs="宋体"/>
                <w:kern w:val="0"/>
                <w:sz w:val="24"/>
              </w:rPr>
            </w:pPr>
          </w:p>
        </w:tc>
      </w:tr>
      <w:tr w14:paraId="61E2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Borders>
              <w:top w:val="single" w:color="auto" w:sz="4" w:space="0"/>
              <w:left w:val="single" w:color="auto" w:sz="4" w:space="0"/>
              <w:bottom w:val="single" w:color="auto" w:sz="4" w:space="0"/>
              <w:right w:val="single" w:color="auto" w:sz="4" w:space="0"/>
            </w:tcBorders>
            <w:vAlign w:val="center"/>
          </w:tcPr>
          <w:p w14:paraId="200FC1FC">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s="宋体"/>
                <w:kern w:val="0"/>
                <w:sz w:val="24"/>
              </w:rPr>
              <w:t>8</w:t>
            </w:r>
          </w:p>
        </w:tc>
        <w:tc>
          <w:tcPr>
            <w:tcW w:w="3526" w:type="dxa"/>
            <w:tcBorders>
              <w:left w:val="single" w:color="auto" w:sz="4" w:space="0"/>
              <w:right w:val="single" w:color="auto" w:sz="4" w:space="0"/>
            </w:tcBorders>
            <w:vAlign w:val="center"/>
          </w:tcPr>
          <w:p w14:paraId="478694BD">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配线</w:t>
            </w:r>
          </w:p>
        </w:tc>
        <w:tc>
          <w:tcPr>
            <w:tcW w:w="992" w:type="dxa"/>
            <w:tcBorders>
              <w:top w:val="single" w:color="auto" w:sz="4" w:space="0"/>
              <w:left w:val="single" w:color="auto" w:sz="4" w:space="0"/>
              <w:bottom w:val="single" w:color="auto" w:sz="4" w:space="0"/>
              <w:right w:val="single" w:color="auto" w:sz="4" w:space="0"/>
            </w:tcBorders>
            <w:vAlign w:val="center"/>
          </w:tcPr>
          <w:p w14:paraId="1104F393">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m</w:t>
            </w:r>
          </w:p>
        </w:tc>
        <w:tc>
          <w:tcPr>
            <w:tcW w:w="869" w:type="dxa"/>
            <w:tcBorders>
              <w:top w:val="single" w:color="auto" w:sz="4" w:space="0"/>
              <w:left w:val="single" w:color="auto" w:sz="4" w:space="0"/>
              <w:bottom w:val="single" w:color="auto" w:sz="4" w:space="0"/>
              <w:right w:val="single" w:color="auto" w:sz="4" w:space="0"/>
            </w:tcBorders>
            <w:vAlign w:val="center"/>
          </w:tcPr>
          <w:p w14:paraId="06010AE0">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150</w:t>
            </w:r>
          </w:p>
        </w:tc>
        <w:tc>
          <w:tcPr>
            <w:tcW w:w="1277" w:type="dxa"/>
            <w:tcBorders>
              <w:top w:val="single" w:color="auto" w:sz="4" w:space="0"/>
              <w:left w:val="single" w:color="auto" w:sz="4" w:space="0"/>
              <w:bottom w:val="single" w:color="auto" w:sz="4" w:space="0"/>
              <w:right w:val="single" w:color="auto" w:sz="4" w:space="0"/>
            </w:tcBorders>
          </w:tcPr>
          <w:p w14:paraId="710AD6E3">
            <w:pPr>
              <w:widowControl/>
              <w:spacing w:before="100" w:beforeAutospacing="1" w:after="100" w:afterAutospacing="1" w:line="360" w:lineRule="auto"/>
              <w:jc w:val="center"/>
              <w:rPr>
                <w:rFonts w:ascii="Times New Roman" w:hAnsi="Times New Roman" w:cs="宋体"/>
                <w:color w:val="000000" w:themeColor="text1"/>
                <w:kern w:val="0"/>
                <w:sz w:val="24"/>
                <w14:textFill>
                  <w14:solidFill>
                    <w14:schemeClr w14:val="tx1"/>
                  </w14:solidFill>
                </w14:textFill>
              </w:rPr>
            </w:pPr>
          </w:p>
        </w:tc>
        <w:tc>
          <w:tcPr>
            <w:tcW w:w="1301" w:type="dxa"/>
            <w:tcBorders>
              <w:top w:val="single" w:color="auto" w:sz="4" w:space="0"/>
              <w:left w:val="single" w:color="auto" w:sz="4" w:space="0"/>
              <w:bottom w:val="single" w:color="auto" w:sz="4" w:space="0"/>
              <w:right w:val="single" w:color="auto" w:sz="4" w:space="0"/>
            </w:tcBorders>
          </w:tcPr>
          <w:p w14:paraId="47E2C66A">
            <w:pPr>
              <w:widowControl/>
              <w:spacing w:before="100" w:beforeAutospacing="1" w:after="100" w:afterAutospacing="1" w:line="360" w:lineRule="auto"/>
              <w:jc w:val="center"/>
              <w:rPr>
                <w:rFonts w:ascii="Times New Roman" w:hAnsi="Times New Roman" w:cs="宋体"/>
                <w:color w:val="000000" w:themeColor="text1"/>
                <w:kern w:val="0"/>
                <w:sz w:val="24"/>
                <w14:textFill>
                  <w14:solidFill>
                    <w14:schemeClr w14:val="tx1"/>
                  </w14:solidFill>
                </w14:textFill>
              </w:rPr>
            </w:pPr>
          </w:p>
        </w:tc>
      </w:tr>
      <w:tr w14:paraId="0292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Borders>
              <w:top w:val="single" w:color="auto" w:sz="4" w:space="0"/>
              <w:left w:val="single" w:color="auto" w:sz="4" w:space="0"/>
              <w:bottom w:val="single" w:color="auto" w:sz="4" w:space="0"/>
              <w:right w:val="single" w:color="auto" w:sz="4" w:space="0"/>
            </w:tcBorders>
            <w:vAlign w:val="center"/>
          </w:tcPr>
          <w:p w14:paraId="4EF0328A">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s="宋体"/>
                <w:kern w:val="0"/>
                <w:sz w:val="24"/>
              </w:rPr>
              <w:t>9</w:t>
            </w:r>
          </w:p>
        </w:tc>
        <w:tc>
          <w:tcPr>
            <w:tcW w:w="3526" w:type="dxa"/>
            <w:tcBorders>
              <w:left w:val="single" w:color="auto" w:sz="4" w:space="0"/>
              <w:right w:val="single" w:color="auto" w:sz="4" w:space="0"/>
            </w:tcBorders>
            <w:vAlign w:val="center"/>
          </w:tcPr>
          <w:p w14:paraId="0E5E69F6">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配线</w:t>
            </w:r>
          </w:p>
        </w:tc>
        <w:tc>
          <w:tcPr>
            <w:tcW w:w="992" w:type="dxa"/>
            <w:tcBorders>
              <w:top w:val="single" w:color="auto" w:sz="4" w:space="0"/>
              <w:left w:val="single" w:color="auto" w:sz="4" w:space="0"/>
              <w:bottom w:val="single" w:color="auto" w:sz="4" w:space="0"/>
              <w:right w:val="single" w:color="auto" w:sz="4" w:space="0"/>
            </w:tcBorders>
            <w:vAlign w:val="center"/>
          </w:tcPr>
          <w:p w14:paraId="5713AA27">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m</w:t>
            </w:r>
          </w:p>
        </w:tc>
        <w:tc>
          <w:tcPr>
            <w:tcW w:w="869" w:type="dxa"/>
            <w:tcBorders>
              <w:top w:val="single" w:color="auto" w:sz="4" w:space="0"/>
              <w:left w:val="single" w:color="auto" w:sz="4" w:space="0"/>
              <w:bottom w:val="single" w:color="auto" w:sz="4" w:space="0"/>
              <w:right w:val="single" w:color="auto" w:sz="4" w:space="0"/>
            </w:tcBorders>
            <w:vAlign w:val="center"/>
          </w:tcPr>
          <w:p w14:paraId="28738551">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300</w:t>
            </w:r>
          </w:p>
        </w:tc>
        <w:tc>
          <w:tcPr>
            <w:tcW w:w="1277" w:type="dxa"/>
            <w:tcBorders>
              <w:top w:val="single" w:color="auto" w:sz="4" w:space="0"/>
              <w:left w:val="single" w:color="auto" w:sz="4" w:space="0"/>
              <w:bottom w:val="single" w:color="auto" w:sz="4" w:space="0"/>
              <w:right w:val="single" w:color="auto" w:sz="4" w:space="0"/>
            </w:tcBorders>
          </w:tcPr>
          <w:p w14:paraId="72CE4485">
            <w:pPr>
              <w:widowControl/>
              <w:spacing w:before="100" w:beforeAutospacing="1" w:after="100" w:afterAutospacing="1" w:line="360" w:lineRule="auto"/>
              <w:jc w:val="center"/>
              <w:rPr>
                <w:rFonts w:ascii="Times New Roman" w:hAnsi="Times New Roman" w:cs="宋体"/>
                <w:color w:val="000000" w:themeColor="text1"/>
                <w:kern w:val="0"/>
                <w:sz w:val="24"/>
                <w14:textFill>
                  <w14:solidFill>
                    <w14:schemeClr w14:val="tx1"/>
                  </w14:solidFill>
                </w14:textFill>
              </w:rPr>
            </w:pPr>
          </w:p>
        </w:tc>
        <w:tc>
          <w:tcPr>
            <w:tcW w:w="1301" w:type="dxa"/>
            <w:tcBorders>
              <w:top w:val="single" w:color="auto" w:sz="4" w:space="0"/>
              <w:left w:val="single" w:color="auto" w:sz="4" w:space="0"/>
              <w:bottom w:val="single" w:color="auto" w:sz="4" w:space="0"/>
              <w:right w:val="single" w:color="auto" w:sz="4" w:space="0"/>
            </w:tcBorders>
          </w:tcPr>
          <w:p w14:paraId="6E27A92F">
            <w:pPr>
              <w:widowControl/>
              <w:spacing w:before="100" w:beforeAutospacing="1" w:after="100" w:afterAutospacing="1" w:line="360" w:lineRule="auto"/>
              <w:jc w:val="center"/>
              <w:rPr>
                <w:rFonts w:ascii="Times New Roman" w:hAnsi="Times New Roman" w:cs="宋体"/>
                <w:color w:val="000000" w:themeColor="text1"/>
                <w:kern w:val="0"/>
                <w:sz w:val="24"/>
                <w14:textFill>
                  <w14:solidFill>
                    <w14:schemeClr w14:val="tx1"/>
                  </w14:solidFill>
                </w14:textFill>
              </w:rPr>
            </w:pPr>
          </w:p>
        </w:tc>
      </w:tr>
      <w:tr w14:paraId="118AA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Borders>
              <w:top w:val="single" w:color="auto" w:sz="4" w:space="0"/>
              <w:left w:val="single" w:color="auto" w:sz="4" w:space="0"/>
              <w:bottom w:val="single" w:color="auto" w:sz="4" w:space="0"/>
              <w:right w:val="single" w:color="auto" w:sz="4" w:space="0"/>
            </w:tcBorders>
            <w:vAlign w:val="center"/>
          </w:tcPr>
          <w:p w14:paraId="46A528A5">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s="宋体"/>
                <w:kern w:val="0"/>
                <w:sz w:val="24"/>
              </w:rPr>
              <w:t>10</w:t>
            </w:r>
          </w:p>
        </w:tc>
        <w:tc>
          <w:tcPr>
            <w:tcW w:w="3526" w:type="dxa"/>
            <w:tcBorders>
              <w:left w:val="single" w:color="auto" w:sz="4" w:space="0"/>
              <w:right w:val="single" w:color="auto" w:sz="4" w:space="0"/>
            </w:tcBorders>
            <w:vAlign w:val="center"/>
          </w:tcPr>
          <w:p w14:paraId="4864E104">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配线</w:t>
            </w:r>
          </w:p>
        </w:tc>
        <w:tc>
          <w:tcPr>
            <w:tcW w:w="992" w:type="dxa"/>
            <w:tcBorders>
              <w:top w:val="single" w:color="auto" w:sz="4" w:space="0"/>
              <w:left w:val="single" w:color="auto" w:sz="4" w:space="0"/>
              <w:bottom w:val="single" w:color="auto" w:sz="4" w:space="0"/>
              <w:right w:val="single" w:color="auto" w:sz="4" w:space="0"/>
            </w:tcBorders>
            <w:vAlign w:val="center"/>
          </w:tcPr>
          <w:p w14:paraId="6119214E">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m</w:t>
            </w:r>
          </w:p>
        </w:tc>
        <w:tc>
          <w:tcPr>
            <w:tcW w:w="869" w:type="dxa"/>
            <w:tcBorders>
              <w:top w:val="single" w:color="auto" w:sz="4" w:space="0"/>
              <w:left w:val="single" w:color="auto" w:sz="4" w:space="0"/>
              <w:bottom w:val="single" w:color="auto" w:sz="4" w:space="0"/>
              <w:right w:val="single" w:color="auto" w:sz="4" w:space="0"/>
            </w:tcBorders>
            <w:vAlign w:val="center"/>
          </w:tcPr>
          <w:p w14:paraId="1C1F98C9">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150</w:t>
            </w:r>
          </w:p>
        </w:tc>
        <w:tc>
          <w:tcPr>
            <w:tcW w:w="1277" w:type="dxa"/>
            <w:tcBorders>
              <w:top w:val="single" w:color="auto" w:sz="4" w:space="0"/>
              <w:left w:val="single" w:color="auto" w:sz="4" w:space="0"/>
              <w:bottom w:val="single" w:color="auto" w:sz="4" w:space="0"/>
              <w:right w:val="single" w:color="auto" w:sz="4" w:space="0"/>
            </w:tcBorders>
          </w:tcPr>
          <w:p w14:paraId="03351CA2">
            <w:pPr>
              <w:widowControl/>
              <w:spacing w:before="100" w:beforeAutospacing="1" w:after="100" w:afterAutospacing="1" w:line="360" w:lineRule="auto"/>
              <w:jc w:val="center"/>
              <w:rPr>
                <w:rFonts w:ascii="Times New Roman" w:hAnsi="Times New Roman" w:cs="宋体"/>
                <w:color w:val="000000" w:themeColor="text1"/>
                <w:kern w:val="0"/>
                <w:sz w:val="24"/>
                <w14:textFill>
                  <w14:solidFill>
                    <w14:schemeClr w14:val="tx1"/>
                  </w14:solidFill>
                </w14:textFill>
              </w:rPr>
            </w:pPr>
          </w:p>
        </w:tc>
        <w:tc>
          <w:tcPr>
            <w:tcW w:w="1301" w:type="dxa"/>
            <w:tcBorders>
              <w:top w:val="single" w:color="auto" w:sz="4" w:space="0"/>
              <w:left w:val="single" w:color="auto" w:sz="4" w:space="0"/>
              <w:bottom w:val="single" w:color="auto" w:sz="4" w:space="0"/>
              <w:right w:val="single" w:color="auto" w:sz="4" w:space="0"/>
            </w:tcBorders>
          </w:tcPr>
          <w:p w14:paraId="27981C83">
            <w:pPr>
              <w:widowControl/>
              <w:spacing w:before="100" w:beforeAutospacing="1" w:after="100" w:afterAutospacing="1" w:line="360" w:lineRule="auto"/>
              <w:jc w:val="center"/>
              <w:rPr>
                <w:rFonts w:ascii="Times New Roman" w:hAnsi="Times New Roman" w:cs="宋体"/>
                <w:color w:val="000000" w:themeColor="text1"/>
                <w:kern w:val="0"/>
                <w:sz w:val="24"/>
                <w14:textFill>
                  <w14:solidFill>
                    <w14:schemeClr w14:val="tx1"/>
                  </w14:solidFill>
                </w14:textFill>
              </w:rPr>
            </w:pPr>
          </w:p>
        </w:tc>
      </w:tr>
      <w:tr w14:paraId="1D19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Borders>
              <w:top w:val="single" w:color="auto" w:sz="4" w:space="0"/>
              <w:left w:val="single" w:color="auto" w:sz="4" w:space="0"/>
              <w:bottom w:val="single" w:color="auto" w:sz="4" w:space="0"/>
              <w:right w:val="single" w:color="auto" w:sz="4" w:space="0"/>
            </w:tcBorders>
            <w:vAlign w:val="center"/>
          </w:tcPr>
          <w:p w14:paraId="0F3A9028">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s="宋体"/>
                <w:kern w:val="0"/>
                <w:sz w:val="24"/>
              </w:rPr>
              <w:t>11</w:t>
            </w:r>
          </w:p>
        </w:tc>
        <w:tc>
          <w:tcPr>
            <w:tcW w:w="3526" w:type="dxa"/>
            <w:tcBorders>
              <w:left w:val="single" w:color="auto" w:sz="4" w:space="0"/>
              <w:right w:val="single" w:color="auto" w:sz="4" w:space="0"/>
            </w:tcBorders>
            <w:vAlign w:val="center"/>
          </w:tcPr>
          <w:p w14:paraId="599A2C5F">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信息插座</w:t>
            </w:r>
          </w:p>
        </w:tc>
        <w:tc>
          <w:tcPr>
            <w:tcW w:w="992" w:type="dxa"/>
            <w:tcBorders>
              <w:top w:val="single" w:color="auto" w:sz="4" w:space="0"/>
              <w:left w:val="single" w:color="auto" w:sz="4" w:space="0"/>
              <w:bottom w:val="single" w:color="auto" w:sz="4" w:space="0"/>
              <w:right w:val="single" w:color="auto" w:sz="4" w:space="0"/>
            </w:tcBorders>
            <w:vAlign w:val="center"/>
          </w:tcPr>
          <w:p w14:paraId="0AA51248">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个</w:t>
            </w:r>
          </w:p>
        </w:tc>
        <w:tc>
          <w:tcPr>
            <w:tcW w:w="869" w:type="dxa"/>
            <w:tcBorders>
              <w:top w:val="single" w:color="auto" w:sz="4" w:space="0"/>
              <w:left w:val="single" w:color="auto" w:sz="4" w:space="0"/>
              <w:bottom w:val="single" w:color="auto" w:sz="4" w:space="0"/>
              <w:right w:val="single" w:color="auto" w:sz="4" w:space="0"/>
            </w:tcBorders>
            <w:vAlign w:val="center"/>
          </w:tcPr>
          <w:p w14:paraId="79BAF87E">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3</w:t>
            </w:r>
          </w:p>
        </w:tc>
        <w:tc>
          <w:tcPr>
            <w:tcW w:w="1277" w:type="dxa"/>
            <w:tcBorders>
              <w:top w:val="single" w:color="auto" w:sz="4" w:space="0"/>
              <w:left w:val="single" w:color="auto" w:sz="4" w:space="0"/>
              <w:bottom w:val="single" w:color="auto" w:sz="4" w:space="0"/>
              <w:right w:val="single" w:color="auto" w:sz="4" w:space="0"/>
            </w:tcBorders>
          </w:tcPr>
          <w:p w14:paraId="14DBFDA6">
            <w:pPr>
              <w:widowControl/>
              <w:spacing w:before="100" w:beforeAutospacing="1" w:after="100" w:afterAutospacing="1" w:line="360" w:lineRule="auto"/>
              <w:jc w:val="center"/>
              <w:rPr>
                <w:rFonts w:ascii="Times New Roman" w:hAnsi="Times New Roman" w:cs="宋体"/>
                <w:color w:val="000000" w:themeColor="text1"/>
                <w:kern w:val="0"/>
                <w:sz w:val="24"/>
                <w14:textFill>
                  <w14:solidFill>
                    <w14:schemeClr w14:val="tx1"/>
                  </w14:solidFill>
                </w14:textFill>
              </w:rPr>
            </w:pPr>
          </w:p>
        </w:tc>
        <w:tc>
          <w:tcPr>
            <w:tcW w:w="1301" w:type="dxa"/>
            <w:tcBorders>
              <w:top w:val="single" w:color="auto" w:sz="4" w:space="0"/>
              <w:left w:val="single" w:color="auto" w:sz="4" w:space="0"/>
              <w:bottom w:val="single" w:color="auto" w:sz="4" w:space="0"/>
              <w:right w:val="single" w:color="auto" w:sz="4" w:space="0"/>
            </w:tcBorders>
          </w:tcPr>
          <w:p w14:paraId="569E9727">
            <w:pPr>
              <w:widowControl/>
              <w:spacing w:before="100" w:beforeAutospacing="1" w:after="100" w:afterAutospacing="1" w:line="360" w:lineRule="auto"/>
              <w:jc w:val="center"/>
              <w:rPr>
                <w:rFonts w:ascii="Times New Roman" w:hAnsi="Times New Roman" w:cs="宋体"/>
                <w:color w:val="000000" w:themeColor="text1"/>
                <w:kern w:val="0"/>
                <w:sz w:val="24"/>
                <w14:textFill>
                  <w14:solidFill>
                    <w14:schemeClr w14:val="tx1"/>
                  </w14:solidFill>
                </w14:textFill>
              </w:rPr>
            </w:pPr>
          </w:p>
        </w:tc>
      </w:tr>
      <w:tr w14:paraId="6301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Borders>
              <w:top w:val="single" w:color="auto" w:sz="4" w:space="0"/>
              <w:left w:val="single" w:color="auto" w:sz="4" w:space="0"/>
              <w:bottom w:val="single" w:color="auto" w:sz="4" w:space="0"/>
              <w:right w:val="single" w:color="auto" w:sz="4" w:space="0"/>
            </w:tcBorders>
            <w:vAlign w:val="center"/>
          </w:tcPr>
          <w:p w14:paraId="7C6DC76A">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s="宋体"/>
                <w:kern w:val="0"/>
                <w:sz w:val="24"/>
              </w:rPr>
              <w:t>12</w:t>
            </w:r>
          </w:p>
        </w:tc>
        <w:tc>
          <w:tcPr>
            <w:tcW w:w="3526" w:type="dxa"/>
            <w:tcBorders>
              <w:left w:val="single" w:color="auto" w:sz="4" w:space="0"/>
              <w:bottom w:val="single" w:color="auto" w:sz="4" w:space="0"/>
              <w:right w:val="single" w:color="auto" w:sz="4" w:space="0"/>
            </w:tcBorders>
            <w:vAlign w:val="center"/>
          </w:tcPr>
          <w:p w14:paraId="7614C7DD">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接线盒</w:t>
            </w:r>
          </w:p>
        </w:tc>
        <w:tc>
          <w:tcPr>
            <w:tcW w:w="992" w:type="dxa"/>
            <w:tcBorders>
              <w:top w:val="single" w:color="auto" w:sz="4" w:space="0"/>
              <w:left w:val="single" w:color="auto" w:sz="4" w:space="0"/>
              <w:bottom w:val="single" w:color="auto" w:sz="4" w:space="0"/>
              <w:right w:val="single" w:color="auto" w:sz="4" w:space="0"/>
            </w:tcBorders>
            <w:vAlign w:val="center"/>
          </w:tcPr>
          <w:p w14:paraId="1644593B">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个</w:t>
            </w:r>
          </w:p>
        </w:tc>
        <w:tc>
          <w:tcPr>
            <w:tcW w:w="869" w:type="dxa"/>
            <w:tcBorders>
              <w:top w:val="single" w:color="auto" w:sz="4" w:space="0"/>
              <w:left w:val="single" w:color="auto" w:sz="4" w:space="0"/>
              <w:bottom w:val="single" w:color="auto" w:sz="4" w:space="0"/>
              <w:right w:val="single" w:color="auto" w:sz="4" w:space="0"/>
            </w:tcBorders>
            <w:vAlign w:val="center"/>
          </w:tcPr>
          <w:p w14:paraId="571FEE4B">
            <w:pPr>
              <w:widowControl/>
              <w:spacing w:before="100" w:beforeAutospacing="1" w:after="100" w:afterAutospacing="1" w:line="360" w:lineRule="auto"/>
              <w:jc w:val="center"/>
              <w:rPr>
                <w:rFonts w:ascii="Times New Roman" w:hAnsi="Times New Roman" w:cs="宋体"/>
                <w:kern w:val="0"/>
                <w:sz w:val="24"/>
              </w:rPr>
            </w:pPr>
            <w:r>
              <w:rPr>
                <w:rFonts w:hint="eastAsia" w:ascii="Times New Roman" w:hAnsi="Times New Roman"/>
                <w:color w:val="000000"/>
                <w:sz w:val="24"/>
              </w:rPr>
              <w:t>3</w:t>
            </w:r>
          </w:p>
        </w:tc>
        <w:tc>
          <w:tcPr>
            <w:tcW w:w="1277" w:type="dxa"/>
            <w:tcBorders>
              <w:top w:val="single" w:color="auto" w:sz="4" w:space="0"/>
              <w:left w:val="single" w:color="auto" w:sz="4" w:space="0"/>
              <w:bottom w:val="single" w:color="auto" w:sz="4" w:space="0"/>
              <w:right w:val="single" w:color="auto" w:sz="4" w:space="0"/>
            </w:tcBorders>
          </w:tcPr>
          <w:p w14:paraId="7F05A67B">
            <w:pPr>
              <w:widowControl/>
              <w:spacing w:before="100" w:beforeAutospacing="1" w:after="100" w:afterAutospacing="1" w:line="360" w:lineRule="auto"/>
              <w:jc w:val="center"/>
              <w:rPr>
                <w:rFonts w:ascii="Times New Roman" w:hAnsi="Times New Roman" w:cs="宋体"/>
                <w:color w:val="000000" w:themeColor="text1"/>
                <w:kern w:val="0"/>
                <w:sz w:val="24"/>
                <w14:textFill>
                  <w14:solidFill>
                    <w14:schemeClr w14:val="tx1"/>
                  </w14:solidFill>
                </w14:textFill>
              </w:rPr>
            </w:pPr>
          </w:p>
        </w:tc>
        <w:tc>
          <w:tcPr>
            <w:tcW w:w="1301" w:type="dxa"/>
            <w:tcBorders>
              <w:top w:val="single" w:color="auto" w:sz="4" w:space="0"/>
              <w:left w:val="single" w:color="auto" w:sz="4" w:space="0"/>
              <w:bottom w:val="single" w:color="auto" w:sz="4" w:space="0"/>
              <w:right w:val="single" w:color="auto" w:sz="4" w:space="0"/>
            </w:tcBorders>
          </w:tcPr>
          <w:p w14:paraId="16D0CAD3">
            <w:pPr>
              <w:widowControl/>
              <w:spacing w:before="100" w:beforeAutospacing="1" w:after="100" w:afterAutospacing="1" w:line="360" w:lineRule="auto"/>
              <w:jc w:val="center"/>
              <w:rPr>
                <w:rFonts w:ascii="Times New Roman" w:hAnsi="Times New Roman" w:cs="宋体"/>
                <w:color w:val="000000" w:themeColor="text1"/>
                <w:kern w:val="0"/>
                <w:sz w:val="24"/>
                <w14:textFill>
                  <w14:solidFill>
                    <w14:schemeClr w14:val="tx1"/>
                  </w14:solidFill>
                </w14:textFill>
              </w:rPr>
            </w:pPr>
          </w:p>
        </w:tc>
      </w:tr>
      <w:tr w14:paraId="71C2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4" w:type="dxa"/>
            <w:gridSpan w:val="5"/>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9635D50">
            <w:pPr>
              <w:widowControl/>
              <w:spacing w:before="100" w:beforeAutospacing="1" w:after="100" w:afterAutospacing="1" w:line="360" w:lineRule="auto"/>
              <w:jc w:val="center"/>
              <w:rPr>
                <w:rFonts w:ascii="Times New Roman" w:hAnsi="Times New Roman" w:cs="宋体"/>
                <w:b/>
                <w:bCs/>
                <w:color w:val="000000" w:themeColor="text1"/>
                <w:kern w:val="0"/>
                <w:sz w:val="24"/>
                <w14:textFill>
                  <w14:solidFill>
                    <w14:schemeClr w14:val="tx1"/>
                  </w14:solidFill>
                </w14:textFill>
              </w:rPr>
            </w:pPr>
            <w:r>
              <w:rPr>
                <w:rFonts w:hint="eastAsia" w:ascii="Times New Roman" w:hAnsi="Times New Roman" w:cs="宋体"/>
                <w:b/>
                <w:bCs/>
                <w:color w:val="000000" w:themeColor="text1"/>
                <w:kern w:val="0"/>
                <w:sz w:val="24"/>
                <w14:textFill>
                  <w14:solidFill>
                    <w14:schemeClr w14:val="tx1"/>
                  </w14:solidFill>
                </w14:textFill>
              </w:rPr>
              <w:t>合计</w:t>
            </w:r>
          </w:p>
        </w:tc>
        <w:tc>
          <w:tcPr>
            <w:tcW w:w="1301"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3FFA752">
            <w:pPr>
              <w:widowControl/>
              <w:spacing w:before="100" w:beforeAutospacing="1" w:after="100" w:afterAutospacing="1" w:line="360" w:lineRule="auto"/>
              <w:jc w:val="center"/>
              <w:rPr>
                <w:rFonts w:ascii="Times New Roman" w:hAnsi="Times New Roman" w:cs="宋体"/>
                <w:b/>
                <w:bCs/>
                <w:color w:val="000000" w:themeColor="text1"/>
                <w:kern w:val="0"/>
                <w:sz w:val="24"/>
                <w14:textFill>
                  <w14:solidFill>
                    <w14:schemeClr w14:val="tx1"/>
                  </w14:solidFill>
                </w14:textFill>
              </w:rPr>
            </w:pPr>
          </w:p>
        </w:tc>
      </w:tr>
    </w:tbl>
    <w:p w14:paraId="550CFE78">
      <w:pPr>
        <w:spacing w:line="240" w:lineRule="atLeast"/>
        <w:rPr>
          <w:rFonts w:hint="eastAsia" w:asciiTheme="minorEastAsia" w:hAnsiTheme="minorEastAsia" w:eastAsiaTheme="minorEastAsia" w:cstheme="minorEastAsia"/>
          <w:sz w:val="24"/>
        </w:rPr>
      </w:pPr>
    </w:p>
    <w:p w14:paraId="6E8B11C4">
      <w:pPr>
        <w:spacing w:before="240" w:after="60"/>
        <w:jc w:val="left"/>
        <w:outlineLvl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注:</w:t>
      </w:r>
      <w:r>
        <w:rPr>
          <w:rFonts w:asciiTheme="minorEastAsia" w:hAnsiTheme="minorEastAsia" w:eastAsiaTheme="minorEastAsia" w:cstheme="minorEastAsia"/>
          <w:b/>
          <w:bCs/>
          <w:sz w:val="24"/>
        </w:rPr>
        <w:t>供应商</w:t>
      </w:r>
      <w:r>
        <w:rPr>
          <w:rFonts w:hint="eastAsia" w:asciiTheme="minorEastAsia" w:hAnsiTheme="minorEastAsia" w:eastAsiaTheme="minorEastAsia" w:cstheme="minorEastAsia"/>
          <w:b/>
          <w:bCs/>
          <w:sz w:val="24"/>
        </w:rPr>
        <w:t>报价单价和</w:t>
      </w:r>
      <w:r>
        <w:rPr>
          <w:rFonts w:asciiTheme="minorEastAsia" w:hAnsiTheme="minorEastAsia" w:eastAsiaTheme="minorEastAsia" w:cstheme="minorEastAsia"/>
          <w:b/>
          <w:bCs/>
          <w:sz w:val="24"/>
        </w:rPr>
        <w:t>总报价不得超过本项目预算限价单价及限价小计，超过采购预算的响应报价按无效响应处理。</w:t>
      </w:r>
    </w:p>
    <w:p w14:paraId="683573AD">
      <w:pPr>
        <w:pStyle w:val="18"/>
        <w:spacing w:line="500" w:lineRule="exact"/>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供应商名称（公章）：</w:t>
      </w:r>
    </w:p>
    <w:p w14:paraId="65A3AE34">
      <w:pPr>
        <w:pStyle w:val="18"/>
        <w:spacing w:line="500" w:lineRule="exact"/>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授权代表（签字）:</w:t>
      </w:r>
    </w:p>
    <w:p w14:paraId="535EF27B">
      <w:pPr>
        <w:spacing w:line="48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时间：</w:t>
      </w:r>
    </w:p>
    <w:p w14:paraId="7C89409B">
      <w:pPr>
        <w:pStyle w:val="18"/>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r>
        <w:rPr>
          <w:rFonts w:hint="eastAsia" w:asciiTheme="minorEastAsia" w:hAnsiTheme="minorEastAsia" w:eastAsiaTheme="minorEastAsia" w:cstheme="minorEastAsia"/>
          <w:sz w:val="24"/>
        </w:rPr>
        <w:t>附件3</w:t>
      </w:r>
    </w:p>
    <w:p w14:paraId="3880780A">
      <w:pPr>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货物（服务）清单</w:t>
      </w:r>
    </w:p>
    <w:p w14:paraId="3389E9AE">
      <w:pPr>
        <w:spacing w:line="240" w:lineRule="atLeast"/>
        <w:rPr>
          <w:rFonts w:hint="eastAsia" w:asciiTheme="minorEastAsia" w:hAnsiTheme="minorEastAsia" w:eastAsiaTheme="minorEastAsia" w:cstheme="minorEastAsia"/>
          <w:sz w:val="24"/>
        </w:rPr>
      </w:pPr>
    </w:p>
    <w:p w14:paraId="4CD68E14">
      <w:pPr>
        <w:spacing w:line="240" w:lineRule="atLeas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项目编号（包号）：</w:t>
      </w:r>
    </w:p>
    <w:p w14:paraId="5E15753F">
      <w:p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24"/>
        </w:rPr>
        <w:t>项目名称：</w:t>
      </w:r>
    </w:p>
    <w:tbl>
      <w:tblPr>
        <w:tblStyle w:val="28"/>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2121DA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83FE5DF">
            <w:pPr>
              <w:adjustRightInd w:val="0"/>
              <w:snapToGrid w:val="0"/>
              <w:ind w:left="-118" w:leftChars="-42"/>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2187" w:type="dxa"/>
            <w:vAlign w:val="center"/>
          </w:tcPr>
          <w:p w14:paraId="4662A31B">
            <w:pPr>
              <w:adjustRightInd w:val="0"/>
              <w:snapToGrid w:val="0"/>
              <w:ind w:left="-118" w:leftChars="-42"/>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货物（服务）名称</w:t>
            </w:r>
          </w:p>
        </w:tc>
        <w:tc>
          <w:tcPr>
            <w:tcW w:w="1559" w:type="dxa"/>
            <w:tcBorders>
              <w:right w:val="single" w:color="auto" w:sz="4" w:space="0"/>
            </w:tcBorders>
            <w:vAlign w:val="center"/>
          </w:tcPr>
          <w:p w14:paraId="51182FD4">
            <w:pPr>
              <w:adjustRightInd w:val="0"/>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制造商名称</w:t>
            </w:r>
          </w:p>
        </w:tc>
        <w:tc>
          <w:tcPr>
            <w:tcW w:w="1560" w:type="dxa"/>
            <w:tcBorders>
              <w:left w:val="single" w:color="auto" w:sz="4" w:space="0"/>
            </w:tcBorders>
            <w:vAlign w:val="center"/>
          </w:tcPr>
          <w:p w14:paraId="27EFBCDF">
            <w:pPr>
              <w:adjustRightInd w:val="0"/>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生产地</w:t>
            </w:r>
          </w:p>
        </w:tc>
        <w:tc>
          <w:tcPr>
            <w:tcW w:w="1701" w:type="dxa"/>
            <w:vAlign w:val="center"/>
          </w:tcPr>
          <w:p w14:paraId="332D7D38">
            <w:pPr>
              <w:adjustRightInd w:val="0"/>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规格型号</w:t>
            </w:r>
          </w:p>
        </w:tc>
        <w:tc>
          <w:tcPr>
            <w:tcW w:w="1134" w:type="dxa"/>
            <w:vAlign w:val="center"/>
          </w:tcPr>
          <w:p w14:paraId="7329AEBF">
            <w:pPr>
              <w:adjustRightInd w:val="0"/>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数量</w:t>
            </w:r>
          </w:p>
        </w:tc>
      </w:tr>
      <w:tr w14:paraId="6BAB4A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ACF4ACF">
            <w:pPr>
              <w:adjustRightInd w:val="0"/>
              <w:snapToGrid w:val="0"/>
              <w:ind w:left="-118" w:leftChars="-42"/>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187" w:type="dxa"/>
            <w:vAlign w:val="center"/>
          </w:tcPr>
          <w:p w14:paraId="6D75BBDE">
            <w:pPr>
              <w:adjustRightInd w:val="0"/>
              <w:snapToGrid w:val="0"/>
              <w:ind w:left="-118" w:leftChars="-42"/>
              <w:jc w:val="center"/>
              <w:rPr>
                <w:rFonts w:hint="eastAsia" w:asciiTheme="minorEastAsia" w:hAnsiTheme="minorEastAsia" w:eastAsiaTheme="minorEastAsia" w:cstheme="minorEastAsia"/>
                <w:sz w:val="24"/>
              </w:rPr>
            </w:pPr>
          </w:p>
        </w:tc>
        <w:tc>
          <w:tcPr>
            <w:tcW w:w="1559" w:type="dxa"/>
            <w:tcBorders>
              <w:right w:val="single" w:color="auto" w:sz="4" w:space="0"/>
            </w:tcBorders>
            <w:vAlign w:val="center"/>
          </w:tcPr>
          <w:p w14:paraId="58B5173A">
            <w:pPr>
              <w:adjustRightInd w:val="0"/>
              <w:snapToGrid w:val="0"/>
              <w:jc w:val="center"/>
              <w:rPr>
                <w:rFonts w:hint="eastAsia" w:asciiTheme="minorEastAsia" w:hAnsiTheme="minorEastAsia" w:eastAsiaTheme="minorEastAsia" w:cstheme="minorEastAsia"/>
                <w:sz w:val="24"/>
              </w:rPr>
            </w:pPr>
          </w:p>
        </w:tc>
        <w:tc>
          <w:tcPr>
            <w:tcW w:w="1560" w:type="dxa"/>
            <w:tcBorders>
              <w:left w:val="single" w:color="auto" w:sz="4" w:space="0"/>
            </w:tcBorders>
            <w:vAlign w:val="center"/>
          </w:tcPr>
          <w:p w14:paraId="3648F558">
            <w:pPr>
              <w:adjustRightInd w:val="0"/>
              <w:snapToGrid w:val="0"/>
              <w:jc w:val="center"/>
              <w:rPr>
                <w:rFonts w:hint="eastAsia" w:asciiTheme="minorEastAsia" w:hAnsiTheme="minorEastAsia" w:eastAsiaTheme="minorEastAsia" w:cstheme="minorEastAsia"/>
                <w:sz w:val="24"/>
              </w:rPr>
            </w:pPr>
          </w:p>
        </w:tc>
        <w:tc>
          <w:tcPr>
            <w:tcW w:w="1701" w:type="dxa"/>
            <w:vAlign w:val="center"/>
          </w:tcPr>
          <w:p w14:paraId="27F912AD">
            <w:pPr>
              <w:adjustRightInd w:val="0"/>
              <w:snapToGrid w:val="0"/>
              <w:jc w:val="center"/>
              <w:rPr>
                <w:rFonts w:hint="eastAsia" w:asciiTheme="minorEastAsia" w:hAnsiTheme="minorEastAsia" w:eastAsiaTheme="minorEastAsia" w:cstheme="minorEastAsia"/>
                <w:sz w:val="24"/>
              </w:rPr>
            </w:pPr>
          </w:p>
        </w:tc>
        <w:tc>
          <w:tcPr>
            <w:tcW w:w="1134" w:type="dxa"/>
            <w:vAlign w:val="center"/>
          </w:tcPr>
          <w:p w14:paraId="194E4B4B">
            <w:pPr>
              <w:adjustRightInd w:val="0"/>
              <w:snapToGrid w:val="0"/>
              <w:jc w:val="center"/>
              <w:rPr>
                <w:rFonts w:hint="eastAsia" w:asciiTheme="minorEastAsia" w:hAnsiTheme="minorEastAsia" w:eastAsiaTheme="minorEastAsia" w:cstheme="minorEastAsia"/>
                <w:sz w:val="24"/>
              </w:rPr>
            </w:pPr>
          </w:p>
        </w:tc>
      </w:tr>
      <w:tr w14:paraId="37D5A4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5660EEF">
            <w:pPr>
              <w:adjustRightInd w:val="0"/>
              <w:snapToGrid w:val="0"/>
              <w:ind w:left="-118" w:leftChars="-42"/>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2187" w:type="dxa"/>
            <w:vAlign w:val="center"/>
          </w:tcPr>
          <w:p w14:paraId="5757C083">
            <w:pPr>
              <w:adjustRightInd w:val="0"/>
              <w:snapToGrid w:val="0"/>
              <w:ind w:left="-118" w:leftChars="-42"/>
              <w:jc w:val="center"/>
              <w:rPr>
                <w:rFonts w:hint="eastAsia" w:asciiTheme="minorEastAsia" w:hAnsiTheme="minorEastAsia" w:eastAsiaTheme="minorEastAsia" w:cstheme="minorEastAsia"/>
                <w:sz w:val="24"/>
              </w:rPr>
            </w:pPr>
          </w:p>
        </w:tc>
        <w:tc>
          <w:tcPr>
            <w:tcW w:w="1559" w:type="dxa"/>
            <w:tcBorders>
              <w:right w:val="single" w:color="auto" w:sz="4" w:space="0"/>
            </w:tcBorders>
            <w:vAlign w:val="center"/>
          </w:tcPr>
          <w:p w14:paraId="5C814BB0">
            <w:pPr>
              <w:adjustRightInd w:val="0"/>
              <w:snapToGrid w:val="0"/>
              <w:jc w:val="center"/>
              <w:rPr>
                <w:rFonts w:hint="eastAsia" w:asciiTheme="minorEastAsia" w:hAnsiTheme="minorEastAsia" w:eastAsiaTheme="minorEastAsia" w:cstheme="minorEastAsia"/>
                <w:sz w:val="24"/>
              </w:rPr>
            </w:pPr>
          </w:p>
        </w:tc>
        <w:tc>
          <w:tcPr>
            <w:tcW w:w="1560" w:type="dxa"/>
            <w:tcBorders>
              <w:left w:val="single" w:color="auto" w:sz="4" w:space="0"/>
            </w:tcBorders>
            <w:vAlign w:val="center"/>
          </w:tcPr>
          <w:p w14:paraId="67418091">
            <w:pPr>
              <w:adjustRightInd w:val="0"/>
              <w:snapToGrid w:val="0"/>
              <w:jc w:val="center"/>
              <w:rPr>
                <w:rFonts w:hint="eastAsia" w:asciiTheme="minorEastAsia" w:hAnsiTheme="minorEastAsia" w:eastAsiaTheme="minorEastAsia" w:cstheme="minorEastAsia"/>
                <w:sz w:val="24"/>
              </w:rPr>
            </w:pPr>
          </w:p>
        </w:tc>
        <w:tc>
          <w:tcPr>
            <w:tcW w:w="1701" w:type="dxa"/>
            <w:vAlign w:val="center"/>
          </w:tcPr>
          <w:p w14:paraId="56EE2E84">
            <w:pPr>
              <w:adjustRightInd w:val="0"/>
              <w:snapToGrid w:val="0"/>
              <w:jc w:val="center"/>
              <w:rPr>
                <w:rFonts w:hint="eastAsia" w:asciiTheme="minorEastAsia" w:hAnsiTheme="minorEastAsia" w:eastAsiaTheme="minorEastAsia" w:cstheme="minorEastAsia"/>
                <w:sz w:val="24"/>
              </w:rPr>
            </w:pPr>
          </w:p>
        </w:tc>
        <w:tc>
          <w:tcPr>
            <w:tcW w:w="1134" w:type="dxa"/>
            <w:vAlign w:val="center"/>
          </w:tcPr>
          <w:p w14:paraId="0A7B50C1">
            <w:pPr>
              <w:adjustRightInd w:val="0"/>
              <w:snapToGrid w:val="0"/>
              <w:jc w:val="center"/>
              <w:rPr>
                <w:rFonts w:hint="eastAsia" w:asciiTheme="minorEastAsia" w:hAnsiTheme="minorEastAsia" w:eastAsiaTheme="minorEastAsia" w:cstheme="minorEastAsia"/>
                <w:sz w:val="24"/>
              </w:rPr>
            </w:pPr>
          </w:p>
        </w:tc>
      </w:tr>
      <w:tr w14:paraId="4026E2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A17788A">
            <w:pPr>
              <w:adjustRightInd w:val="0"/>
              <w:snapToGrid w:val="0"/>
              <w:ind w:left="-118" w:leftChars="-42"/>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w:t>
            </w:r>
          </w:p>
        </w:tc>
        <w:tc>
          <w:tcPr>
            <w:tcW w:w="2187" w:type="dxa"/>
            <w:vAlign w:val="center"/>
          </w:tcPr>
          <w:p w14:paraId="11781782">
            <w:pPr>
              <w:adjustRightInd w:val="0"/>
              <w:snapToGrid w:val="0"/>
              <w:ind w:left="-118" w:leftChars="-42"/>
              <w:jc w:val="center"/>
              <w:rPr>
                <w:rFonts w:hint="eastAsia" w:asciiTheme="minorEastAsia" w:hAnsiTheme="minorEastAsia" w:eastAsiaTheme="minorEastAsia" w:cstheme="minorEastAsia"/>
                <w:sz w:val="24"/>
              </w:rPr>
            </w:pPr>
          </w:p>
        </w:tc>
        <w:tc>
          <w:tcPr>
            <w:tcW w:w="1559" w:type="dxa"/>
            <w:tcBorders>
              <w:right w:val="single" w:color="auto" w:sz="4" w:space="0"/>
            </w:tcBorders>
            <w:vAlign w:val="center"/>
          </w:tcPr>
          <w:p w14:paraId="472A93BE">
            <w:pPr>
              <w:adjustRightInd w:val="0"/>
              <w:snapToGrid w:val="0"/>
              <w:jc w:val="center"/>
              <w:rPr>
                <w:rFonts w:hint="eastAsia" w:asciiTheme="minorEastAsia" w:hAnsiTheme="minorEastAsia" w:eastAsiaTheme="minorEastAsia" w:cstheme="minorEastAsia"/>
                <w:sz w:val="24"/>
              </w:rPr>
            </w:pPr>
          </w:p>
        </w:tc>
        <w:tc>
          <w:tcPr>
            <w:tcW w:w="1560" w:type="dxa"/>
            <w:tcBorders>
              <w:left w:val="single" w:color="auto" w:sz="4" w:space="0"/>
            </w:tcBorders>
            <w:vAlign w:val="center"/>
          </w:tcPr>
          <w:p w14:paraId="4772BEBC">
            <w:pPr>
              <w:adjustRightInd w:val="0"/>
              <w:snapToGrid w:val="0"/>
              <w:jc w:val="center"/>
              <w:rPr>
                <w:rFonts w:hint="eastAsia" w:asciiTheme="minorEastAsia" w:hAnsiTheme="minorEastAsia" w:eastAsiaTheme="minorEastAsia" w:cstheme="minorEastAsia"/>
                <w:sz w:val="24"/>
              </w:rPr>
            </w:pPr>
          </w:p>
        </w:tc>
        <w:tc>
          <w:tcPr>
            <w:tcW w:w="1701" w:type="dxa"/>
            <w:vAlign w:val="center"/>
          </w:tcPr>
          <w:p w14:paraId="180BFC8E">
            <w:pPr>
              <w:adjustRightInd w:val="0"/>
              <w:snapToGrid w:val="0"/>
              <w:jc w:val="center"/>
              <w:rPr>
                <w:rFonts w:hint="eastAsia" w:asciiTheme="minorEastAsia" w:hAnsiTheme="minorEastAsia" w:eastAsiaTheme="minorEastAsia" w:cstheme="minorEastAsia"/>
                <w:sz w:val="24"/>
              </w:rPr>
            </w:pPr>
          </w:p>
        </w:tc>
        <w:tc>
          <w:tcPr>
            <w:tcW w:w="1134" w:type="dxa"/>
            <w:vAlign w:val="center"/>
          </w:tcPr>
          <w:p w14:paraId="1EE4874A">
            <w:pPr>
              <w:adjustRightInd w:val="0"/>
              <w:snapToGrid w:val="0"/>
              <w:jc w:val="center"/>
              <w:rPr>
                <w:rFonts w:hint="eastAsia" w:asciiTheme="minorEastAsia" w:hAnsiTheme="minorEastAsia" w:eastAsiaTheme="minorEastAsia" w:cstheme="minorEastAsia"/>
                <w:sz w:val="24"/>
              </w:rPr>
            </w:pPr>
          </w:p>
        </w:tc>
      </w:tr>
      <w:tr w14:paraId="5B5FF5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EBCA61C">
            <w:pPr>
              <w:adjustRightInd w:val="0"/>
              <w:snapToGrid w:val="0"/>
              <w:ind w:left="-118" w:leftChars="-42"/>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2187" w:type="dxa"/>
            <w:vAlign w:val="center"/>
          </w:tcPr>
          <w:p w14:paraId="163D4F86">
            <w:pPr>
              <w:adjustRightInd w:val="0"/>
              <w:snapToGrid w:val="0"/>
              <w:ind w:left="-118" w:leftChars="-42"/>
              <w:jc w:val="center"/>
              <w:rPr>
                <w:rFonts w:hint="eastAsia" w:asciiTheme="minorEastAsia" w:hAnsiTheme="minorEastAsia" w:eastAsiaTheme="minorEastAsia" w:cstheme="minorEastAsia"/>
                <w:sz w:val="24"/>
              </w:rPr>
            </w:pPr>
          </w:p>
        </w:tc>
        <w:tc>
          <w:tcPr>
            <w:tcW w:w="1559" w:type="dxa"/>
            <w:tcBorders>
              <w:right w:val="single" w:color="auto" w:sz="4" w:space="0"/>
            </w:tcBorders>
            <w:vAlign w:val="center"/>
          </w:tcPr>
          <w:p w14:paraId="492088DE">
            <w:pPr>
              <w:adjustRightInd w:val="0"/>
              <w:snapToGrid w:val="0"/>
              <w:jc w:val="center"/>
              <w:rPr>
                <w:rFonts w:hint="eastAsia" w:asciiTheme="minorEastAsia" w:hAnsiTheme="minorEastAsia" w:eastAsiaTheme="minorEastAsia" w:cstheme="minorEastAsia"/>
                <w:sz w:val="24"/>
              </w:rPr>
            </w:pPr>
          </w:p>
        </w:tc>
        <w:tc>
          <w:tcPr>
            <w:tcW w:w="1560" w:type="dxa"/>
            <w:tcBorders>
              <w:left w:val="single" w:color="auto" w:sz="4" w:space="0"/>
            </w:tcBorders>
            <w:vAlign w:val="center"/>
          </w:tcPr>
          <w:p w14:paraId="002F878A">
            <w:pPr>
              <w:adjustRightInd w:val="0"/>
              <w:snapToGrid w:val="0"/>
              <w:jc w:val="center"/>
              <w:rPr>
                <w:rFonts w:hint="eastAsia" w:asciiTheme="minorEastAsia" w:hAnsiTheme="minorEastAsia" w:eastAsiaTheme="minorEastAsia" w:cstheme="minorEastAsia"/>
                <w:sz w:val="24"/>
              </w:rPr>
            </w:pPr>
          </w:p>
        </w:tc>
        <w:tc>
          <w:tcPr>
            <w:tcW w:w="1701" w:type="dxa"/>
            <w:vAlign w:val="center"/>
          </w:tcPr>
          <w:p w14:paraId="3A6F7946">
            <w:pPr>
              <w:adjustRightInd w:val="0"/>
              <w:snapToGrid w:val="0"/>
              <w:jc w:val="center"/>
              <w:rPr>
                <w:rFonts w:hint="eastAsia" w:asciiTheme="minorEastAsia" w:hAnsiTheme="minorEastAsia" w:eastAsiaTheme="minorEastAsia" w:cstheme="minorEastAsia"/>
                <w:sz w:val="24"/>
              </w:rPr>
            </w:pPr>
          </w:p>
        </w:tc>
        <w:tc>
          <w:tcPr>
            <w:tcW w:w="1134" w:type="dxa"/>
            <w:vAlign w:val="center"/>
          </w:tcPr>
          <w:p w14:paraId="618C387D">
            <w:pPr>
              <w:adjustRightInd w:val="0"/>
              <w:snapToGrid w:val="0"/>
              <w:jc w:val="center"/>
              <w:rPr>
                <w:rFonts w:hint="eastAsia" w:asciiTheme="minorEastAsia" w:hAnsiTheme="minorEastAsia" w:eastAsiaTheme="minorEastAsia" w:cstheme="minorEastAsia"/>
                <w:sz w:val="24"/>
              </w:rPr>
            </w:pPr>
          </w:p>
        </w:tc>
      </w:tr>
      <w:tr w14:paraId="0F1F7E3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B511416">
            <w:pPr>
              <w:adjustRightInd w:val="0"/>
              <w:snapToGrid w:val="0"/>
              <w:ind w:left="-118" w:leftChars="-42"/>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w:t>
            </w:r>
          </w:p>
        </w:tc>
        <w:tc>
          <w:tcPr>
            <w:tcW w:w="2187" w:type="dxa"/>
            <w:vAlign w:val="center"/>
          </w:tcPr>
          <w:p w14:paraId="407C566D">
            <w:pPr>
              <w:adjustRightInd w:val="0"/>
              <w:snapToGrid w:val="0"/>
              <w:ind w:left="-118" w:leftChars="-42"/>
              <w:jc w:val="center"/>
              <w:rPr>
                <w:rFonts w:hint="eastAsia" w:asciiTheme="minorEastAsia" w:hAnsiTheme="minorEastAsia" w:eastAsiaTheme="minorEastAsia" w:cstheme="minorEastAsia"/>
                <w:sz w:val="24"/>
              </w:rPr>
            </w:pPr>
          </w:p>
        </w:tc>
        <w:tc>
          <w:tcPr>
            <w:tcW w:w="1559" w:type="dxa"/>
            <w:tcBorders>
              <w:right w:val="single" w:color="auto" w:sz="4" w:space="0"/>
            </w:tcBorders>
            <w:vAlign w:val="center"/>
          </w:tcPr>
          <w:p w14:paraId="7D0C638B">
            <w:pPr>
              <w:adjustRightInd w:val="0"/>
              <w:snapToGrid w:val="0"/>
              <w:jc w:val="center"/>
              <w:rPr>
                <w:rFonts w:hint="eastAsia" w:asciiTheme="minorEastAsia" w:hAnsiTheme="minorEastAsia" w:eastAsiaTheme="minorEastAsia" w:cstheme="minorEastAsia"/>
                <w:sz w:val="24"/>
              </w:rPr>
            </w:pPr>
          </w:p>
        </w:tc>
        <w:tc>
          <w:tcPr>
            <w:tcW w:w="1560" w:type="dxa"/>
            <w:tcBorders>
              <w:left w:val="single" w:color="auto" w:sz="4" w:space="0"/>
            </w:tcBorders>
            <w:vAlign w:val="center"/>
          </w:tcPr>
          <w:p w14:paraId="5F53C46E">
            <w:pPr>
              <w:adjustRightInd w:val="0"/>
              <w:snapToGrid w:val="0"/>
              <w:jc w:val="center"/>
              <w:rPr>
                <w:rFonts w:hint="eastAsia" w:asciiTheme="minorEastAsia" w:hAnsiTheme="minorEastAsia" w:eastAsiaTheme="minorEastAsia" w:cstheme="minorEastAsia"/>
                <w:sz w:val="24"/>
              </w:rPr>
            </w:pPr>
          </w:p>
        </w:tc>
        <w:tc>
          <w:tcPr>
            <w:tcW w:w="1701" w:type="dxa"/>
            <w:vAlign w:val="center"/>
          </w:tcPr>
          <w:p w14:paraId="2BA39065">
            <w:pPr>
              <w:adjustRightInd w:val="0"/>
              <w:snapToGrid w:val="0"/>
              <w:jc w:val="center"/>
              <w:rPr>
                <w:rFonts w:hint="eastAsia" w:asciiTheme="minorEastAsia" w:hAnsiTheme="minorEastAsia" w:eastAsiaTheme="minorEastAsia" w:cstheme="minorEastAsia"/>
                <w:sz w:val="24"/>
              </w:rPr>
            </w:pPr>
          </w:p>
        </w:tc>
        <w:tc>
          <w:tcPr>
            <w:tcW w:w="1134" w:type="dxa"/>
            <w:vAlign w:val="center"/>
          </w:tcPr>
          <w:p w14:paraId="3CE743C4">
            <w:pPr>
              <w:adjustRightInd w:val="0"/>
              <w:snapToGrid w:val="0"/>
              <w:jc w:val="center"/>
              <w:rPr>
                <w:rFonts w:hint="eastAsia" w:asciiTheme="minorEastAsia" w:hAnsiTheme="minorEastAsia" w:eastAsiaTheme="minorEastAsia" w:cstheme="minorEastAsia"/>
                <w:sz w:val="24"/>
              </w:rPr>
            </w:pPr>
          </w:p>
        </w:tc>
      </w:tr>
      <w:tr w14:paraId="432E09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4639A673">
            <w:pPr>
              <w:adjustRightInd w:val="0"/>
              <w:snapToGrid w:val="0"/>
              <w:ind w:left="-118" w:leftChars="-42"/>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w:t>
            </w:r>
          </w:p>
        </w:tc>
        <w:tc>
          <w:tcPr>
            <w:tcW w:w="2187" w:type="dxa"/>
            <w:vAlign w:val="center"/>
          </w:tcPr>
          <w:p w14:paraId="2CB35289">
            <w:pPr>
              <w:adjustRightInd w:val="0"/>
              <w:snapToGrid w:val="0"/>
              <w:ind w:left="-118" w:leftChars="-42"/>
              <w:jc w:val="center"/>
              <w:rPr>
                <w:rFonts w:hint="eastAsia" w:asciiTheme="minorEastAsia" w:hAnsiTheme="minorEastAsia" w:eastAsiaTheme="minorEastAsia" w:cstheme="minorEastAsia"/>
                <w:sz w:val="24"/>
              </w:rPr>
            </w:pPr>
          </w:p>
        </w:tc>
        <w:tc>
          <w:tcPr>
            <w:tcW w:w="1559" w:type="dxa"/>
            <w:tcBorders>
              <w:right w:val="single" w:color="auto" w:sz="4" w:space="0"/>
            </w:tcBorders>
            <w:vAlign w:val="center"/>
          </w:tcPr>
          <w:p w14:paraId="7672138E">
            <w:pPr>
              <w:adjustRightInd w:val="0"/>
              <w:snapToGrid w:val="0"/>
              <w:jc w:val="center"/>
              <w:rPr>
                <w:rFonts w:hint="eastAsia" w:asciiTheme="minorEastAsia" w:hAnsiTheme="minorEastAsia" w:eastAsiaTheme="minorEastAsia" w:cstheme="minorEastAsia"/>
                <w:sz w:val="24"/>
              </w:rPr>
            </w:pPr>
          </w:p>
        </w:tc>
        <w:tc>
          <w:tcPr>
            <w:tcW w:w="1560" w:type="dxa"/>
            <w:tcBorders>
              <w:left w:val="single" w:color="auto" w:sz="4" w:space="0"/>
            </w:tcBorders>
            <w:vAlign w:val="center"/>
          </w:tcPr>
          <w:p w14:paraId="11651ADC">
            <w:pPr>
              <w:adjustRightInd w:val="0"/>
              <w:snapToGrid w:val="0"/>
              <w:jc w:val="center"/>
              <w:rPr>
                <w:rFonts w:hint="eastAsia" w:asciiTheme="minorEastAsia" w:hAnsiTheme="minorEastAsia" w:eastAsiaTheme="minorEastAsia" w:cstheme="minorEastAsia"/>
                <w:sz w:val="24"/>
              </w:rPr>
            </w:pPr>
          </w:p>
        </w:tc>
        <w:tc>
          <w:tcPr>
            <w:tcW w:w="1701" w:type="dxa"/>
            <w:vAlign w:val="center"/>
          </w:tcPr>
          <w:p w14:paraId="6EC42F87">
            <w:pPr>
              <w:adjustRightInd w:val="0"/>
              <w:snapToGrid w:val="0"/>
              <w:jc w:val="center"/>
              <w:rPr>
                <w:rFonts w:hint="eastAsia" w:asciiTheme="minorEastAsia" w:hAnsiTheme="minorEastAsia" w:eastAsiaTheme="minorEastAsia" w:cstheme="minorEastAsia"/>
                <w:sz w:val="24"/>
              </w:rPr>
            </w:pPr>
          </w:p>
        </w:tc>
        <w:tc>
          <w:tcPr>
            <w:tcW w:w="1134" w:type="dxa"/>
            <w:vAlign w:val="center"/>
          </w:tcPr>
          <w:p w14:paraId="7760446D">
            <w:pPr>
              <w:adjustRightInd w:val="0"/>
              <w:snapToGrid w:val="0"/>
              <w:jc w:val="center"/>
              <w:rPr>
                <w:rFonts w:hint="eastAsia" w:asciiTheme="minorEastAsia" w:hAnsiTheme="minorEastAsia" w:eastAsiaTheme="minorEastAsia" w:cstheme="minorEastAsia"/>
                <w:sz w:val="24"/>
              </w:rPr>
            </w:pPr>
          </w:p>
        </w:tc>
      </w:tr>
      <w:tr w14:paraId="1C134AD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82F4FBC">
            <w:pPr>
              <w:adjustRightInd w:val="0"/>
              <w:snapToGrid w:val="0"/>
              <w:ind w:left="-118" w:leftChars="-42"/>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w:t>
            </w:r>
          </w:p>
        </w:tc>
        <w:tc>
          <w:tcPr>
            <w:tcW w:w="2187" w:type="dxa"/>
            <w:vAlign w:val="center"/>
          </w:tcPr>
          <w:p w14:paraId="2A12D024">
            <w:pPr>
              <w:adjustRightInd w:val="0"/>
              <w:snapToGrid w:val="0"/>
              <w:ind w:left="-118" w:leftChars="-42"/>
              <w:jc w:val="center"/>
              <w:rPr>
                <w:rFonts w:hint="eastAsia" w:asciiTheme="minorEastAsia" w:hAnsiTheme="minorEastAsia" w:eastAsiaTheme="minorEastAsia" w:cstheme="minorEastAsia"/>
                <w:sz w:val="24"/>
              </w:rPr>
            </w:pPr>
          </w:p>
        </w:tc>
        <w:tc>
          <w:tcPr>
            <w:tcW w:w="1559" w:type="dxa"/>
            <w:tcBorders>
              <w:right w:val="single" w:color="auto" w:sz="4" w:space="0"/>
            </w:tcBorders>
            <w:vAlign w:val="center"/>
          </w:tcPr>
          <w:p w14:paraId="2EC7BDAF">
            <w:pPr>
              <w:adjustRightInd w:val="0"/>
              <w:snapToGrid w:val="0"/>
              <w:jc w:val="center"/>
              <w:rPr>
                <w:rFonts w:hint="eastAsia" w:asciiTheme="minorEastAsia" w:hAnsiTheme="minorEastAsia" w:eastAsiaTheme="minorEastAsia" w:cstheme="minorEastAsia"/>
                <w:sz w:val="24"/>
              </w:rPr>
            </w:pPr>
          </w:p>
        </w:tc>
        <w:tc>
          <w:tcPr>
            <w:tcW w:w="1560" w:type="dxa"/>
            <w:tcBorders>
              <w:left w:val="single" w:color="auto" w:sz="4" w:space="0"/>
            </w:tcBorders>
            <w:vAlign w:val="center"/>
          </w:tcPr>
          <w:p w14:paraId="3FC4BCCA">
            <w:pPr>
              <w:adjustRightInd w:val="0"/>
              <w:snapToGrid w:val="0"/>
              <w:jc w:val="center"/>
              <w:rPr>
                <w:rFonts w:hint="eastAsia" w:asciiTheme="minorEastAsia" w:hAnsiTheme="minorEastAsia" w:eastAsiaTheme="minorEastAsia" w:cstheme="minorEastAsia"/>
                <w:sz w:val="24"/>
              </w:rPr>
            </w:pPr>
          </w:p>
        </w:tc>
        <w:tc>
          <w:tcPr>
            <w:tcW w:w="1701" w:type="dxa"/>
            <w:vAlign w:val="center"/>
          </w:tcPr>
          <w:p w14:paraId="798B5F88">
            <w:pPr>
              <w:adjustRightInd w:val="0"/>
              <w:snapToGrid w:val="0"/>
              <w:jc w:val="center"/>
              <w:rPr>
                <w:rFonts w:hint="eastAsia" w:asciiTheme="minorEastAsia" w:hAnsiTheme="minorEastAsia" w:eastAsiaTheme="minorEastAsia" w:cstheme="minorEastAsia"/>
                <w:sz w:val="24"/>
              </w:rPr>
            </w:pPr>
          </w:p>
        </w:tc>
        <w:tc>
          <w:tcPr>
            <w:tcW w:w="1134" w:type="dxa"/>
            <w:vAlign w:val="center"/>
          </w:tcPr>
          <w:p w14:paraId="72DCCF8D">
            <w:pPr>
              <w:adjustRightInd w:val="0"/>
              <w:snapToGrid w:val="0"/>
              <w:jc w:val="center"/>
              <w:rPr>
                <w:rFonts w:hint="eastAsia" w:asciiTheme="minorEastAsia" w:hAnsiTheme="minorEastAsia" w:eastAsiaTheme="minorEastAsia" w:cstheme="minorEastAsia"/>
                <w:sz w:val="24"/>
              </w:rPr>
            </w:pPr>
          </w:p>
        </w:tc>
      </w:tr>
      <w:tr w14:paraId="3D521E6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B2ABBE6">
            <w:pPr>
              <w:adjustRightInd w:val="0"/>
              <w:snapToGrid w:val="0"/>
              <w:ind w:left="-118" w:leftChars="-42"/>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w:t>
            </w:r>
          </w:p>
        </w:tc>
        <w:tc>
          <w:tcPr>
            <w:tcW w:w="2187" w:type="dxa"/>
            <w:vAlign w:val="center"/>
          </w:tcPr>
          <w:p w14:paraId="21773D53">
            <w:pPr>
              <w:adjustRightInd w:val="0"/>
              <w:snapToGrid w:val="0"/>
              <w:ind w:left="-118" w:leftChars="-42"/>
              <w:jc w:val="center"/>
              <w:rPr>
                <w:rFonts w:hint="eastAsia" w:asciiTheme="minorEastAsia" w:hAnsiTheme="minorEastAsia" w:eastAsiaTheme="minorEastAsia" w:cstheme="minorEastAsia"/>
                <w:sz w:val="24"/>
              </w:rPr>
            </w:pPr>
          </w:p>
        </w:tc>
        <w:tc>
          <w:tcPr>
            <w:tcW w:w="1559" w:type="dxa"/>
            <w:tcBorders>
              <w:right w:val="single" w:color="auto" w:sz="4" w:space="0"/>
            </w:tcBorders>
            <w:vAlign w:val="center"/>
          </w:tcPr>
          <w:p w14:paraId="767859AA">
            <w:pPr>
              <w:adjustRightInd w:val="0"/>
              <w:snapToGrid w:val="0"/>
              <w:jc w:val="center"/>
              <w:rPr>
                <w:rFonts w:hint="eastAsia" w:asciiTheme="minorEastAsia" w:hAnsiTheme="minorEastAsia" w:eastAsiaTheme="minorEastAsia" w:cstheme="minorEastAsia"/>
                <w:sz w:val="24"/>
              </w:rPr>
            </w:pPr>
          </w:p>
        </w:tc>
        <w:tc>
          <w:tcPr>
            <w:tcW w:w="1560" w:type="dxa"/>
            <w:tcBorders>
              <w:left w:val="single" w:color="auto" w:sz="4" w:space="0"/>
            </w:tcBorders>
            <w:vAlign w:val="center"/>
          </w:tcPr>
          <w:p w14:paraId="0214B7A9">
            <w:pPr>
              <w:adjustRightInd w:val="0"/>
              <w:snapToGrid w:val="0"/>
              <w:jc w:val="center"/>
              <w:rPr>
                <w:rFonts w:hint="eastAsia" w:asciiTheme="minorEastAsia" w:hAnsiTheme="minorEastAsia" w:eastAsiaTheme="minorEastAsia" w:cstheme="minorEastAsia"/>
                <w:sz w:val="24"/>
              </w:rPr>
            </w:pPr>
          </w:p>
        </w:tc>
        <w:tc>
          <w:tcPr>
            <w:tcW w:w="1701" w:type="dxa"/>
            <w:vAlign w:val="center"/>
          </w:tcPr>
          <w:p w14:paraId="6FD68D42">
            <w:pPr>
              <w:adjustRightInd w:val="0"/>
              <w:snapToGrid w:val="0"/>
              <w:jc w:val="center"/>
              <w:rPr>
                <w:rFonts w:hint="eastAsia" w:asciiTheme="minorEastAsia" w:hAnsiTheme="minorEastAsia" w:eastAsiaTheme="minorEastAsia" w:cstheme="minorEastAsia"/>
                <w:sz w:val="24"/>
              </w:rPr>
            </w:pPr>
          </w:p>
        </w:tc>
        <w:tc>
          <w:tcPr>
            <w:tcW w:w="1134" w:type="dxa"/>
            <w:vAlign w:val="center"/>
          </w:tcPr>
          <w:p w14:paraId="14F60608">
            <w:pPr>
              <w:adjustRightInd w:val="0"/>
              <w:snapToGrid w:val="0"/>
              <w:jc w:val="center"/>
              <w:rPr>
                <w:rFonts w:hint="eastAsia" w:asciiTheme="minorEastAsia" w:hAnsiTheme="minorEastAsia" w:eastAsiaTheme="minorEastAsia" w:cstheme="minorEastAsia"/>
                <w:sz w:val="24"/>
              </w:rPr>
            </w:pPr>
          </w:p>
        </w:tc>
      </w:tr>
      <w:tr w14:paraId="69C33B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265F3F2">
            <w:pPr>
              <w:adjustRightInd w:val="0"/>
              <w:snapToGrid w:val="0"/>
              <w:ind w:left="-118" w:leftChars="-42"/>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w:t>
            </w:r>
          </w:p>
        </w:tc>
        <w:tc>
          <w:tcPr>
            <w:tcW w:w="2187" w:type="dxa"/>
            <w:vAlign w:val="center"/>
          </w:tcPr>
          <w:p w14:paraId="6C4C552A">
            <w:pPr>
              <w:adjustRightInd w:val="0"/>
              <w:snapToGrid w:val="0"/>
              <w:ind w:left="-118" w:leftChars="-42"/>
              <w:jc w:val="center"/>
              <w:rPr>
                <w:rFonts w:hint="eastAsia" w:asciiTheme="minorEastAsia" w:hAnsiTheme="minorEastAsia" w:eastAsiaTheme="minorEastAsia" w:cstheme="minorEastAsia"/>
                <w:sz w:val="24"/>
              </w:rPr>
            </w:pPr>
          </w:p>
        </w:tc>
        <w:tc>
          <w:tcPr>
            <w:tcW w:w="1559" w:type="dxa"/>
            <w:tcBorders>
              <w:right w:val="single" w:color="auto" w:sz="4" w:space="0"/>
            </w:tcBorders>
            <w:vAlign w:val="center"/>
          </w:tcPr>
          <w:p w14:paraId="476C2CAF">
            <w:pPr>
              <w:adjustRightInd w:val="0"/>
              <w:snapToGrid w:val="0"/>
              <w:jc w:val="center"/>
              <w:rPr>
                <w:rFonts w:hint="eastAsia" w:asciiTheme="minorEastAsia" w:hAnsiTheme="minorEastAsia" w:eastAsiaTheme="minorEastAsia" w:cstheme="minorEastAsia"/>
                <w:sz w:val="24"/>
              </w:rPr>
            </w:pPr>
          </w:p>
        </w:tc>
        <w:tc>
          <w:tcPr>
            <w:tcW w:w="1560" w:type="dxa"/>
            <w:tcBorders>
              <w:left w:val="single" w:color="auto" w:sz="4" w:space="0"/>
            </w:tcBorders>
            <w:vAlign w:val="center"/>
          </w:tcPr>
          <w:p w14:paraId="1BFB1C4E">
            <w:pPr>
              <w:adjustRightInd w:val="0"/>
              <w:snapToGrid w:val="0"/>
              <w:jc w:val="center"/>
              <w:rPr>
                <w:rFonts w:hint="eastAsia" w:asciiTheme="minorEastAsia" w:hAnsiTheme="minorEastAsia" w:eastAsiaTheme="minorEastAsia" w:cstheme="minorEastAsia"/>
                <w:sz w:val="24"/>
              </w:rPr>
            </w:pPr>
          </w:p>
        </w:tc>
        <w:tc>
          <w:tcPr>
            <w:tcW w:w="1701" w:type="dxa"/>
            <w:vAlign w:val="center"/>
          </w:tcPr>
          <w:p w14:paraId="0B7990F0">
            <w:pPr>
              <w:adjustRightInd w:val="0"/>
              <w:snapToGrid w:val="0"/>
              <w:jc w:val="center"/>
              <w:rPr>
                <w:rFonts w:hint="eastAsia" w:asciiTheme="minorEastAsia" w:hAnsiTheme="minorEastAsia" w:eastAsiaTheme="minorEastAsia" w:cstheme="minorEastAsia"/>
                <w:sz w:val="24"/>
              </w:rPr>
            </w:pPr>
          </w:p>
        </w:tc>
        <w:tc>
          <w:tcPr>
            <w:tcW w:w="1134" w:type="dxa"/>
            <w:vAlign w:val="center"/>
          </w:tcPr>
          <w:p w14:paraId="51BA0E4B">
            <w:pPr>
              <w:adjustRightInd w:val="0"/>
              <w:snapToGrid w:val="0"/>
              <w:jc w:val="center"/>
              <w:rPr>
                <w:rFonts w:hint="eastAsia" w:asciiTheme="minorEastAsia" w:hAnsiTheme="minorEastAsia" w:eastAsiaTheme="minorEastAsia" w:cstheme="minorEastAsia"/>
                <w:sz w:val="24"/>
              </w:rPr>
            </w:pPr>
          </w:p>
        </w:tc>
      </w:tr>
    </w:tbl>
    <w:p w14:paraId="01D03DB5">
      <w:pPr>
        <w:spacing w:line="240" w:lineRule="atLeast"/>
        <w:ind w:firstLine="48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说明：提供详细的货物和服务范围，包括货物和服务类别及制造（开发）商、备品备件等。</w:t>
      </w:r>
    </w:p>
    <w:p w14:paraId="2CDC060C">
      <w:pPr>
        <w:spacing w:line="500" w:lineRule="exact"/>
        <w:rPr>
          <w:rFonts w:hint="eastAsia" w:asciiTheme="minorEastAsia" w:hAnsiTheme="minorEastAsia" w:eastAsiaTheme="minorEastAsia" w:cstheme="minorEastAsia"/>
          <w:sz w:val="24"/>
        </w:rPr>
      </w:pPr>
    </w:p>
    <w:p w14:paraId="0FE0C42B">
      <w:pPr>
        <w:pStyle w:val="18"/>
        <w:spacing w:line="500" w:lineRule="exact"/>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供应商名称（公章）：</w:t>
      </w:r>
    </w:p>
    <w:p w14:paraId="3CD26CE1">
      <w:pPr>
        <w:pStyle w:val="18"/>
        <w:spacing w:line="500" w:lineRule="exact"/>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授权代表（签字）:</w:t>
      </w:r>
    </w:p>
    <w:p w14:paraId="6FA7C39C">
      <w:pPr>
        <w:spacing w:line="48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时间：</w:t>
      </w:r>
    </w:p>
    <w:p w14:paraId="120829A4">
      <w:pPr>
        <w:spacing w:line="480" w:lineRule="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Cs w:val="28"/>
        </w:rPr>
        <w:br w:type="page"/>
      </w:r>
      <w:r>
        <w:rPr>
          <w:rFonts w:hint="eastAsia" w:asciiTheme="minorEastAsia" w:hAnsiTheme="minorEastAsia" w:eastAsiaTheme="minorEastAsia" w:cstheme="minorEastAsia"/>
          <w:sz w:val="24"/>
        </w:rPr>
        <w:t>附件4</w:t>
      </w:r>
    </w:p>
    <w:p w14:paraId="5E3236B1">
      <w:pPr>
        <w:spacing w:line="48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资格性符合性检查对照表</w:t>
      </w:r>
    </w:p>
    <w:p w14:paraId="47691465">
      <w:pPr>
        <w:spacing w:line="240" w:lineRule="atLeast"/>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项目编号（包号）：</w:t>
      </w:r>
    </w:p>
    <w:p w14:paraId="25403658">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项目名称： </w:t>
      </w:r>
    </w:p>
    <w:tbl>
      <w:tblPr>
        <w:tblStyle w:val="2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0729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B7184AB">
            <w:pPr>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序号</w:t>
            </w:r>
          </w:p>
        </w:tc>
        <w:tc>
          <w:tcPr>
            <w:tcW w:w="4164" w:type="dxa"/>
            <w:vAlign w:val="center"/>
          </w:tcPr>
          <w:p w14:paraId="3CFB5E87">
            <w:pPr>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资格性符合性检查内容</w:t>
            </w:r>
          </w:p>
        </w:tc>
        <w:tc>
          <w:tcPr>
            <w:tcW w:w="1265" w:type="dxa"/>
            <w:vAlign w:val="center"/>
          </w:tcPr>
          <w:p w14:paraId="126622AF">
            <w:pPr>
              <w:ind w:left="-21" w:leftChars="-51" w:hanging="122" w:hangingChars="51"/>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响应文件响应情况</w:t>
            </w:r>
          </w:p>
        </w:tc>
        <w:tc>
          <w:tcPr>
            <w:tcW w:w="1096" w:type="dxa"/>
            <w:vAlign w:val="center"/>
          </w:tcPr>
          <w:p w14:paraId="734D4B8B">
            <w:pPr>
              <w:ind w:left="-21" w:leftChars="-51" w:hanging="122" w:hangingChars="51"/>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偏离情况说明</w:t>
            </w:r>
          </w:p>
        </w:tc>
        <w:tc>
          <w:tcPr>
            <w:tcW w:w="1541" w:type="dxa"/>
            <w:vAlign w:val="center"/>
          </w:tcPr>
          <w:p w14:paraId="775807A2">
            <w:pPr>
              <w:ind w:left="-21" w:leftChars="-51" w:hanging="122" w:hangingChars="51"/>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备注</w:t>
            </w:r>
          </w:p>
        </w:tc>
      </w:tr>
      <w:tr w14:paraId="60720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7D152D6">
            <w:pPr>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1</w:t>
            </w:r>
          </w:p>
        </w:tc>
        <w:tc>
          <w:tcPr>
            <w:tcW w:w="4164" w:type="dxa"/>
          </w:tcPr>
          <w:p w14:paraId="6463B91A">
            <w:pPr>
              <w:rPr>
                <w:rFonts w:hint="eastAsia" w:asciiTheme="minorEastAsia" w:hAnsiTheme="minorEastAsia" w:eastAsiaTheme="minorEastAsia" w:cstheme="minorEastAsia"/>
                <w:kern w:val="0"/>
                <w:sz w:val="24"/>
                <w:szCs w:val="20"/>
              </w:rPr>
            </w:pPr>
          </w:p>
        </w:tc>
        <w:tc>
          <w:tcPr>
            <w:tcW w:w="1265" w:type="dxa"/>
          </w:tcPr>
          <w:p w14:paraId="60C100B9">
            <w:pPr>
              <w:jc w:val="center"/>
              <w:rPr>
                <w:rFonts w:hint="eastAsia" w:asciiTheme="minorEastAsia" w:hAnsiTheme="minorEastAsia" w:eastAsiaTheme="minorEastAsia" w:cstheme="minorEastAsia"/>
                <w:kern w:val="0"/>
                <w:sz w:val="24"/>
                <w:szCs w:val="20"/>
              </w:rPr>
            </w:pPr>
          </w:p>
        </w:tc>
        <w:tc>
          <w:tcPr>
            <w:tcW w:w="1096" w:type="dxa"/>
          </w:tcPr>
          <w:p w14:paraId="674590B9">
            <w:pPr>
              <w:jc w:val="center"/>
              <w:rPr>
                <w:rFonts w:hint="eastAsia" w:asciiTheme="minorEastAsia" w:hAnsiTheme="minorEastAsia" w:eastAsiaTheme="minorEastAsia" w:cstheme="minorEastAsia"/>
                <w:kern w:val="0"/>
                <w:sz w:val="24"/>
                <w:szCs w:val="20"/>
              </w:rPr>
            </w:pPr>
          </w:p>
        </w:tc>
        <w:tc>
          <w:tcPr>
            <w:tcW w:w="1541" w:type="dxa"/>
            <w:vAlign w:val="center"/>
          </w:tcPr>
          <w:p w14:paraId="72CDE90A">
            <w:pPr>
              <w:ind w:left="-20" w:leftChars="-50" w:hanging="120" w:hangingChars="50"/>
              <w:jc w:val="center"/>
              <w:rPr>
                <w:rFonts w:hint="eastAsia" w:asciiTheme="minorEastAsia" w:hAnsiTheme="minorEastAsia" w:eastAsiaTheme="minorEastAsia" w:cstheme="minorEastAsia"/>
                <w:kern w:val="0"/>
                <w:sz w:val="24"/>
                <w:szCs w:val="20"/>
              </w:rPr>
            </w:pPr>
          </w:p>
        </w:tc>
      </w:tr>
      <w:tr w14:paraId="4597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210C4B4">
            <w:pPr>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2</w:t>
            </w:r>
          </w:p>
        </w:tc>
        <w:tc>
          <w:tcPr>
            <w:tcW w:w="4164" w:type="dxa"/>
          </w:tcPr>
          <w:p w14:paraId="2856DACD">
            <w:pPr>
              <w:rPr>
                <w:rFonts w:hint="eastAsia" w:asciiTheme="minorEastAsia" w:hAnsiTheme="minorEastAsia" w:eastAsiaTheme="minorEastAsia" w:cstheme="minorEastAsia"/>
                <w:kern w:val="0"/>
                <w:sz w:val="24"/>
                <w:szCs w:val="20"/>
              </w:rPr>
            </w:pPr>
          </w:p>
        </w:tc>
        <w:tc>
          <w:tcPr>
            <w:tcW w:w="1265" w:type="dxa"/>
          </w:tcPr>
          <w:p w14:paraId="2714A0CC">
            <w:pPr>
              <w:jc w:val="center"/>
              <w:rPr>
                <w:rFonts w:hint="eastAsia" w:asciiTheme="minorEastAsia" w:hAnsiTheme="minorEastAsia" w:eastAsiaTheme="minorEastAsia" w:cstheme="minorEastAsia"/>
                <w:kern w:val="0"/>
                <w:sz w:val="24"/>
                <w:szCs w:val="20"/>
              </w:rPr>
            </w:pPr>
          </w:p>
        </w:tc>
        <w:tc>
          <w:tcPr>
            <w:tcW w:w="1096" w:type="dxa"/>
          </w:tcPr>
          <w:p w14:paraId="5D698009">
            <w:pPr>
              <w:jc w:val="center"/>
              <w:rPr>
                <w:rFonts w:hint="eastAsia" w:asciiTheme="minorEastAsia" w:hAnsiTheme="minorEastAsia" w:eastAsiaTheme="minorEastAsia" w:cstheme="minorEastAsia"/>
                <w:kern w:val="0"/>
                <w:sz w:val="24"/>
                <w:szCs w:val="20"/>
              </w:rPr>
            </w:pPr>
          </w:p>
        </w:tc>
        <w:tc>
          <w:tcPr>
            <w:tcW w:w="1541" w:type="dxa"/>
            <w:vAlign w:val="center"/>
          </w:tcPr>
          <w:p w14:paraId="3361AF83">
            <w:pPr>
              <w:jc w:val="center"/>
              <w:rPr>
                <w:rFonts w:hint="eastAsia" w:asciiTheme="minorEastAsia" w:hAnsiTheme="minorEastAsia" w:eastAsiaTheme="minorEastAsia" w:cstheme="minorEastAsia"/>
                <w:kern w:val="0"/>
                <w:sz w:val="24"/>
                <w:szCs w:val="20"/>
              </w:rPr>
            </w:pPr>
          </w:p>
        </w:tc>
      </w:tr>
      <w:tr w14:paraId="1C8F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6" w:type="dxa"/>
            <w:vAlign w:val="center"/>
          </w:tcPr>
          <w:p w14:paraId="4F75FF1B">
            <w:pPr>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3</w:t>
            </w:r>
          </w:p>
        </w:tc>
        <w:tc>
          <w:tcPr>
            <w:tcW w:w="4164" w:type="dxa"/>
          </w:tcPr>
          <w:p w14:paraId="7CC89169">
            <w:pPr>
              <w:rPr>
                <w:rFonts w:hint="eastAsia" w:asciiTheme="minorEastAsia" w:hAnsiTheme="minorEastAsia" w:eastAsiaTheme="minorEastAsia" w:cstheme="minorEastAsia"/>
                <w:kern w:val="0"/>
                <w:sz w:val="24"/>
                <w:szCs w:val="20"/>
              </w:rPr>
            </w:pPr>
          </w:p>
        </w:tc>
        <w:tc>
          <w:tcPr>
            <w:tcW w:w="1265" w:type="dxa"/>
          </w:tcPr>
          <w:p w14:paraId="357F6AD9">
            <w:pPr>
              <w:jc w:val="center"/>
              <w:rPr>
                <w:rFonts w:hint="eastAsia" w:asciiTheme="minorEastAsia" w:hAnsiTheme="minorEastAsia" w:eastAsiaTheme="minorEastAsia" w:cstheme="minorEastAsia"/>
                <w:kern w:val="0"/>
                <w:sz w:val="24"/>
                <w:szCs w:val="20"/>
              </w:rPr>
            </w:pPr>
          </w:p>
        </w:tc>
        <w:tc>
          <w:tcPr>
            <w:tcW w:w="1096" w:type="dxa"/>
          </w:tcPr>
          <w:p w14:paraId="7432CA7D">
            <w:pPr>
              <w:jc w:val="center"/>
              <w:rPr>
                <w:rFonts w:hint="eastAsia" w:asciiTheme="minorEastAsia" w:hAnsiTheme="minorEastAsia" w:eastAsiaTheme="minorEastAsia" w:cstheme="minorEastAsia"/>
                <w:kern w:val="0"/>
                <w:sz w:val="24"/>
                <w:szCs w:val="20"/>
              </w:rPr>
            </w:pPr>
          </w:p>
        </w:tc>
        <w:tc>
          <w:tcPr>
            <w:tcW w:w="1541" w:type="dxa"/>
            <w:vAlign w:val="center"/>
          </w:tcPr>
          <w:p w14:paraId="5B8F1E6F">
            <w:pPr>
              <w:jc w:val="center"/>
              <w:rPr>
                <w:rFonts w:hint="eastAsia" w:asciiTheme="minorEastAsia" w:hAnsiTheme="minorEastAsia" w:eastAsiaTheme="minorEastAsia" w:cstheme="minorEastAsia"/>
                <w:kern w:val="0"/>
                <w:sz w:val="24"/>
                <w:szCs w:val="20"/>
              </w:rPr>
            </w:pPr>
          </w:p>
        </w:tc>
      </w:tr>
      <w:tr w14:paraId="2A29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83F02AF">
            <w:pPr>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w:t>
            </w:r>
          </w:p>
        </w:tc>
        <w:tc>
          <w:tcPr>
            <w:tcW w:w="4164" w:type="dxa"/>
          </w:tcPr>
          <w:p w14:paraId="3456BDAE">
            <w:pPr>
              <w:rPr>
                <w:rFonts w:hint="eastAsia" w:asciiTheme="minorEastAsia" w:hAnsiTheme="minorEastAsia" w:eastAsiaTheme="minorEastAsia" w:cstheme="minorEastAsia"/>
                <w:kern w:val="0"/>
                <w:sz w:val="24"/>
                <w:szCs w:val="20"/>
              </w:rPr>
            </w:pPr>
          </w:p>
        </w:tc>
        <w:tc>
          <w:tcPr>
            <w:tcW w:w="1265" w:type="dxa"/>
          </w:tcPr>
          <w:p w14:paraId="7EB78856">
            <w:pPr>
              <w:jc w:val="center"/>
              <w:rPr>
                <w:rFonts w:hint="eastAsia" w:asciiTheme="minorEastAsia" w:hAnsiTheme="minorEastAsia" w:eastAsiaTheme="minorEastAsia" w:cstheme="minorEastAsia"/>
                <w:kern w:val="0"/>
                <w:sz w:val="24"/>
                <w:szCs w:val="20"/>
              </w:rPr>
            </w:pPr>
          </w:p>
        </w:tc>
        <w:tc>
          <w:tcPr>
            <w:tcW w:w="1096" w:type="dxa"/>
          </w:tcPr>
          <w:p w14:paraId="61F63A0F">
            <w:pPr>
              <w:jc w:val="center"/>
              <w:rPr>
                <w:rFonts w:hint="eastAsia" w:asciiTheme="minorEastAsia" w:hAnsiTheme="minorEastAsia" w:eastAsiaTheme="minorEastAsia" w:cstheme="minorEastAsia"/>
                <w:kern w:val="0"/>
                <w:sz w:val="24"/>
                <w:szCs w:val="20"/>
              </w:rPr>
            </w:pPr>
          </w:p>
        </w:tc>
        <w:tc>
          <w:tcPr>
            <w:tcW w:w="1541" w:type="dxa"/>
            <w:vAlign w:val="center"/>
          </w:tcPr>
          <w:p w14:paraId="3E1E442A">
            <w:pPr>
              <w:jc w:val="center"/>
              <w:rPr>
                <w:rFonts w:hint="eastAsia" w:asciiTheme="minorEastAsia" w:hAnsiTheme="minorEastAsia" w:eastAsiaTheme="minorEastAsia" w:cstheme="minorEastAsia"/>
                <w:kern w:val="0"/>
                <w:sz w:val="24"/>
                <w:szCs w:val="20"/>
              </w:rPr>
            </w:pPr>
          </w:p>
        </w:tc>
      </w:tr>
      <w:tr w14:paraId="1919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3017FAD">
            <w:pPr>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5</w:t>
            </w:r>
          </w:p>
        </w:tc>
        <w:tc>
          <w:tcPr>
            <w:tcW w:w="4164" w:type="dxa"/>
          </w:tcPr>
          <w:p w14:paraId="0B8BE75E">
            <w:pPr>
              <w:rPr>
                <w:rFonts w:hint="eastAsia" w:asciiTheme="minorEastAsia" w:hAnsiTheme="minorEastAsia" w:eastAsiaTheme="minorEastAsia" w:cstheme="minorEastAsia"/>
                <w:kern w:val="0"/>
                <w:sz w:val="24"/>
                <w:szCs w:val="20"/>
              </w:rPr>
            </w:pPr>
          </w:p>
        </w:tc>
        <w:tc>
          <w:tcPr>
            <w:tcW w:w="1265" w:type="dxa"/>
          </w:tcPr>
          <w:p w14:paraId="1137BA9F">
            <w:pPr>
              <w:jc w:val="center"/>
              <w:rPr>
                <w:rFonts w:hint="eastAsia" w:asciiTheme="minorEastAsia" w:hAnsiTheme="minorEastAsia" w:eastAsiaTheme="minorEastAsia" w:cstheme="minorEastAsia"/>
                <w:kern w:val="0"/>
                <w:sz w:val="24"/>
                <w:szCs w:val="20"/>
              </w:rPr>
            </w:pPr>
          </w:p>
        </w:tc>
        <w:tc>
          <w:tcPr>
            <w:tcW w:w="1096" w:type="dxa"/>
          </w:tcPr>
          <w:p w14:paraId="21FF2574">
            <w:pPr>
              <w:jc w:val="center"/>
              <w:rPr>
                <w:rFonts w:hint="eastAsia" w:asciiTheme="minorEastAsia" w:hAnsiTheme="minorEastAsia" w:eastAsiaTheme="minorEastAsia" w:cstheme="minorEastAsia"/>
                <w:kern w:val="0"/>
                <w:sz w:val="24"/>
                <w:szCs w:val="20"/>
              </w:rPr>
            </w:pPr>
          </w:p>
        </w:tc>
        <w:tc>
          <w:tcPr>
            <w:tcW w:w="1541" w:type="dxa"/>
            <w:vAlign w:val="center"/>
          </w:tcPr>
          <w:p w14:paraId="544C95C0">
            <w:pPr>
              <w:jc w:val="center"/>
              <w:rPr>
                <w:rFonts w:hint="eastAsia" w:asciiTheme="minorEastAsia" w:hAnsiTheme="minorEastAsia" w:eastAsiaTheme="minorEastAsia" w:cstheme="minorEastAsia"/>
                <w:kern w:val="0"/>
                <w:sz w:val="24"/>
                <w:szCs w:val="20"/>
              </w:rPr>
            </w:pPr>
          </w:p>
        </w:tc>
      </w:tr>
      <w:tr w14:paraId="3920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BE72D9">
            <w:pPr>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6</w:t>
            </w:r>
          </w:p>
        </w:tc>
        <w:tc>
          <w:tcPr>
            <w:tcW w:w="4164" w:type="dxa"/>
          </w:tcPr>
          <w:p w14:paraId="3B4895A5">
            <w:pPr>
              <w:rPr>
                <w:rFonts w:hint="eastAsia" w:asciiTheme="minorEastAsia" w:hAnsiTheme="minorEastAsia" w:eastAsiaTheme="minorEastAsia" w:cstheme="minorEastAsia"/>
                <w:kern w:val="0"/>
                <w:sz w:val="24"/>
                <w:szCs w:val="20"/>
              </w:rPr>
            </w:pPr>
          </w:p>
        </w:tc>
        <w:tc>
          <w:tcPr>
            <w:tcW w:w="1265" w:type="dxa"/>
          </w:tcPr>
          <w:p w14:paraId="6AA1B83A">
            <w:pPr>
              <w:jc w:val="left"/>
              <w:rPr>
                <w:rFonts w:hint="eastAsia" w:asciiTheme="minorEastAsia" w:hAnsiTheme="minorEastAsia" w:eastAsiaTheme="minorEastAsia" w:cstheme="minorEastAsia"/>
                <w:kern w:val="0"/>
                <w:sz w:val="24"/>
                <w:szCs w:val="20"/>
              </w:rPr>
            </w:pPr>
          </w:p>
        </w:tc>
        <w:tc>
          <w:tcPr>
            <w:tcW w:w="1096" w:type="dxa"/>
          </w:tcPr>
          <w:p w14:paraId="59256861">
            <w:pPr>
              <w:jc w:val="left"/>
              <w:rPr>
                <w:rFonts w:hint="eastAsia" w:asciiTheme="minorEastAsia" w:hAnsiTheme="minorEastAsia" w:eastAsiaTheme="minorEastAsia" w:cstheme="minorEastAsia"/>
                <w:kern w:val="0"/>
                <w:sz w:val="24"/>
                <w:szCs w:val="20"/>
              </w:rPr>
            </w:pPr>
          </w:p>
        </w:tc>
        <w:tc>
          <w:tcPr>
            <w:tcW w:w="1541" w:type="dxa"/>
            <w:vAlign w:val="center"/>
          </w:tcPr>
          <w:p w14:paraId="0B222CE1">
            <w:pPr>
              <w:jc w:val="center"/>
              <w:rPr>
                <w:rFonts w:hint="eastAsia" w:asciiTheme="minorEastAsia" w:hAnsiTheme="minorEastAsia" w:eastAsiaTheme="minorEastAsia" w:cstheme="minorEastAsia"/>
                <w:kern w:val="0"/>
                <w:sz w:val="24"/>
                <w:szCs w:val="20"/>
              </w:rPr>
            </w:pPr>
          </w:p>
        </w:tc>
      </w:tr>
      <w:tr w14:paraId="18A8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6" w:type="dxa"/>
            <w:vAlign w:val="center"/>
          </w:tcPr>
          <w:p w14:paraId="2BFC10F4">
            <w:pPr>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7</w:t>
            </w:r>
          </w:p>
        </w:tc>
        <w:tc>
          <w:tcPr>
            <w:tcW w:w="4164" w:type="dxa"/>
          </w:tcPr>
          <w:p w14:paraId="002337DD">
            <w:pPr>
              <w:rPr>
                <w:rFonts w:hint="eastAsia" w:asciiTheme="minorEastAsia" w:hAnsiTheme="minorEastAsia" w:eastAsiaTheme="minorEastAsia" w:cstheme="minorEastAsia"/>
                <w:kern w:val="0"/>
                <w:sz w:val="24"/>
                <w:szCs w:val="20"/>
              </w:rPr>
            </w:pPr>
          </w:p>
        </w:tc>
        <w:tc>
          <w:tcPr>
            <w:tcW w:w="1265" w:type="dxa"/>
          </w:tcPr>
          <w:p w14:paraId="6222B6E1">
            <w:pPr>
              <w:jc w:val="left"/>
              <w:rPr>
                <w:rFonts w:hint="eastAsia" w:asciiTheme="minorEastAsia" w:hAnsiTheme="minorEastAsia" w:eastAsiaTheme="minorEastAsia" w:cstheme="minorEastAsia"/>
                <w:kern w:val="0"/>
                <w:sz w:val="24"/>
                <w:szCs w:val="20"/>
              </w:rPr>
            </w:pPr>
          </w:p>
        </w:tc>
        <w:tc>
          <w:tcPr>
            <w:tcW w:w="1096" w:type="dxa"/>
          </w:tcPr>
          <w:p w14:paraId="68CECC46">
            <w:pPr>
              <w:jc w:val="left"/>
              <w:rPr>
                <w:rFonts w:hint="eastAsia" w:asciiTheme="minorEastAsia" w:hAnsiTheme="minorEastAsia" w:eastAsiaTheme="minorEastAsia" w:cstheme="minorEastAsia"/>
                <w:kern w:val="0"/>
                <w:sz w:val="24"/>
                <w:szCs w:val="20"/>
              </w:rPr>
            </w:pPr>
          </w:p>
        </w:tc>
        <w:tc>
          <w:tcPr>
            <w:tcW w:w="1541" w:type="dxa"/>
            <w:vAlign w:val="center"/>
          </w:tcPr>
          <w:p w14:paraId="607F8F4A">
            <w:pPr>
              <w:jc w:val="center"/>
              <w:rPr>
                <w:rFonts w:hint="eastAsia" w:asciiTheme="minorEastAsia" w:hAnsiTheme="minorEastAsia" w:eastAsiaTheme="minorEastAsia" w:cstheme="minorEastAsia"/>
                <w:kern w:val="0"/>
                <w:sz w:val="24"/>
                <w:szCs w:val="20"/>
              </w:rPr>
            </w:pPr>
          </w:p>
        </w:tc>
      </w:tr>
      <w:tr w14:paraId="715D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659B229">
            <w:pPr>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8</w:t>
            </w:r>
          </w:p>
        </w:tc>
        <w:tc>
          <w:tcPr>
            <w:tcW w:w="4164" w:type="dxa"/>
          </w:tcPr>
          <w:p w14:paraId="5A148FC8">
            <w:pPr>
              <w:rPr>
                <w:rFonts w:hint="eastAsia" w:asciiTheme="minorEastAsia" w:hAnsiTheme="minorEastAsia" w:eastAsiaTheme="minorEastAsia" w:cstheme="minorEastAsia"/>
                <w:kern w:val="0"/>
                <w:sz w:val="24"/>
                <w:szCs w:val="20"/>
              </w:rPr>
            </w:pPr>
          </w:p>
        </w:tc>
        <w:tc>
          <w:tcPr>
            <w:tcW w:w="1265" w:type="dxa"/>
          </w:tcPr>
          <w:p w14:paraId="61DCD108">
            <w:pPr>
              <w:jc w:val="center"/>
              <w:rPr>
                <w:rFonts w:hint="eastAsia" w:asciiTheme="minorEastAsia" w:hAnsiTheme="minorEastAsia" w:eastAsiaTheme="minorEastAsia" w:cstheme="minorEastAsia"/>
                <w:kern w:val="0"/>
                <w:sz w:val="24"/>
                <w:szCs w:val="20"/>
              </w:rPr>
            </w:pPr>
          </w:p>
        </w:tc>
        <w:tc>
          <w:tcPr>
            <w:tcW w:w="1096" w:type="dxa"/>
          </w:tcPr>
          <w:p w14:paraId="6F4C16E4">
            <w:pPr>
              <w:jc w:val="center"/>
              <w:rPr>
                <w:rFonts w:hint="eastAsia" w:asciiTheme="minorEastAsia" w:hAnsiTheme="minorEastAsia" w:eastAsiaTheme="minorEastAsia" w:cstheme="minorEastAsia"/>
                <w:kern w:val="0"/>
                <w:sz w:val="24"/>
                <w:szCs w:val="20"/>
              </w:rPr>
            </w:pPr>
          </w:p>
        </w:tc>
        <w:tc>
          <w:tcPr>
            <w:tcW w:w="1541" w:type="dxa"/>
            <w:vAlign w:val="center"/>
          </w:tcPr>
          <w:p w14:paraId="551713C0">
            <w:pPr>
              <w:jc w:val="center"/>
              <w:rPr>
                <w:rFonts w:hint="eastAsia" w:asciiTheme="minorEastAsia" w:hAnsiTheme="minorEastAsia" w:eastAsiaTheme="minorEastAsia" w:cstheme="minorEastAsia"/>
                <w:kern w:val="0"/>
                <w:sz w:val="24"/>
                <w:szCs w:val="20"/>
              </w:rPr>
            </w:pPr>
          </w:p>
        </w:tc>
      </w:tr>
      <w:tr w14:paraId="0975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D2C1314">
            <w:pPr>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9</w:t>
            </w:r>
          </w:p>
        </w:tc>
        <w:tc>
          <w:tcPr>
            <w:tcW w:w="4164" w:type="dxa"/>
          </w:tcPr>
          <w:p w14:paraId="0EE4B937">
            <w:pPr>
              <w:rPr>
                <w:rFonts w:hint="eastAsia" w:asciiTheme="minorEastAsia" w:hAnsiTheme="minorEastAsia" w:eastAsiaTheme="minorEastAsia" w:cstheme="minorEastAsia"/>
                <w:kern w:val="0"/>
                <w:sz w:val="24"/>
                <w:szCs w:val="20"/>
              </w:rPr>
            </w:pPr>
          </w:p>
        </w:tc>
        <w:tc>
          <w:tcPr>
            <w:tcW w:w="1265" w:type="dxa"/>
          </w:tcPr>
          <w:p w14:paraId="77A22960">
            <w:pPr>
              <w:jc w:val="center"/>
              <w:rPr>
                <w:rFonts w:hint="eastAsia" w:asciiTheme="minorEastAsia" w:hAnsiTheme="minorEastAsia" w:eastAsiaTheme="minorEastAsia" w:cstheme="minorEastAsia"/>
                <w:kern w:val="0"/>
                <w:sz w:val="24"/>
                <w:szCs w:val="20"/>
              </w:rPr>
            </w:pPr>
          </w:p>
        </w:tc>
        <w:tc>
          <w:tcPr>
            <w:tcW w:w="1096" w:type="dxa"/>
          </w:tcPr>
          <w:p w14:paraId="231A4322">
            <w:pPr>
              <w:jc w:val="center"/>
              <w:rPr>
                <w:rFonts w:hint="eastAsia" w:asciiTheme="minorEastAsia" w:hAnsiTheme="minorEastAsia" w:eastAsiaTheme="minorEastAsia" w:cstheme="minorEastAsia"/>
                <w:kern w:val="0"/>
                <w:sz w:val="24"/>
                <w:szCs w:val="20"/>
              </w:rPr>
            </w:pPr>
          </w:p>
        </w:tc>
        <w:tc>
          <w:tcPr>
            <w:tcW w:w="1541" w:type="dxa"/>
            <w:vAlign w:val="center"/>
          </w:tcPr>
          <w:p w14:paraId="418E418C">
            <w:pPr>
              <w:jc w:val="center"/>
              <w:rPr>
                <w:rFonts w:hint="eastAsia" w:asciiTheme="minorEastAsia" w:hAnsiTheme="minorEastAsia" w:eastAsiaTheme="minorEastAsia" w:cstheme="minorEastAsia"/>
                <w:kern w:val="0"/>
                <w:sz w:val="24"/>
                <w:szCs w:val="20"/>
              </w:rPr>
            </w:pPr>
          </w:p>
        </w:tc>
      </w:tr>
      <w:tr w14:paraId="330C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B16007F">
            <w:pPr>
              <w:jc w:val="cente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w:t>
            </w:r>
          </w:p>
        </w:tc>
        <w:tc>
          <w:tcPr>
            <w:tcW w:w="4164" w:type="dxa"/>
          </w:tcPr>
          <w:p w14:paraId="161DFCE1">
            <w:pPr>
              <w:rPr>
                <w:rFonts w:hint="eastAsia" w:asciiTheme="minorEastAsia" w:hAnsiTheme="minorEastAsia" w:eastAsiaTheme="minorEastAsia" w:cstheme="minorEastAsia"/>
                <w:kern w:val="0"/>
                <w:sz w:val="24"/>
                <w:szCs w:val="20"/>
              </w:rPr>
            </w:pPr>
          </w:p>
        </w:tc>
        <w:tc>
          <w:tcPr>
            <w:tcW w:w="1265" w:type="dxa"/>
          </w:tcPr>
          <w:p w14:paraId="177AF738">
            <w:pPr>
              <w:jc w:val="center"/>
              <w:rPr>
                <w:rFonts w:hint="eastAsia" w:asciiTheme="minorEastAsia" w:hAnsiTheme="minorEastAsia" w:eastAsiaTheme="minorEastAsia" w:cstheme="minorEastAsia"/>
                <w:kern w:val="0"/>
                <w:sz w:val="24"/>
                <w:szCs w:val="20"/>
              </w:rPr>
            </w:pPr>
          </w:p>
        </w:tc>
        <w:tc>
          <w:tcPr>
            <w:tcW w:w="1096" w:type="dxa"/>
          </w:tcPr>
          <w:p w14:paraId="636ACAA7">
            <w:pPr>
              <w:jc w:val="center"/>
              <w:rPr>
                <w:rFonts w:hint="eastAsia" w:asciiTheme="minorEastAsia" w:hAnsiTheme="minorEastAsia" w:eastAsiaTheme="minorEastAsia" w:cstheme="minorEastAsia"/>
                <w:kern w:val="0"/>
                <w:sz w:val="24"/>
                <w:szCs w:val="20"/>
              </w:rPr>
            </w:pPr>
          </w:p>
        </w:tc>
        <w:tc>
          <w:tcPr>
            <w:tcW w:w="1541" w:type="dxa"/>
            <w:vAlign w:val="center"/>
          </w:tcPr>
          <w:p w14:paraId="12ED420F">
            <w:pPr>
              <w:jc w:val="center"/>
              <w:rPr>
                <w:rFonts w:hint="eastAsia" w:asciiTheme="minorEastAsia" w:hAnsiTheme="minorEastAsia" w:eastAsiaTheme="minorEastAsia" w:cstheme="minorEastAsia"/>
                <w:kern w:val="0"/>
                <w:sz w:val="24"/>
                <w:szCs w:val="20"/>
              </w:rPr>
            </w:pPr>
          </w:p>
        </w:tc>
      </w:tr>
      <w:tr w14:paraId="6AA2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20" w:type="dxa"/>
            <w:gridSpan w:val="2"/>
            <w:vAlign w:val="center"/>
          </w:tcPr>
          <w:p w14:paraId="6F8F4399">
            <w:pPr>
              <w:rPr>
                <w:rFonts w:hint="eastAsia"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自评结论</w:t>
            </w:r>
          </w:p>
        </w:tc>
        <w:tc>
          <w:tcPr>
            <w:tcW w:w="1265" w:type="dxa"/>
          </w:tcPr>
          <w:p w14:paraId="662136EC">
            <w:pPr>
              <w:jc w:val="center"/>
              <w:rPr>
                <w:rFonts w:hint="eastAsia" w:asciiTheme="minorEastAsia" w:hAnsiTheme="minorEastAsia" w:eastAsiaTheme="minorEastAsia" w:cstheme="minorEastAsia"/>
                <w:kern w:val="0"/>
                <w:sz w:val="24"/>
                <w:szCs w:val="20"/>
              </w:rPr>
            </w:pPr>
          </w:p>
        </w:tc>
        <w:tc>
          <w:tcPr>
            <w:tcW w:w="1096" w:type="dxa"/>
          </w:tcPr>
          <w:p w14:paraId="2344DCC5">
            <w:pPr>
              <w:jc w:val="center"/>
              <w:rPr>
                <w:rFonts w:hint="eastAsia" w:asciiTheme="minorEastAsia" w:hAnsiTheme="minorEastAsia" w:eastAsiaTheme="minorEastAsia" w:cstheme="minorEastAsia"/>
                <w:kern w:val="0"/>
                <w:sz w:val="24"/>
                <w:szCs w:val="20"/>
              </w:rPr>
            </w:pPr>
          </w:p>
        </w:tc>
        <w:tc>
          <w:tcPr>
            <w:tcW w:w="1541" w:type="dxa"/>
            <w:vAlign w:val="center"/>
          </w:tcPr>
          <w:p w14:paraId="23D62DA9">
            <w:pPr>
              <w:jc w:val="center"/>
              <w:rPr>
                <w:rFonts w:hint="eastAsia" w:asciiTheme="minorEastAsia" w:hAnsiTheme="minorEastAsia" w:eastAsiaTheme="minorEastAsia" w:cstheme="minorEastAsia"/>
                <w:kern w:val="0"/>
                <w:sz w:val="24"/>
                <w:szCs w:val="20"/>
              </w:rPr>
            </w:pPr>
          </w:p>
        </w:tc>
      </w:tr>
    </w:tbl>
    <w:p w14:paraId="762752EF">
      <w:pPr>
        <w:spacing w:line="240" w:lineRule="atLeas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说明：</w:t>
      </w:r>
    </w:p>
    <w:p w14:paraId="5DA59422">
      <w:pPr>
        <w:spacing w:line="240" w:lineRule="atLeas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 备注栏中应提供相关内容在响应文件中的页码。</w:t>
      </w:r>
    </w:p>
    <w:p w14:paraId="3430B930">
      <w:pPr>
        <w:spacing w:line="240" w:lineRule="atLeas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 应对照谈判文件的要求，逐条说明所提供资格证明文件已对谈判文件要求作出了实质性的响应，并说明响应情况。如果仅注明“符合”、“满足”或简单复制谈判文件要求，将导致响应文件无效。</w:t>
      </w:r>
    </w:p>
    <w:p w14:paraId="4C3D424D">
      <w:pPr>
        <w:spacing w:line="440" w:lineRule="exact"/>
        <w:rPr>
          <w:rFonts w:hint="eastAsia" w:asciiTheme="minorEastAsia" w:hAnsiTheme="minorEastAsia" w:eastAsiaTheme="minorEastAsia" w:cstheme="minorEastAsia"/>
          <w:sz w:val="24"/>
        </w:rPr>
      </w:pPr>
    </w:p>
    <w:p w14:paraId="652551F9">
      <w:pPr>
        <w:spacing w:line="440" w:lineRule="exact"/>
        <w:rPr>
          <w:rFonts w:hint="eastAsia" w:asciiTheme="minorEastAsia" w:hAnsiTheme="minorEastAsia" w:eastAsiaTheme="minorEastAsia" w:cstheme="minorEastAsia"/>
          <w:sz w:val="24"/>
        </w:rPr>
      </w:pPr>
    </w:p>
    <w:p w14:paraId="63C69AAA">
      <w:pPr>
        <w:spacing w:line="440" w:lineRule="exact"/>
        <w:rPr>
          <w:rFonts w:hint="eastAsia" w:asciiTheme="minorEastAsia" w:hAnsiTheme="minorEastAsia" w:eastAsiaTheme="minorEastAsia" w:cstheme="minorEastAsia"/>
          <w:sz w:val="24"/>
        </w:rPr>
      </w:pPr>
    </w:p>
    <w:p w14:paraId="55286A76">
      <w:pPr>
        <w:spacing w:line="440" w:lineRule="exact"/>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供应商名称（公章）：</w:t>
      </w:r>
    </w:p>
    <w:p w14:paraId="0A8910A1">
      <w:pPr>
        <w:spacing w:line="440" w:lineRule="exact"/>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授权代表（签字）：</w:t>
      </w:r>
    </w:p>
    <w:p w14:paraId="474FA935">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时间：</w:t>
      </w:r>
    </w:p>
    <w:p w14:paraId="561B4359">
      <w:pPr>
        <w:widowControl/>
        <w:jc w:val="left"/>
        <w:rPr>
          <w:rFonts w:hint="eastAsia" w:asciiTheme="minorEastAsia" w:hAnsiTheme="minorEastAsia" w:eastAsiaTheme="minorEastAsia" w:cstheme="minorEastAsia"/>
          <w:sz w:val="24"/>
        </w:rPr>
      </w:pPr>
    </w:p>
    <w:p w14:paraId="6EF39927">
      <w:pPr>
        <w:widowControl/>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p>
    <w:p w14:paraId="1247559F">
      <w:pPr>
        <w:spacing w:line="480" w:lineRule="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附件5</w:t>
      </w:r>
    </w:p>
    <w:p w14:paraId="55AC7054">
      <w:pPr>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技术响应、偏离情况说明表</w:t>
      </w:r>
    </w:p>
    <w:p w14:paraId="535E2FDD">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项目编号（包号）：</w:t>
      </w:r>
    </w:p>
    <w:p w14:paraId="5F5F19F5">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2ED1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5E73C2B0">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2204" w:type="dxa"/>
            <w:vAlign w:val="center"/>
          </w:tcPr>
          <w:p w14:paraId="1A00CF5A">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谈判文件要求部分</w:t>
            </w:r>
          </w:p>
        </w:tc>
        <w:tc>
          <w:tcPr>
            <w:tcW w:w="2269" w:type="dxa"/>
            <w:vAlign w:val="center"/>
          </w:tcPr>
          <w:p w14:paraId="2C1F7B60">
            <w:pPr>
              <w:ind w:leftChars="-38" w:right="-106" w:rightChars="-38" w:hanging="105" w:hangingChars="44"/>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响应文件的响应部分</w:t>
            </w:r>
          </w:p>
        </w:tc>
        <w:tc>
          <w:tcPr>
            <w:tcW w:w="1278" w:type="dxa"/>
            <w:vAlign w:val="center"/>
          </w:tcPr>
          <w:p w14:paraId="4ECCD6E2">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偏离说明</w:t>
            </w:r>
          </w:p>
        </w:tc>
        <w:tc>
          <w:tcPr>
            <w:tcW w:w="2315" w:type="dxa"/>
            <w:vAlign w:val="center"/>
          </w:tcPr>
          <w:p w14:paraId="235C811B">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备注</w:t>
            </w:r>
          </w:p>
        </w:tc>
      </w:tr>
      <w:tr w14:paraId="0A8AD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F4AB5CE">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204" w:type="dxa"/>
            <w:vAlign w:val="center"/>
          </w:tcPr>
          <w:p w14:paraId="302D7F85">
            <w:pPr>
              <w:rPr>
                <w:rFonts w:hint="eastAsia" w:asciiTheme="minorEastAsia" w:hAnsiTheme="minorEastAsia" w:eastAsiaTheme="minorEastAsia" w:cstheme="minorEastAsia"/>
                <w:sz w:val="24"/>
              </w:rPr>
            </w:pPr>
          </w:p>
        </w:tc>
        <w:tc>
          <w:tcPr>
            <w:tcW w:w="2269" w:type="dxa"/>
            <w:vAlign w:val="center"/>
          </w:tcPr>
          <w:p w14:paraId="5C81E96E">
            <w:pPr>
              <w:rPr>
                <w:rFonts w:hint="eastAsia" w:asciiTheme="minorEastAsia" w:hAnsiTheme="minorEastAsia" w:eastAsiaTheme="minorEastAsia" w:cstheme="minorEastAsia"/>
                <w:sz w:val="24"/>
              </w:rPr>
            </w:pPr>
          </w:p>
        </w:tc>
        <w:tc>
          <w:tcPr>
            <w:tcW w:w="1278" w:type="dxa"/>
            <w:vAlign w:val="center"/>
          </w:tcPr>
          <w:p w14:paraId="7EE5122D">
            <w:pPr>
              <w:rPr>
                <w:rFonts w:hint="eastAsia" w:asciiTheme="minorEastAsia" w:hAnsiTheme="minorEastAsia" w:eastAsiaTheme="minorEastAsia" w:cstheme="minorEastAsia"/>
                <w:sz w:val="24"/>
              </w:rPr>
            </w:pPr>
          </w:p>
        </w:tc>
        <w:tc>
          <w:tcPr>
            <w:tcW w:w="2315" w:type="dxa"/>
            <w:vAlign w:val="center"/>
          </w:tcPr>
          <w:p w14:paraId="34F733CC">
            <w:pPr>
              <w:jc w:val="center"/>
              <w:rPr>
                <w:rFonts w:hint="eastAsia" w:asciiTheme="minorEastAsia" w:hAnsiTheme="minorEastAsia" w:eastAsiaTheme="minorEastAsia" w:cstheme="minorEastAsia"/>
                <w:sz w:val="24"/>
              </w:rPr>
            </w:pPr>
          </w:p>
        </w:tc>
      </w:tr>
      <w:tr w14:paraId="1B500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C94C89D">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2204" w:type="dxa"/>
            <w:vAlign w:val="center"/>
          </w:tcPr>
          <w:p w14:paraId="42E0D9F8">
            <w:pPr>
              <w:rPr>
                <w:rFonts w:hint="eastAsia" w:asciiTheme="minorEastAsia" w:hAnsiTheme="minorEastAsia" w:eastAsiaTheme="minorEastAsia" w:cstheme="minorEastAsia"/>
                <w:sz w:val="24"/>
              </w:rPr>
            </w:pPr>
          </w:p>
        </w:tc>
        <w:tc>
          <w:tcPr>
            <w:tcW w:w="2269" w:type="dxa"/>
            <w:vAlign w:val="center"/>
          </w:tcPr>
          <w:p w14:paraId="4716DC01">
            <w:pPr>
              <w:rPr>
                <w:rFonts w:hint="eastAsia" w:asciiTheme="minorEastAsia" w:hAnsiTheme="minorEastAsia" w:eastAsiaTheme="minorEastAsia" w:cstheme="minorEastAsia"/>
                <w:sz w:val="24"/>
              </w:rPr>
            </w:pPr>
          </w:p>
        </w:tc>
        <w:tc>
          <w:tcPr>
            <w:tcW w:w="1278" w:type="dxa"/>
            <w:vAlign w:val="center"/>
          </w:tcPr>
          <w:p w14:paraId="5302F531">
            <w:pPr>
              <w:rPr>
                <w:rFonts w:hint="eastAsia" w:asciiTheme="minorEastAsia" w:hAnsiTheme="minorEastAsia" w:eastAsiaTheme="minorEastAsia" w:cstheme="minorEastAsia"/>
                <w:sz w:val="24"/>
              </w:rPr>
            </w:pPr>
          </w:p>
        </w:tc>
        <w:tc>
          <w:tcPr>
            <w:tcW w:w="2315" w:type="dxa"/>
            <w:vAlign w:val="center"/>
          </w:tcPr>
          <w:p w14:paraId="3385490B">
            <w:pPr>
              <w:jc w:val="center"/>
              <w:rPr>
                <w:rFonts w:hint="eastAsia" w:asciiTheme="minorEastAsia" w:hAnsiTheme="minorEastAsia" w:eastAsiaTheme="minorEastAsia" w:cstheme="minorEastAsia"/>
                <w:sz w:val="24"/>
              </w:rPr>
            </w:pPr>
          </w:p>
        </w:tc>
      </w:tr>
      <w:tr w14:paraId="6FCCE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686610F2">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w:t>
            </w:r>
          </w:p>
        </w:tc>
        <w:tc>
          <w:tcPr>
            <w:tcW w:w="2204" w:type="dxa"/>
            <w:vAlign w:val="center"/>
          </w:tcPr>
          <w:p w14:paraId="2EA5056F">
            <w:pPr>
              <w:rPr>
                <w:rFonts w:hint="eastAsia" w:asciiTheme="minorEastAsia" w:hAnsiTheme="minorEastAsia" w:eastAsiaTheme="minorEastAsia" w:cstheme="minorEastAsia"/>
                <w:sz w:val="24"/>
              </w:rPr>
            </w:pPr>
          </w:p>
        </w:tc>
        <w:tc>
          <w:tcPr>
            <w:tcW w:w="2269" w:type="dxa"/>
            <w:vAlign w:val="center"/>
          </w:tcPr>
          <w:p w14:paraId="0BCE2DEC">
            <w:pPr>
              <w:rPr>
                <w:rFonts w:hint="eastAsia" w:asciiTheme="minorEastAsia" w:hAnsiTheme="minorEastAsia" w:eastAsiaTheme="minorEastAsia" w:cstheme="minorEastAsia"/>
                <w:sz w:val="24"/>
              </w:rPr>
            </w:pPr>
          </w:p>
        </w:tc>
        <w:tc>
          <w:tcPr>
            <w:tcW w:w="1278" w:type="dxa"/>
            <w:vAlign w:val="center"/>
          </w:tcPr>
          <w:p w14:paraId="7FC46BDB">
            <w:pPr>
              <w:rPr>
                <w:rFonts w:hint="eastAsia" w:asciiTheme="minorEastAsia" w:hAnsiTheme="minorEastAsia" w:eastAsiaTheme="minorEastAsia" w:cstheme="minorEastAsia"/>
                <w:sz w:val="24"/>
              </w:rPr>
            </w:pPr>
          </w:p>
        </w:tc>
        <w:tc>
          <w:tcPr>
            <w:tcW w:w="2315" w:type="dxa"/>
            <w:vAlign w:val="center"/>
          </w:tcPr>
          <w:p w14:paraId="2D6AA872">
            <w:pPr>
              <w:jc w:val="center"/>
              <w:rPr>
                <w:rFonts w:hint="eastAsia" w:asciiTheme="minorEastAsia" w:hAnsiTheme="minorEastAsia" w:eastAsiaTheme="minorEastAsia" w:cstheme="minorEastAsia"/>
                <w:sz w:val="24"/>
              </w:rPr>
            </w:pPr>
          </w:p>
        </w:tc>
      </w:tr>
      <w:tr w14:paraId="7ABF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30E631E">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2204" w:type="dxa"/>
            <w:vAlign w:val="center"/>
          </w:tcPr>
          <w:p w14:paraId="79FD410C">
            <w:pPr>
              <w:rPr>
                <w:rFonts w:hint="eastAsia" w:asciiTheme="minorEastAsia" w:hAnsiTheme="minorEastAsia" w:eastAsiaTheme="minorEastAsia" w:cstheme="minorEastAsia"/>
                <w:sz w:val="24"/>
              </w:rPr>
            </w:pPr>
          </w:p>
        </w:tc>
        <w:tc>
          <w:tcPr>
            <w:tcW w:w="2269" w:type="dxa"/>
            <w:vAlign w:val="center"/>
          </w:tcPr>
          <w:p w14:paraId="03B570AF">
            <w:pPr>
              <w:rPr>
                <w:rFonts w:hint="eastAsia" w:asciiTheme="minorEastAsia" w:hAnsiTheme="minorEastAsia" w:eastAsiaTheme="minorEastAsia" w:cstheme="minorEastAsia"/>
                <w:sz w:val="24"/>
              </w:rPr>
            </w:pPr>
          </w:p>
        </w:tc>
        <w:tc>
          <w:tcPr>
            <w:tcW w:w="1278" w:type="dxa"/>
            <w:vAlign w:val="center"/>
          </w:tcPr>
          <w:p w14:paraId="62B09ED9">
            <w:pPr>
              <w:rPr>
                <w:rFonts w:hint="eastAsia" w:asciiTheme="minorEastAsia" w:hAnsiTheme="minorEastAsia" w:eastAsiaTheme="minorEastAsia" w:cstheme="minorEastAsia"/>
                <w:sz w:val="24"/>
              </w:rPr>
            </w:pPr>
          </w:p>
        </w:tc>
        <w:tc>
          <w:tcPr>
            <w:tcW w:w="2315" w:type="dxa"/>
            <w:vAlign w:val="center"/>
          </w:tcPr>
          <w:p w14:paraId="2CCACA4B">
            <w:pPr>
              <w:jc w:val="center"/>
              <w:rPr>
                <w:rFonts w:hint="eastAsia" w:asciiTheme="minorEastAsia" w:hAnsiTheme="minorEastAsia" w:eastAsiaTheme="minorEastAsia" w:cstheme="minorEastAsia"/>
                <w:sz w:val="24"/>
              </w:rPr>
            </w:pPr>
          </w:p>
        </w:tc>
      </w:tr>
      <w:tr w14:paraId="78DB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B30F9B9">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w:t>
            </w:r>
          </w:p>
        </w:tc>
        <w:tc>
          <w:tcPr>
            <w:tcW w:w="2204" w:type="dxa"/>
            <w:vAlign w:val="center"/>
          </w:tcPr>
          <w:p w14:paraId="40E8F22B">
            <w:pPr>
              <w:rPr>
                <w:rFonts w:hint="eastAsia" w:asciiTheme="minorEastAsia" w:hAnsiTheme="minorEastAsia" w:eastAsiaTheme="minorEastAsia" w:cstheme="minorEastAsia"/>
                <w:sz w:val="24"/>
              </w:rPr>
            </w:pPr>
          </w:p>
        </w:tc>
        <w:tc>
          <w:tcPr>
            <w:tcW w:w="2269" w:type="dxa"/>
            <w:vAlign w:val="center"/>
          </w:tcPr>
          <w:p w14:paraId="439F2BCB">
            <w:pPr>
              <w:rPr>
                <w:rFonts w:hint="eastAsia" w:asciiTheme="minorEastAsia" w:hAnsiTheme="minorEastAsia" w:eastAsiaTheme="minorEastAsia" w:cstheme="minorEastAsia"/>
                <w:sz w:val="24"/>
              </w:rPr>
            </w:pPr>
          </w:p>
        </w:tc>
        <w:tc>
          <w:tcPr>
            <w:tcW w:w="1278" w:type="dxa"/>
            <w:vAlign w:val="center"/>
          </w:tcPr>
          <w:p w14:paraId="4C5FF239">
            <w:pPr>
              <w:rPr>
                <w:rFonts w:hint="eastAsia" w:asciiTheme="minorEastAsia" w:hAnsiTheme="minorEastAsia" w:eastAsiaTheme="minorEastAsia" w:cstheme="minorEastAsia"/>
                <w:sz w:val="24"/>
              </w:rPr>
            </w:pPr>
          </w:p>
        </w:tc>
        <w:tc>
          <w:tcPr>
            <w:tcW w:w="2315" w:type="dxa"/>
            <w:vAlign w:val="center"/>
          </w:tcPr>
          <w:p w14:paraId="17DC48A1">
            <w:pPr>
              <w:jc w:val="center"/>
              <w:rPr>
                <w:rFonts w:hint="eastAsia" w:asciiTheme="minorEastAsia" w:hAnsiTheme="minorEastAsia" w:eastAsiaTheme="minorEastAsia" w:cstheme="minorEastAsia"/>
                <w:sz w:val="24"/>
              </w:rPr>
            </w:pPr>
          </w:p>
        </w:tc>
      </w:tr>
      <w:tr w14:paraId="60AB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684E770">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w:t>
            </w:r>
          </w:p>
        </w:tc>
        <w:tc>
          <w:tcPr>
            <w:tcW w:w="2204" w:type="dxa"/>
            <w:vAlign w:val="center"/>
          </w:tcPr>
          <w:p w14:paraId="33AF6478">
            <w:pPr>
              <w:rPr>
                <w:rFonts w:hint="eastAsia" w:asciiTheme="minorEastAsia" w:hAnsiTheme="minorEastAsia" w:eastAsiaTheme="minorEastAsia" w:cstheme="minorEastAsia"/>
                <w:sz w:val="24"/>
              </w:rPr>
            </w:pPr>
          </w:p>
        </w:tc>
        <w:tc>
          <w:tcPr>
            <w:tcW w:w="2269" w:type="dxa"/>
            <w:vAlign w:val="center"/>
          </w:tcPr>
          <w:p w14:paraId="6AAE0C95">
            <w:pPr>
              <w:rPr>
                <w:rFonts w:hint="eastAsia" w:asciiTheme="minorEastAsia" w:hAnsiTheme="minorEastAsia" w:eastAsiaTheme="minorEastAsia" w:cstheme="minorEastAsia"/>
                <w:sz w:val="24"/>
              </w:rPr>
            </w:pPr>
          </w:p>
        </w:tc>
        <w:tc>
          <w:tcPr>
            <w:tcW w:w="1278" w:type="dxa"/>
            <w:vAlign w:val="center"/>
          </w:tcPr>
          <w:p w14:paraId="3225AACA">
            <w:pPr>
              <w:rPr>
                <w:rFonts w:hint="eastAsia" w:asciiTheme="minorEastAsia" w:hAnsiTheme="minorEastAsia" w:eastAsiaTheme="minorEastAsia" w:cstheme="minorEastAsia"/>
                <w:sz w:val="24"/>
              </w:rPr>
            </w:pPr>
          </w:p>
        </w:tc>
        <w:tc>
          <w:tcPr>
            <w:tcW w:w="2315" w:type="dxa"/>
            <w:vAlign w:val="center"/>
          </w:tcPr>
          <w:p w14:paraId="6A15C81E">
            <w:pPr>
              <w:jc w:val="center"/>
              <w:rPr>
                <w:rFonts w:hint="eastAsia" w:asciiTheme="minorEastAsia" w:hAnsiTheme="minorEastAsia" w:eastAsiaTheme="minorEastAsia" w:cstheme="minorEastAsia"/>
                <w:sz w:val="24"/>
              </w:rPr>
            </w:pPr>
          </w:p>
        </w:tc>
      </w:tr>
      <w:tr w14:paraId="523B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ABE642">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w:t>
            </w:r>
          </w:p>
        </w:tc>
        <w:tc>
          <w:tcPr>
            <w:tcW w:w="2204" w:type="dxa"/>
            <w:vAlign w:val="center"/>
          </w:tcPr>
          <w:p w14:paraId="7DAD35C9">
            <w:pPr>
              <w:rPr>
                <w:rFonts w:hint="eastAsia" w:asciiTheme="minorEastAsia" w:hAnsiTheme="minorEastAsia" w:eastAsiaTheme="minorEastAsia" w:cstheme="minorEastAsia"/>
                <w:sz w:val="24"/>
              </w:rPr>
            </w:pPr>
          </w:p>
        </w:tc>
        <w:tc>
          <w:tcPr>
            <w:tcW w:w="2269" w:type="dxa"/>
            <w:vAlign w:val="center"/>
          </w:tcPr>
          <w:p w14:paraId="78F5489E">
            <w:pPr>
              <w:rPr>
                <w:rFonts w:hint="eastAsia" w:asciiTheme="minorEastAsia" w:hAnsiTheme="minorEastAsia" w:eastAsiaTheme="minorEastAsia" w:cstheme="minorEastAsia"/>
                <w:sz w:val="24"/>
              </w:rPr>
            </w:pPr>
          </w:p>
        </w:tc>
        <w:tc>
          <w:tcPr>
            <w:tcW w:w="1278" w:type="dxa"/>
            <w:vAlign w:val="center"/>
          </w:tcPr>
          <w:p w14:paraId="74EFC51D">
            <w:pPr>
              <w:rPr>
                <w:rFonts w:hint="eastAsia" w:asciiTheme="minorEastAsia" w:hAnsiTheme="minorEastAsia" w:eastAsiaTheme="minorEastAsia" w:cstheme="minorEastAsia"/>
                <w:sz w:val="24"/>
              </w:rPr>
            </w:pPr>
          </w:p>
        </w:tc>
        <w:tc>
          <w:tcPr>
            <w:tcW w:w="2315" w:type="dxa"/>
            <w:vAlign w:val="center"/>
          </w:tcPr>
          <w:p w14:paraId="2D69E325">
            <w:pPr>
              <w:jc w:val="center"/>
              <w:rPr>
                <w:rFonts w:hint="eastAsia" w:asciiTheme="minorEastAsia" w:hAnsiTheme="minorEastAsia" w:eastAsiaTheme="minorEastAsia" w:cstheme="minorEastAsia"/>
                <w:sz w:val="24"/>
              </w:rPr>
            </w:pPr>
          </w:p>
        </w:tc>
      </w:tr>
      <w:tr w14:paraId="13F2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C5F14C2">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w:t>
            </w:r>
          </w:p>
        </w:tc>
        <w:tc>
          <w:tcPr>
            <w:tcW w:w="2204" w:type="dxa"/>
            <w:vAlign w:val="center"/>
          </w:tcPr>
          <w:p w14:paraId="46AC4C57">
            <w:pPr>
              <w:rPr>
                <w:rFonts w:hint="eastAsia" w:asciiTheme="minorEastAsia" w:hAnsiTheme="minorEastAsia" w:eastAsiaTheme="minorEastAsia" w:cstheme="minorEastAsia"/>
                <w:sz w:val="24"/>
              </w:rPr>
            </w:pPr>
          </w:p>
        </w:tc>
        <w:tc>
          <w:tcPr>
            <w:tcW w:w="2269" w:type="dxa"/>
            <w:vAlign w:val="center"/>
          </w:tcPr>
          <w:p w14:paraId="5AF974BA">
            <w:pPr>
              <w:rPr>
                <w:rFonts w:hint="eastAsia" w:asciiTheme="minorEastAsia" w:hAnsiTheme="minorEastAsia" w:eastAsiaTheme="minorEastAsia" w:cstheme="minorEastAsia"/>
                <w:sz w:val="24"/>
              </w:rPr>
            </w:pPr>
          </w:p>
        </w:tc>
        <w:tc>
          <w:tcPr>
            <w:tcW w:w="1278" w:type="dxa"/>
            <w:vAlign w:val="center"/>
          </w:tcPr>
          <w:p w14:paraId="2EFFFC95">
            <w:pPr>
              <w:rPr>
                <w:rFonts w:hint="eastAsia" w:asciiTheme="minorEastAsia" w:hAnsiTheme="minorEastAsia" w:eastAsiaTheme="minorEastAsia" w:cstheme="minorEastAsia"/>
                <w:sz w:val="24"/>
              </w:rPr>
            </w:pPr>
          </w:p>
        </w:tc>
        <w:tc>
          <w:tcPr>
            <w:tcW w:w="2315" w:type="dxa"/>
            <w:vAlign w:val="center"/>
          </w:tcPr>
          <w:p w14:paraId="2D89A105">
            <w:pPr>
              <w:jc w:val="center"/>
              <w:rPr>
                <w:rFonts w:hint="eastAsia" w:asciiTheme="minorEastAsia" w:hAnsiTheme="minorEastAsia" w:eastAsiaTheme="minorEastAsia" w:cstheme="minorEastAsia"/>
                <w:sz w:val="24"/>
              </w:rPr>
            </w:pPr>
          </w:p>
        </w:tc>
      </w:tr>
      <w:tr w14:paraId="18CE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6BB3EB00">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w:t>
            </w:r>
          </w:p>
        </w:tc>
        <w:tc>
          <w:tcPr>
            <w:tcW w:w="2204" w:type="dxa"/>
            <w:vAlign w:val="center"/>
          </w:tcPr>
          <w:p w14:paraId="704B49EC">
            <w:pPr>
              <w:rPr>
                <w:rFonts w:hint="eastAsia" w:asciiTheme="minorEastAsia" w:hAnsiTheme="minorEastAsia" w:eastAsiaTheme="minorEastAsia" w:cstheme="minorEastAsia"/>
                <w:sz w:val="24"/>
              </w:rPr>
            </w:pPr>
          </w:p>
        </w:tc>
        <w:tc>
          <w:tcPr>
            <w:tcW w:w="2269" w:type="dxa"/>
            <w:vAlign w:val="center"/>
          </w:tcPr>
          <w:p w14:paraId="135FC45E">
            <w:pPr>
              <w:rPr>
                <w:rFonts w:hint="eastAsia" w:asciiTheme="minorEastAsia" w:hAnsiTheme="minorEastAsia" w:eastAsiaTheme="minorEastAsia" w:cstheme="minorEastAsia"/>
                <w:sz w:val="24"/>
              </w:rPr>
            </w:pPr>
          </w:p>
        </w:tc>
        <w:tc>
          <w:tcPr>
            <w:tcW w:w="1278" w:type="dxa"/>
            <w:vAlign w:val="center"/>
          </w:tcPr>
          <w:p w14:paraId="5BFD17B3">
            <w:pPr>
              <w:rPr>
                <w:rFonts w:hint="eastAsia" w:asciiTheme="minorEastAsia" w:hAnsiTheme="minorEastAsia" w:eastAsiaTheme="minorEastAsia" w:cstheme="minorEastAsia"/>
                <w:sz w:val="24"/>
              </w:rPr>
            </w:pPr>
          </w:p>
        </w:tc>
        <w:tc>
          <w:tcPr>
            <w:tcW w:w="2315" w:type="dxa"/>
            <w:vAlign w:val="center"/>
          </w:tcPr>
          <w:p w14:paraId="178307CB">
            <w:pPr>
              <w:jc w:val="center"/>
              <w:rPr>
                <w:rFonts w:hint="eastAsia" w:asciiTheme="minorEastAsia" w:hAnsiTheme="minorEastAsia" w:eastAsiaTheme="minorEastAsia" w:cstheme="minorEastAsia"/>
                <w:sz w:val="24"/>
              </w:rPr>
            </w:pPr>
          </w:p>
        </w:tc>
      </w:tr>
    </w:tbl>
    <w:p w14:paraId="4EE0364A">
      <w:pPr>
        <w:adjustRightInd w:val="0"/>
        <w:snapToGrid w:val="0"/>
        <w:ind w:left="720" w:hanging="720" w:hangingChars="3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说明：</w:t>
      </w:r>
    </w:p>
    <w:p w14:paraId="0A8F82BD">
      <w:pPr>
        <w:spacing w:line="30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 备注栏中应提供相关内容在响应文件中的页码。</w:t>
      </w:r>
    </w:p>
    <w:p w14:paraId="3E973592">
      <w:pPr>
        <w:adjustRightInd w:val="0"/>
        <w:snapToGrid w:val="0"/>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 应对照谈判文件的要求，逐条说明所提供技术文件已对谈判文件作出了实质性的响应，并说明响应情况。特别对有具体数量要求的指标，供应商必须提供具体数值。如果仅注明“符合”、“满足”或简单复制谈判文件要求，将导致响应文件无效。</w:t>
      </w:r>
    </w:p>
    <w:p w14:paraId="49EF029F">
      <w:pPr>
        <w:rPr>
          <w:rFonts w:hint="eastAsia" w:asciiTheme="minorEastAsia" w:hAnsiTheme="minorEastAsia" w:eastAsiaTheme="minorEastAsia" w:cstheme="minorEastAsia"/>
          <w:szCs w:val="28"/>
        </w:rPr>
      </w:pPr>
    </w:p>
    <w:p w14:paraId="71446CC5">
      <w:pPr>
        <w:pStyle w:val="18"/>
        <w:spacing w:line="500" w:lineRule="exact"/>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供应商名称（公章）：</w:t>
      </w:r>
    </w:p>
    <w:p w14:paraId="690DA7B1">
      <w:pPr>
        <w:pStyle w:val="18"/>
        <w:spacing w:line="500" w:lineRule="exact"/>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授权代表（签字）:</w:t>
      </w:r>
    </w:p>
    <w:p w14:paraId="4BE72151">
      <w:pPr>
        <w:spacing w:line="480" w:lineRule="auto"/>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时间：</w:t>
      </w:r>
    </w:p>
    <w:p w14:paraId="7CF60F77">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Cs w:val="28"/>
        </w:rPr>
        <w:br w:type="page"/>
      </w:r>
      <w:r>
        <w:rPr>
          <w:rFonts w:hint="eastAsia" w:asciiTheme="minorEastAsia" w:hAnsiTheme="minorEastAsia" w:eastAsiaTheme="minorEastAsia" w:cstheme="minorEastAsia"/>
          <w:sz w:val="24"/>
        </w:rPr>
        <w:t>附件6</w:t>
      </w:r>
    </w:p>
    <w:p w14:paraId="06BC4FC8">
      <w:pPr>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合同草案条款响应、偏离情况说明表</w:t>
      </w:r>
    </w:p>
    <w:p w14:paraId="014D4F67">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w:t>
      </w:r>
    </w:p>
    <w:p w14:paraId="0DEBC82F">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项目编号：</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3F39C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296B7B88">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2061" w:type="dxa"/>
            <w:vAlign w:val="center"/>
          </w:tcPr>
          <w:p w14:paraId="1B6EE830">
            <w:pPr>
              <w:ind w:right="-106" w:rightChars="-38"/>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谈判文件要求部分</w:t>
            </w:r>
          </w:p>
        </w:tc>
        <w:tc>
          <w:tcPr>
            <w:tcW w:w="2269" w:type="dxa"/>
            <w:vAlign w:val="center"/>
          </w:tcPr>
          <w:p w14:paraId="08CE381E">
            <w:pPr>
              <w:ind w:left="2" w:leftChars="-38" w:right="-106" w:rightChars="-38" w:hanging="108" w:hangingChars="45"/>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响应文件的响应部分</w:t>
            </w:r>
          </w:p>
        </w:tc>
        <w:tc>
          <w:tcPr>
            <w:tcW w:w="1277" w:type="dxa"/>
            <w:vAlign w:val="center"/>
          </w:tcPr>
          <w:p w14:paraId="6A4B9B58">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偏离说明</w:t>
            </w:r>
          </w:p>
        </w:tc>
        <w:tc>
          <w:tcPr>
            <w:tcW w:w="2459" w:type="dxa"/>
            <w:vAlign w:val="center"/>
          </w:tcPr>
          <w:p w14:paraId="71936940">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备注</w:t>
            </w:r>
          </w:p>
        </w:tc>
      </w:tr>
      <w:tr w14:paraId="0B697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5E85557">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061" w:type="dxa"/>
            <w:vAlign w:val="center"/>
          </w:tcPr>
          <w:p w14:paraId="5D1EA918">
            <w:pPr>
              <w:rPr>
                <w:rFonts w:hint="eastAsia" w:asciiTheme="minorEastAsia" w:hAnsiTheme="minorEastAsia" w:eastAsiaTheme="minorEastAsia" w:cstheme="minorEastAsia"/>
                <w:sz w:val="24"/>
              </w:rPr>
            </w:pPr>
          </w:p>
        </w:tc>
        <w:tc>
          <w:tcPr>
            <w:tcW w:w="2269" w:type="dxa"/>
            <w:vAlign w:val="center"/>
          </w:tcPr>
          <w:p w14:paraId="7C49EA49">
            <w:pPr>
              <w:rPr>
                <w:rFonts w:hint="eastAsia" w:asciiTheme="minorEastAsia" w:hAnsiTheme="minorEastAsia" w:eastAsiaTheme="minorEastAsia" w:cstheme="minorEastAsia"/>
                <w:sz w:val="24"/>
              </w:rPr>
            </w:pPr>
          </w:p>
        </w:tc>
        <w:tc>
          <w:tcPr>
            <w:tcW w:w="1277" w:type="dxa"/>
            <w:vAlign w:val="center"/>
          </w:tcPr>
          <w:p w14:paraId="3AADFA4A">
            <w:pPr>
              <w:rPr>
                <w:rFonts w:hint="eastAsia" w:asciiTheme="minorEastAsia" w:hAnsiTheme="minorEastAsia" w:eastAsiaTheme="minorEastAsia" w:cstheme="minorEastAsia"/>
                <w:sz w:val="24"/>
              </w:rPr>
            </w:pPr>
          </w:p>
        </w:tc>
        <w:tc>
          <w:tcPr>
            <w:tcW w:w="2459" w:type="dxa"/>
            <w:vAlign w:val="center"/>
          </w:tcPr>
          <w:p w14:paraId="3F67C7D1">
            <w:pPr>
              <w:jc w:val="center"/>
              <w:rPr>
                <w:rFonts w:hint="eastAsia" w:asciiTheme="minorEastAsia" w:hAnsiTheme="minorEastAsia" w:eastAsiaTheme="minorEastAsia" w:cstheme="minorEastAsia"/>
                <w:sz w:val="24"/>
              </w:rPr>
            </w:pPr>
          </w:p>
        </w:tc>
      </w:tr>
      <w:tr w14:paraId="0039E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68CA25B1">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2061" w:type="dxa"/>
            <w:vAlign w:val="center"/>
          </w:tcPr>
          <w:p w14:paraId="2E14DF01">
            <w:pPr>
              <w:rPr>
                <w:rFonts w:hint="eastAsia" w:asciiTheme="minorEastAsia" w:hAnsiTheme="minorEastAsia" w:eastAsiaTheme="minorEastAsia" w:cstheme="minorEastAsia"/>
                <w:sz w:val="24"/>
              </w:rPr>
            </w:pPr>
          </w:p>
        </w:tc>
        <w:tc>
          <w:tcPr>
            <w:tcW w:w="2269" w:type="dxa"/>
            <w:vAlign w:val="center"/>
          </w:tcPr>
          <w:p w14:paraId="71BBEBD2">
            <w:pPr>
              <w:rPr>
                <w:rFonts w:hint="eastAsia" w:asciiTheme="minorEastAsia" w:hAnsiTheme="minorEastAsia" w:eastAsiaTheme="minorEastAsia" w:cstheme="minorEastAsia"/>
                <w:sz w:val="24"/>
              </w:rPr>
            </w:pPr>
          </w:p>
        </w:tc>
        <w:tc>
          <w:tcPr>
            <w:tcW w:w="1277" w:type="dxa"/>
            <w:vAlign w:val="center"/>
          </w:tcPr>
          <w:p w14:paraId="5152DBE9">
            <w:pPr>
              <w:rPr>
                <w:rFonts w:hint="eastAsia" w:asciiTheme="minorEastAsia" w:hAnsiTheme="minorEastAsia" w:eastAsiaTheme="minorEastAsia" w:cstheme="minorEastAsia"/>
                <w:sz w:val="24"/>
              </w:rPr>
            </w:pPr>
          </w:p>
        </w:tc>
        <w:tc>
          <w:tcPr>
            <w:tcW w:w="2459" w:type="dxa"/>
            <w:vAlign w:val="center"/>
          </w:tcPr>
          <w:p w14:paraId="72CB66F6">
            <w:pPr>
              <w:jc w:val="center"/>
              <w:rPr>
                <w:rFonts w:hint="eastAsia" w:asciiTheme="minorEastAsia" w:hAnsiTheme="minorEastAsia" w:eastAsiaTheme="minorEastAsia" w:cstheme="minorEastAsia"/>
                <w:sz w:val="24"/>
              </w:rPr>
            </w:pPr>
          </w:p>
        </w:tc>
      </w:tr>
      <w:tr w14:paraId="63559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52" w:hRule="atLeast"/>
        </w:trPr>
        <w:tc>
          <w:tcPr>
            <w:tcW w:w="456" w:type="dxa"/>
            <w:vAlign w:val="center"/>
          </w:tcPr>
          <w:p w14:paraId="492330F5">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w:t>
            </w:r>
          </w:p>
        </w:tc>
        <w:tc>
          <w:tcPr>
            <w:tcW w:w="2061" w:type="dxa"/>
            <w:vAlign w:val="center"/>
          </w:tcPr>
          <w:p w14:paraId="6619F17B">
            <w:pPr>
              <w:rPr>
                <w:rFonts w:hint="eastAsia" w:asciiTheme="minorEastAsia" w:hAnsiTheme="minorEastAsia" w:eastAsiaTheme="minorEastAsia" w:cstheme="minorEastAsia"/>
                <w:sz w:val="24"/>
              </w:rPr>
            </w:pPr>
          </w:p>
        </w:tc>
        <w:tc>
          <w:tcPr>
            <w:tcW w:w="2269" w:type="dxa"/>
            <w:vAlign w:val="center"/>
          </w:tcPr>
          <w:p w14:paraId="0C51F90B">
            <w:pPr>
              <w:rPr>
                <w:rFonts w:hint="eastAsia" w:asciiTheme="minorEastAsia" w:hAnsiTheme="minorEastAsia" w:eastAsiaTheme="minorEastAsia" w:cstheme="minorEastAsia"/>
                <w:sz w:val="24"/>
              </w:rPr>
            </w:pPr>
          </w:p>
        </w:tc>
        <w:tc>
          <w:tcPr>
            <w:tcW w:w="1277" w:type="dxa"/>
            <w:vAlign w:val="center"/>
          </w:tcPr>
          <w:p w14:paraId="3FCBCA0D">
            <w:pPr>
              <w:rPr>
                <w:rFonts w:hint="eastAsia" w:asciiTheme="minorEastAsia" w:hAnsiTheme="minorEastAsia" w:eastAsiaTheme="minorEastAsia" w:cstheme="minorEastAsia"/>
                <w:sz w:val="24"/>
              </w:rPr>
            </w:pPr>
          </w:p>
        </w:tc>
        <w:tc>
          <w:tcPr>
            <w:tcW w:w="2459" w:type="dxa"/>
            <w:vAlign w:val="center"/>
          </w:tcPr>
          <w:p w14:paraId="08133143">
            <w:pPr>
              <w:jc w:val="center"/>
              <w:rPr>
                <w:rFonts w:hint="eastAsia" w:asciiTheme="minorEastAsia" w:hAnsiTheme="minorEastAsia" w:eastAsiaTheme="minorEastAsia" w:cstheme="minorEastAsia"/>
                <w:sz w:val="24"/>
              </w:rPr>
            </w:pPr>
          </w:p>
        </w:tc>
      </w:tr>
      <w:tr w14:paraId="551B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659B5000">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2061" w:type="dxa"/>
            <w:vAlign w:val="center"/>
          </w:tcPr>
          <w:p w14:paraId="1258EBB7">
            <w:pPr>
              <w:rPr>
                <w:rFonts w:hint="eastAsia" w:asciiTheme="minorEastAsia" w:hAnsiTheme="minorEastAsia" w:eastAsiaTheme="minorEastAsia" w:cstheme="minorEastAsia"/>
                <w:sz w:val="24"/>
              </w:rPr>
            </w:pPr>
          </w:p>
        </w:tc>
        <w:tc>
          <w:tcPr>
            <w:tcW w:w="2269" w:type="dxa"/>
            <w:vAlign w:val="center"/>
          </w:tcPr>
          <w:p w14:paraId="78578B8B">
            <w:pPr>
              <w:rPr>
                <w:rFonts w:hint="eastAsia" w:asciiTheme="minorEastAsia" w:hAnsiTheme="minorEastAsia" w:eastAsiaTheme="minorEastAsia" w:cstheme="minorEastAsia"/>
                <w:sz w:val="24"/>
              </w:rPr>
            </w:pPr>
          </w:p>
        </w:tc>
        <w:tc>
          <w:tcPr>
            <w:tcW w:w="1277" w:type="dxa"/>
            <w:vAlign w:val="center"/>
          </w:tcPr>
          <w:p w14:paraId="519138F3">
            <w:pPr>
              <w:rPr>
                <w:rFonts w:hint="eastAsia" w:asciiTheme="minorEastAsia" w:hAnsiTheme="minorEastAsia" w:eastAsiaTheme="minorEastAsia" w:cstheme="minorEastAsia"/>
                <w:sz w:val="24"/>
              </w:rPr>
            </w:pPr>
          </w:p>
        </w:tc>
        <w:tc>
          <w:tcPr>
            <w:tcW w:w="2459" w:type="dxa"/>
            <w:vAlign w:val="center"/>
          </w:tcPr>
          <w:p w14:paraId="4B429A05">
            <w:pPr>
              <w:jc w:val="center"/>
              <w:rPr>
                <w:rFonts w:hint="eastAsia" w:asciiTheme="minorEastAsia" w:hAnsiTheme="minorEastAsia" w:eastAsiaTheme="minorEastAsia" w:cstheme="minorEastAsia"/>
                <w:sz w:val="24"/>
              </w:rPr>
            </w:pPr>
          </w:p>
        </w:tc>
      </w:tr>
      <w:tr w14:paraId="3BDD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B11B17E">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w:t>
            </w:r>
          </w:p>
        </w:tc>
        <w:tc>
          <w:tcPr>
            <w:tcW w:w="2061" w:type="dxa"/>
            <w:vAlign w:val="center"/>
          </w:tcPr>
          <w:p w14:paraId="10D2F283">
            <w:pPr>
              <w:rPr>
                <w:rFonts w:hint="eastAsia" w:asciiTheme="minorEastAsia" w:hAnsiTheme="minorEastAsia" w:eastAsiaTheme="minorEastAsia" w:cstheme="minorEastAsia"/>
                <w:sz w:val="24"/>
              </w:rPr>
            </w:pPr>
          </w:p>
        </w:tc>
        <w:tc>
          <w:tcPr>
            <w:tcW w:w="2269" w:type="dxa"/>
            <w:vAlign w:val="center"/>
          </w:tcPr>
          <w:p w14:paraId="07AE46DD">
            <w:pPr>
              <w:rPr>
                <w:rFonts w:hint="eastAsia" w:asciiTheme="minorEastAsia" w:hAnsiTheme="minorEastAsia" w:eastAsiaTheme="minorEastAsia" w:cstheme="minorEastAsia"/>
                <w:sz w:val="24"/>
              </w:rPr>
            </w:pPr>
          </w:p>
        </w:tc>
        <w:tc>
          <w:tcPr>
            <w:tcW w:w="1277" w:type="dxa"/>
            <w:vAlign w:val="center"/>
          </w:tcPr>
          <w:p w14:paraId="43E13366">
            <w:pPr>
              <w:rPr>
                <w:rFonts w:hint="eastAsia" w:asciiTheme="minorEastAsia" w:hAnsiTheme="minorEastAsia" w:eastAsiaTheme="minorEastAsia" w:cstheme="minorEastAsia"/>
                <w:sz w:val="24"/>
              </w:rPr>
            </w:pPr>
          </w:p>
        </w:tc>
        <w:tc>
          <w:tcPr>
            <w:tcW w:w="2459" w:type="dxa"/>
            <w:vAlign w:val="center"/>
          </w:tcPr>
          <w:p w14:paraId="317DA2DA">
            <w:pPr>
              <w:jc w:val="center"/>
              <w:rPr>
                <w:rFonts w:hint="eastAsia" w:asciiTheme="minorEastAsia" w:hAnsiTheme="minorEastAsia" w:eastAsiaTheme="minorEastAsia" w:cstheme="minorEastAsia"/>
                <w:sz w:val="24"/>
              </w:rPr>
            </w:pPr>
          </w:p>
        </w:tc>
      </w:tr>
      <w:tr w14:paraId="406B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4ED20F4">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w:t>
            </w:r>
          </w:p>
        </w:tc>
        <w:tc>
          <w:tcPr>
            <w:tcW w:w="2061" w:type="dxa"/>
            <w:vAlign w:val="center"/>
          </w:tcPr>
          <w:p w14:paraId="08160204">
            <w:pPr>
              <w:rPr>
                <w:rFonts w:hint="eastAsia" w:asciiTheme="minorEastAsia" w:hAnsiTheme="minorEastAsia" w:eastAsiaTheme="minorEastAsia" w:cstheme="minorEastAsia"/>
                <w:sz w:val="24"/>
              </w:rPr>
            </w:pPr>
          </w:p>
        </w:tc>
        <w:tc>
          <w:tcPr>
            <w:tcW w:w="2269" w:type="dxa"/>
            <w:vAlign w:val="center"/>
          </w:tcPr>
          <w:p w14:paraId="4F5810F8">
            <w:pPr>
              <w:rPr>
                <w:rFonts w:hint="eastAsia" w:asciiTheme="minorEastAsia" w:hAnsiTheme="minorEastAsia" w:eastAsiaTheme="minorEastAsia" w:cstheme="minorEastAsia"/>
                <w:sz w:val="24"/>
              </w:rPr>
            </w:pPr>
          </w:p>
        </w:tc>
        <w:tc>
          <w:tcPr>
            <w:tcW w:w="1277" w:type="dxa"/>
            <w:vAlign w:val="center"/>
          </w:tcPr>
          <w:p w14:paraId="008FD8CF">
            <w:pPr>
              <w:rPr>
                <w:rFonts w:hint="eastAsia" w:asciiTheme="minorEastAsia" w:hAnsiTheme="minorEastAsia" w:eastAsiaTheme="minorEastAsia" w:cstheme="minorEastAsia"/>
                <w:sz w:val="24"/>
              </w:rPr>
            </w:pPr>
          </w:p>
        </w:tc>
        <w:tc>
          <w:tcPr>
            <w:tcW w:w="2459" w:type="dxa"/>
            <w:vAlign w:val="center"/>
          </w:tcPr>
          <w:p w14:paraId="297D2117">
            <w:pPr>
              <w:jc w:val="center"/>
              <w:rPr>
                <w:rFonts w:hint="eastAsia" w:asciiTheme="minorEastAsia" w:hAnsiTheme="minorEastAsia" w:eastAsiaTheme="minorEastAsia" w:cstheme="minorEastAsia"/>
                <w:sz w:val="24"/>
              </w:rPr>
            </w:pPr>
          </w:p>
        </w:tc>
      </w:tr>
      <w:tr w14:paraId="6212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52" w:hRule="atLeast"/>
        </w:trPr>
        <w:tc>
          <w:tcPr>
            <w:tcW w:w="456" w:type="dxa"/>
            <w:vAlign w:val="center"/>
          </w:tcPr>
          <w:p w14:paraId="6EEC7FF2">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w:t>
            </w:r>
          </w:p>
        </w:tc>
        <w:tc>
          <w:tcPr>
            <w:tcW w:w="2061" w:type="dxa"/>
            <w:vAlign w:val="center"/>
          </w:tcPr>
          <w:p w14:paraId="01F568FE">
            <w:pPr>
              <w:rPr>
                <w:rFonts w:hint="eastAsia" w:asciiTheme="minorEastAsia" w:hAnsiTheme="minorEastAsia" w:eastAsiaTheme="minorEastAsia" w:cstheme="minorEastAsia"/>
                <w:sz w:val="24"/>
              </w:rPr>
            </w:pPr>
          </w:p>
        </w:tc>
        <w:tc>
          <w:tcPr>
            <w:tcW w:w="2269" w:type="dxa"/>
            <w:vAlign w:val="center"/>
          </w:tcPr>
          <w:p w14:paraId="3EC99856">
            <w:pPr>
              <w:rPr>
                <w:rFonts w:hint="eastAsia" w:asciiTheme="minorEastAsia" w:hAnsiTheme="minorEastAsia" w:eastAsiaTheme="minorEastAsia" w:cstheme="minorEastAsia"/>
                <w:sz w:val="24"/>
              </w:rPr>
            </w:pPr>
          </w:p>
        </w:tc>
        <w:tc>
          <w:tcPr>
            <w:tcW w:w="1277" w:type="dxa"/>
            <w:vAlign w:val="center"/>
          </w:tcPr>
          <w:p w14:paraId="56E600B2">
            <w:pPr>
              <w:rPr>
                <w:rFonts w:hint="eastAsia" w:asciiTheme="minorEastAsia" w:hAnsiTheme="minorEastAsia" w:eastAsiaTheme="minorEastAsia" w:cstheme="minorEastAsia"/>
                <w:sz w:val="24"/>
              </w:rPr>
            </w:pPr>
          </w:p>
        </w:tc>
        <w:tc>
          <w:tcPr>
            <w:tcW w:w="2459" w:type="dxa"/>
            <w:vAlign w:val="center"/>
          </w:tcPr>
          <w:p w14:paraId="50B59B42">
            <w:pPr>
              <w:jc w:val="center"/>
              <w:rPr>
                <w:rFonts w:hint="eastAsia" w:asciiTheme="minorEastAsia" w:hAnsiTheme="minorEastAsia" w:eastAsiaTheme="minorEastAsia" w:cstheme="minorEastAsia"/>
                <w:sz w:val="24"/>
              </w:rPr>
            </w:pPr>
          </w:p>
        </w:tc>
      </w:tr>
      <w:tr w14:paraId="1ECC2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6A17F8DF">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w:t>
            </w:r>
          </w:p>
        </w:tc>
        <w:tc>
          <w:tcPr>
            <w:tcW w:w="2061" w:type="dxa"/>
            <w:vAlign w:val="center"/>
          </w:tcPr>
          <w:p w14:paraId="34B36C49">
            <w:pPr>
              <w:rPr>
                <w:rFonts w:hint="eastAsia" w:asciiTheme="minorEastAsia" w:hAnsiTheme="minorEastAsia" w:eastAsiaTheme="minorEastAsia" w:cstheme="minorEastAsia"/>
                <w:sz w:val="24"/>
              </w:rPr>
            </w:pPr>
          </w:p>
        </w:tc>
        <w:tc>
          <w:tcPr>
            <w:tcW w:w="2269" w:type="dxa"/>
            <w:vAlign w:val="center"/>
          </w:tcPr>
          <w:p w14:paraId="624E0E39">
            <w:pPr>
              <w:rPr>
                <w:rFonts w:hint="eastAsia" w:asciiTheme="minorEastAsia" w:hAnsiTheme="minorEastAsia" w:eastAsiaTheme="minorEastAsia" w:cstheme="minorEastAsia"/>
                <w:sz w:val="24"/>
              </w:rPr>
            </w:pPr>
          </w:p>
        </w:tc>
        <w:tc>
          <w:tcPr>
            <w:tcW w:w="1277" w:type="dxa"/>
            <w:vAlign w:val="center"/>
          </w:tcPr>
          <w:p w14:paraId="67849B83">
            <w:pPr>
              <w:rPr>
                <w:rFonts w:hint="eastAsia" w:asciiTheme="minorEastAsia" w:hAnsiTheme="minorEastAsia" w:eastAsiaTheme="minorEastAsia" w:cstheme="minorEastAsia"/>
                <w:sz w:val="24"/>
              </w:rPr>
            </w:pPr>
          </w:p>
        </w:tc>
        <w:tc>
          <w:tcPr>
            <w:tcW w:w="2459" w:type="dxa"/>
            <w:vAlign w:val="center"/>
          </w:tcPr>
          <w:p w14:paraId="654EE5A0">
            <w:pPr>
              <w:jc w:val="center"/>
              <w:rPr>
                <w:rFonts w:hint="eastAsia" w:asciiTheme="minorEastAsia" w:hAnsiTheme="minorEastAsia" w:eastAsiaTheme="minorEastAsia" w:cstheme="minorEastAsia"/>
                <w:sz w:val="24"/>
              </w:rPr>
            </w:pPr>
          </w:p>
        </w:tc>
      </w:tr>
      <w:tr w14:paraId="3E18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80ED98E">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w:t>
            </w:r>
          </w:p>
        </w:tc>
        <w:tc>
          <w:tcPr>
            <w:tcW w:w="2061" w:type="dxa"/>
            <w:vAlign w:val="center"/>
          </w:tcPr>
          <w:p w14:paraId="0CBCD95B">
            <w:pPr>
              <w:rPr>
                <w:rFonts w:hint="eastAsia" w:asciiTheme="minorEastAsia" w:hAnsiTheme="minorEastAsia" w:eastAsiaTheme="minorEastAsia" w:cstheme="minorEastAsia"/>
                <w:sz w:val="24"/>
              </w:rPr>
            </w:pPr>
          </w:p>
        </w:tc>
        <w:tc>
          <w:tcPr>
            <w:tcW w:w="2269" w:type="dxa"/>
            <w:vAlign w:val="center"/>
          </w:tcPr>
          <w:p w14:paraId="43EB3773">
            <w:pPr>
              <w:rPr>
                <w:rFonts w:hint="eastAsia" w:asciiTheme="minorEastAsia" w:hAnsiTheme="minorEastAsia" w:eastAsiaTheme="minorEastAsia" w:cstheme="minorEastAsia"/>
                <w:sz w:val="24"/>
              </w:rPr>
            </w:pPr>
          </w:p>
        </w:tc>
        <w:tc>
          <w:tcPr>
            <w:tcW w:w="1277" w:type="dxa"/>
            <w:vAlign w:val="center"/>
          </w:tcPr>
          <w:p w14:paraId="31BB03E1">
            <w:pPr>
              <w:rPr>
                <w:rFonts w:hint="eastAsia" w:asciiTheme="minorEastAsia" w:hAnsiTheme="minorEastAsia" w:eastAsiaTheme="minorEastAsia" w:cstheme="minorEastAsia"/>
                <w:sz w:val="24"/>
              </w:rPr>
            </w:pPr>
          </w:p>
        </w:tc>
        <w:tc>
          <w:tcPr>
            <w:tcW w:w="2459" w:type="dxa"/>
            <w:vAlign w:val="center"/>
          </w:tcPr>
          <w:p w14:paraId="6E90A50E">
            <w:pPr>
              <w:jc w:val="center"/>
              <w:rPr>
                <w:rFonts w:hint="eastAsia" w:asciiTheme="minorEastAsia" w:hAnsiTheme="minorEastAsia" w:eastAsiaTheme="minorEastAsia" w:cstheme="minorEastAsia"/>
                <w:sz w:val="24"/>
              </w:rPr>
            </w:pPr>
          </w:p>
        </w:tc>
      </w:tr>
    </w:tbl>
    <w:p w14:paraId="5D5CBC4A">
      <w:pPr>
        <w:pStyle w:val="16"/>
        <w:spacing w:line="300" w:lineRule="auto"/>
        <w:ind w:firstLine="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w:t>
      </w:r>
    </w:p>
    <w:p w14:paraId="49B04CD5">
      <w:pPr>
        <w:spacing w:line="30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 备注栏中应提供相关内容在响应文件中的页码。</w:t>
      </w:r>
    </w:p>
    <w:p w14:paraId="0B805B14">
      <w:pPr>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 应对照谈判文件的要求，逐条说明所提供服务已对谈判文件的合同草案条款作出了实质性的响应，并说明响应情况。特别对有具体数量要求的指标，供应商应提供具体数值。如果仅注明“符合”、“满足”或简单复制谈判文件要求，将导致响应文件无效。</w:t>
      </w:r>
    </w:p>
    <w:p w14:paraId="5632BD9F">
      <w:pPr>
        <w:spacing w:line="440" w:lineRule="exact"/>
        <w:rPr>
          <w:rFonts w:hint="eastAsia" w:asciiTheme="minorEastAsia" w:hAnsiTheme="minorEastAsia" w:eastAsiaTheme="minorEastAsia" w:cstheme="minorEastAsia"/>
          <w:sz w:val="24"/>
        </w:rPr>
      </w:pPr>
    </w:p>
    <w:p w14:paraId="73A14ECE">
      <w:pPr>
        <w:spacing w:line="440" w:lineRule="exact"/>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供应商名称（公章）：</w:t>
      </w:r>
    </w:p>
    <w:p w14:paraId="0E593112">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授权代表（签字）：</w:t>
      </w:r>
    </w:p>
    <w:p w14:paraId="0EBC3950">
      <w:pPr>
        <w:spacing w:line="4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时间：</w:t>
      </w:r>
    </w:p>
    <w:p w14:paraId="65EF6742">
      <w:pPr>
        <w:ind w:firstLine="480" w:firstLineChars="200"/>
        <w:rPr>
          <w:rFonts w:hint="eastAsia" w:asciiTheme="minorEastAsia" w:hAnsiTheme="minorEastAsia" w:eastAsiaTheme="minorEastAsia" w:cstheme="minorEastAsia"/>
          <w:sz w:val="24"/>
        </w:rPr>
      </w:pPr>
    </w:p>
    <w:p w14:paraId="2C594DD5">
      <w:pPr>
        <w:pStyle w:val="18"/>
        <w:spacing w:line="500" w:lineRule="exact"/>
        <w:rPr>
          <w:rFonts w:hint="eastAsia" w:asciiTheme="minorEastAsia" w:hAnsiTheme="minorEastAsia" w:eastAsiaTheme="minorEastAsia" w:cstheme="minorEastAsia"/>
          <w:sz w:val="24"/>
          <w:szCs w:val="24"/>
        </w:rPr>
      </w:pPr>
    </w:p>
    <w:p w14:paraId="790BABB5">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附件7</w:t>
      </w:r>
    </w:p>
    <w:p w14:paraId="4FC73BF5">
      <w:pPr>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法人（负责人）代表授权书</w:t>
      </w:r>
    </w:p>
    <w:p w14:paraId="295413ED">
      <w:pPr>
        <w:spacing w:before="156" w:beforeLines="50" w:after="312" w:afterLines="100"/>
        <w:rPr>
          <w:rFonts w:hint="eastAsia" w:asciiTheme="minorEastAsia" w:hAnsiTheme="minorEastAsia" w:eastAsiaTheme="minorEastAsia" w:cstheme="minorEastAsia"/>
          <w:sz w:val="24"/>
        </w:rPr>
      </w:pPr>
    </w:p>
    <w:p w14:paraId="198D307C">
      <w:pPr>
        <w:spacing w:before="156" w:beforeLines="50" w:after="312" w:afterLines="1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（集中采购机构名称）：</w:t>
      </w:r>
    </w:p>
    <w:p w14:paraId="5889C02A">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u w:val="single"/>
        </w:rPr>
        <w:t>（谈判供应商名称）</w:t>
      </w:r>
      <w:r>
        <w:rPr>
          <w:rFonts w:hint="eastAsia" w:asciiTheme="minorEastAsia" w:hAnsiTheme="minorEastAsia" w:eastAsiaTheme="minorEastAsia" w:cstheme="minorEastAsia"/>
          <w:sz w:val="24"/>
        </w:rPr>
        <w:t>在下面签字的（</w:t>
      </w:r>
      <w:r>
        <w:rPr>
          <w:rFonts w:hint="eastAsia" w:asciiTheme="minorEastAsia" w:hAnsiTheme="minorEastAsia" w:eastAsiaTheme="minorEastAsia" w:cstheme="minorEastAsia"/>
          <w:sz w:val="24"/>
          <w:u w:val="single"/>
        </w:rPr>
        <w:t>法定代表人姓名、职务</w:t>
      </w:r>
      <w:r>
        <w:rPr>
          <w:rFonts w:hint="eastAsia" w:asciiTheme="minorEastAsia" w:hAnsiTheme="minorEastAsia" w:eastAsiaTheme="minorEastAsia" w:cstheme="minorEastAsia"/>
          <w:sz w:val="24"/>
        </w:rPr>
        <w:t>）代表本公司授权（供应商名称）的下面签字的</w:t>
      </w:r>
      <w:r>
        <w:rPr>
          <w:rFonts w:hint="eastAsia" w:asciiTheme="minorEastAsia" w:hAnsiTheme="minorEastAsia" w:eastAsiaTheme="minorEastAsia" w:cstheme="minorEastAsia"/>
          <w:sz w:val="24"/>
          <w:u w:val="single"/>
        </w:rPr>
        <w:t>（被授权代表的姓名、职务）</w:t>
      </w:r>
      <w:r>
        <w:rPr>
          <w:rFonts w:hint="eastAsia" w:asciiTheme="minorEastAsia" w:hAnsiTheme="minorEastAsia" w:eastAsiaTheme="minorEastAsia" w:cstheme="minorEastAsia"/>
          <w:sz w:val="24"/>
        </w:rPr>
        <w:t>为本公司的合法代理人，就（</w:t>
      </w:r>
      <w:r>
        <w:rPr>
          <w:rFonts w:hint="eastAsia" w:asciiTheme="minorEastAsia" w:hAnsiTheme="minorEastAsia" w:eastAsiaTheme="minorEastAsia" w:cstheme="minorEastAsia"/>
          <w:sz w:val="24"/>
          <w:u w:val="single"/>
        </w:rPr>
        <w:t>项目名称、项目编号</w:t>
      </w:r>
      <w:r>
        <w:rPr>
          <w:rFonts w:hint="eastAsia" w:asciiTheme="minorEastAsia" w:hAnsiTheme="minorEastAsia" w:eastAsiaTheme="minorEastAsia" w:cstheme="minorEastAsia"/>
          <w:sz w:val="24"/>
        </w:rPr>
        <w:t>）的谈判，以本公司的名义处理一切与之有关的事务。</w:t>
      </w:r>
    </w:p>
    <w:p w14:paraId="379DF129">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本授权书自    年  月  日至   年  月  日止签字有效。</w:t>
      </w:r>
    </w:p>
    <w:p w14:paraId="41398CEF">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特此声明。</w:t>
      </w:r>
    </w:p>
    <w:p w14:paraId="57E07AE6">
      <w:pPr>
        <w:spacing w:before="156" w:beforeLines="50" w:after="312" w:afterLines="100" w:line="440" w:lineRule="exact"/>
        <w:rPr>
          <w:rFonts w:hint="eastAsia" w:asciiTheme="minorEastAsia" w:hAnsiTheme="minorEastAsia" w:eastAsiaTheme="minorEastAsia" w:cstheme="minorEastAsia"/>
          <w:sz w:val="24"/>
        </w:rPr>
      </w:pPr>
    </w:p>
    <w:p w14:paraId="59D7ADBC">
      <w:pPr>
        <w:spacing w:before="312" w:beforeLines="100" w:after="100" w:afterAutospacing="1"/>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委托人名称（公章）：                     被授权人（签章）：</w:t>
      </w:r>
    </w:p>
    <w:p w14:paraId="4230D984">
      <w:pPr>
        <w:spacing w:before="312" w:beforeLines="100" w:after="100" w:afterAutospacing="1"/>
        <w:ind w:firstLine="480" w:firstLineChars="200"/>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法定（负责人）代表人（签章）：           身份证号码：</w:t>
      </w:r>
    </w:p>
    <w:p w14:paraId="67157D16">
      <w:pPr>
        <w:spacing w:before="312" w:beforeLines="100" w:after="100" w:afterAutospacing="1"/>
        <w:ind w:firstLine="480" w:firstLineChars="200"/>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电话：电话（手机）：</w:t>
      </w:r>
    </w:p>
    <w:p w14:paraId="3E6C908E">
      <w:pPr>
        <w:spacing w:before="312" w:beforeLines="100" w:after="100" w:afterAutospacing="1"/>
        <w:ind w:firstLine="480" w:firstLineChars="200"/>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传真：办公电话/传真：</w:t>
      </w:r>
    </w:p>
    <w:p w14:paraId="65F27013">
      <w:pPr>
        <w:spacing w:before="156" w:beforeLines="50" w:after="312" w:afterLines="100"/>
        <w:rPr>
          <w:rFonts w:hint="eastAsia" w:asciiTheme="minorEastAsia" w:hAnsiTheme="minorEastAsia" w:eastAsiaTheme="minorEastAsia" w:cstheme="minorEastAsia"/>
          <w:sz w:val="24"/>
          <w:u w:val="single"/>
        </w:rPr>
      </w:pP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F4C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20C27699">
            <w:pPr>
              <w:spacing w:before="156" w:beforeLines="50" w:after="312" w:afterLines="1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粘贴被授权人身份证（复印件）</w:t>
            </w:r>
          </w:p>
        </w:tc>
      </w:tr>
    </w:tbl>
    <w:p w14:paraId="19FFF715">
      <w:pPr>
        <w:spacing w:before="156" w:beforeLines="50" w:after="312" w:afterLines="100"/>
        <w:rPr>
          <w:rFonts w:hint="eastAsia" w:asciiTheme="minorEastAsia" w:hAnsiTheme="minorEastAsia" w:eastAsiaTheme="minorEastAsia" w:cstheme="minorEastAsia"/>
          <w:sz w:val="24"/>
        </w:rPr>
      </w:pPr>
    </w:p>
    <w:p w14:paraId="0BB69F0C">
      <w:pPr>
        <w:spacing w:before="156" w:beforeLines="50" w:after="312" w:afterLines="1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r>
        <w:rPr>
          <w:rFonts w:hint="eastAsia" w:asciiTheme="minorEastAsia" w:hAnsiTheme="minorEastAsia" w:eastAsiaTheme="minorEastAsia" w:cstheme="minorEastAsia"/>
          <w:sz w:val="24"/>
        </w:rPr>
        <w:t>附件8</w:t>
      </w:r>
    </w:p>
    <w:p w14:paraId="78004E99">
      <w:pPr>
        <w:spacing w:line="500" w:lineRule="exact"/>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法人或者其他组织的营业执照等证明文件，自然人的</w:t>
      </w:r>
    </w:p>
    <w:p w14:paraId="3ED4291C">
      <w:pPr>
        <w:spacing w:line="500" w:lineRule="exact"/>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身份证明等证明材料</w:t>
      </w:r>
    </w:p>
    <w:p w14:paraId="6C39F5CE">
      <w:pPr>
        <w:rPr>
          <w:rFonts w:hint="eastAsia" w:asciiTheme="minorEastAsia" w:hAnsiTheme="minorEastAsia" w:eastAsiaTheme="minorEastAsia" w:cstheme="minorEastAsia"/>
          <w:szCs w:val="28"/>
        </w:rPr>
      </w:pPr>
    </w:p>
    <w:p w14:paraId="0697C97D">
      <w:pPr>
        <w:spacing w:line="440" w:lineRule="exact"/>
        <w:ind w:left="360" w:hanging="360" w:hangingChars="15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（企业法人营业执照、税务登记证，供应商是自然人的身份证明材料等）</w:t>
      </w:r>
    </w:p>
    <w:p w14:paraId="08197863">
      <w:pPr>
        <w:spacing w:line="440" w:lineRule="exact"/>
        <w:ind w:left="360" w:hanging="360" w:hangingChars="150"/>
        <w:rPr>
          <w:rFonts w:hint="eastAsia" w:asciiTheme="minorEastAsia" w:hAnsiTheme="minorEastAsia" w:eastAsiaTheme="minorEastAsia" w:cstheme="minorEastAsia"/>
          <w:sz w:val="24"/>
        </w:rPr>
      </w:pPr>
    </w:p>
    <w:p w14:paraId="542C1560">
      <w:pPr>
        <w:widowControl/>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p>
    <w:p w14:paraId="3A3CF28B">
      <w:pPr>
        <w:spacing w:line="440" w:lineRule="exact"/>
        <w:ind w:left="360" w:hanging="360" w:hangingChars="1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附件9</w:t>
      </w:r>
    </w:p>
    <w:p w14:paraId="4F31A333">
      <w:pPr>
        <w:spacing w:line="440" w:lineRule="exact"/>
        <w:ind w:left="3" w:leftChars="1" w:firstLine="480" w:firstLineChars="200"/>
        <w:rPr>
          <w:rFonts w:hint="eastAsia" w:asciiTheme="minorEastAsia" w:hAnsiTheme="minorEastAsia" w:eastAsiaTheme="minorEastAsia" w:cstheme="minorEastAsia"/>
          <w:sz w:val="24"/>
        </w:rPr>
      </w:pPr>
    </w:p>
    <w:p w14:paraId="3E4EBA2A">
      <w:pPr>
        <w:widowControl/>
        <w:jc w:val="left"/>
        <w:rPr>
          <w:rFonts w:hint="eastAsia" w:asciiTheme="minorEastAsia" w:hAnsiTheme="minorEastAsia" w:eastAsiaTheme="minorEastAsia" w:cstheme="minorEastAsia"/>
          <w:sz w:val="24"/>
        </w:rPr>
      </w:pPr>
    </w:p>
    <w:p w14:paraId="6D48A08A">
      <w:pPr>
        <w:spacing w:line="440" w:lineRule="exact"/>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具备履行合同所必需的设备和专业技术能力的</w:t>
      </w:r>
    </w:p>
    <w:p w14:paraId="1643D2AF">
      <w:pPr>
        <w:spacing w:line="440" w:lineRule="exact"/>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证明材料</w:t>
      </w:r>
    </w:p>
    <w:p w14:paraId="42F6437D">
      <w:pPr>
        <w:spacing w:line="440" w:lineRule="exact"/>
        <w:jc w:val="center"/>
        <w:rPr>
          <w:rFonts w:hint="eastAsia" w:asciiTheme="minorEastAsia" w:hAnsiTheme="minorEastAsia" w:eastAsiaTheme="minorEastAsia" w:cstheme="minorEastAsia"/>
          <w:sz w:val="32"/>
          <w:szCs w:val="32"/>
        </w:rPr>
      </w:pPr>
    </w:p>
    <w:p w14:paraId="7C87E9EC">
      <w:pPr>
        <w:spacing w:line="50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（提供履行合同所必需的设备和专业技术能力的相关文件）</w:t>
      </w:r>
    </w:p>
    <w:p w14:paraId="052608EF">
      <w:pPr>
        <w:widowControl/>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p>
    <w:p w14:paraId="1F317897">
      <w:pPr>
        <w:tabs>
          <w:tab w:val="left" w:pos="7665"/>
        </w:tabs>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sz w:val="32"/>
          <w:szCs w:val="32"/>
        </w:rPr>
        <w:t>其他资格证明文件及资料</w:t>
      </w:r>
    </w:p>
    <w:sectPr>
      <w:headerReference r:id="rId7" w:type="default"/>
      <w:footerReference r:id="rId8" w:type="default"/>
      <w:footerReference r:id="rId9"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Heiti SC Light">
    <w:altName w:val="方正书宋_GBK"/>
    <w:panose1 w:val="00000000000000000000"/>
    <w:charset w:val="80"/>
    <w:family w:val="auto"/>
    <w:pitch w:val="default"/>
    <w:sig w:usb0="00000000" w:usb1="00000000" w:usb2="00000000" w:usb3="00000000" w:csb0="203E0000" w:csb1="00000000"/>
  </w:font>
  <w:font w:name="Tahoma">
    <w:altName w:val="noto sans thai"/>
    <w:panose1 w:val="020B0604030504040204"/>
    <w:charset w:val="00"/>
    <w:family w:val="swiss"/>
    <w:pitch w:val="default"/>
    <w:sig w:usb0="00000000" w:usb1="00000000" w:usb2="00000029" w:usb3="00000000" w:csb0="000101FF" w:csb1="00000000"/>
  </w:font>
  <w:font w:name="noto sans thai">
    <w:panose1 w:val="020B0502040504020204"/>
    <w:charset w:val="00"/>
    <w:family w:val="auto"/>
    <w:pitch w:val="default"/>
    <w:sig w:usb0="81000063" w:usb1="00002000" w:usb2="00000000" w:usb3="00000000" w:csb0="00010000" w:csb1="00000000"/>
  </w:font>
  <w:font w:name="Noto Sans Mono CJK JP Regular">
    <w:panose1 w:val="020B0500000000000000"/>
    <w:charset w:val="86"/>
    <w:family w:val="auto"/>
    <w:pitch w:val="default"/>
    <w:sig w:usb0="30000003" w:usb1="2BDF3C10" w:usb2="00000016" w:usb3="00000000" w:csb0="602E0107" w:csb1="00000000"/>
  </w:font>
  <w:font w:name="仿宋_GB2312">
    <w:altName w:val="方正仿宋_GBK"/>
    <w:panose1 w:val="00000000000000000000"/>
    <w:charset w:val="86"/>
    <w:family w:val="modern"/>
    <w:pitch w:val="default"/>
    <w:sig w:usb0="00000000" w:usb1="00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8FFB4">
    <w:pPr>
      <w:pStyle w:val="20"/>
      <w:jc w:val="center"/>
    </w:pPr>
    <w:r>
      <w:fldChar w:fldCharType="begin"/>
    </w:r>
    <w:r>
      <w:instrText xml:space="preserve">PAGE   \* MERGEFORMAT</w:instrText>
    </w:r>
    <w:r>
      <w:fldChar w:fldCharType="separate"/>
    </w:r>
    <w:r>
      <w:rPr>
        <w:lang w:val="zh-CN"/>
      </w:rPr>
      <w:t>2</w:t>
    </w:r>
    <w:r>
      <w:rPr>
        <w:lang w:val="zh-CN"/>
      </w:rPr>
      <w:fldChar w:fldCharType="end"/>
    </w:r>
  </w:p>
  <w:p w14:paraId="14866AFE">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2D26E">
    <w:pPr>
      <w:framePr w:wrap="around" w:vAnchor="text" w:hAnchor="margin" w:xAlign="right" w:y="1"/>
    </w:pPr>
    <w:r>
      <w:fldChar w:fldCharType="begin"/>
    </w:r>
    <w:r>
      <w:instrText xml:space="preserve">PAGE  </w:instrText>
    </w:r>
    <w:r>
      <w:fldChar w:fldCharType="end"/>
    </w:r>
  </w:p>
  <w:p w14:paraId="0F5F7984">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ECF35">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12</w:t>
    </w:r>
    <w:r>
      <w:rPr>
        <w:kern w:val="0"/>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2F098">
    <w:pPr>
      <w:pStyle w:val="20"/>
      <w:framePr w:wrap="around" w:vAnchor="text" w:hAnchor="margin" w:xAlign="right" w:y="1"/>
      <w:rPr>
        <w:rStyle w:val="31"/>
      </w:rPr>
    </w:pPr>
    <w:r>
      <w:rPr>
        <w:rStyle w:val="31"/>
      </w:rPr>
      <w:fldChar w:fldCharType="begin"/>
    </w:r>
    <w:r>
      <w:rPr>
        <w:rStyle w:val="31"/>
      </w:rPr>
      <w:instrText xml:space="preserve">PAGE  </w:instrText>
    </w:r>
    <w:r>
      <w:rPr>
        <w:rStyle w:val="31"/>
      </w:rPr>
      <w:fldChar w:fldCharType="end"/>
    </w:r>
  </w:p>
  <w:p w14:paraId="7BC4CDFB">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3E498">
    <w:pPr>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E60AC">
    <w:pPr>
      <w:rPr>
        <w:rFonts w:ascii="仿宋_GB2312" w:eastAsia="仿宋_GB23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FC09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Y5YzU0ZWRkMmNlNWY5MTczYTExYjhkNDdiYmNhMjQifQ=="/>
  </w:docVars>
  <w:rsids>
    <w:rsidRoot w:val="00B10CEE"/>
    <w:rsid w:val="00000615"/>
    <w:rsid w:val="00005FFD"/>
    <w:rsid w:val="00007B17"/>
    <w:rsid w:val="00011C41"/>
    <w:rsid w:val="000177F1"/>
    <w:rsid w:val="0002385B"/>
    <w:rsid w:val="00024E1A"/>
    <w:rsid w:val="00026127"/>
    <w:rsid w:val="00027B5C"/>
    <w:rsid w:val="000320DE"/>
    <w:rsid w:val="00032919"/>
    <w:rsid w:val="0003616F"/>
    <w:rsid w:val="00037800"/>
    <w:rsid w:val="00041299"/>
    <w:rsid w:val="00045D5A"/>
    <w:rsid w:val="000500D9"/>
    <w:rsid w:val="00050568"/>
    <w:rsid w:val="000553A8"/>
    <w:rsid w:val="00061FBF"/>
    <w:rsid w:val="000638D5"/>
    <w:rsid w:val="00063AD6"/>
    <w:rsid w:val="00071AF3"/>
    <w:rsid w:val="0007331D"/>
    <w:rsid w:val="00074DEC"/>
    <w:rsid w:val="000765C9"/>
    <w:rsid w:val="00076BD9"/>
    <w:rsid w:val="000834C2"/>
    <w:rsid w:val="0009057C"/>
    <w:rsid w:val="00095A23"/>
    <w:rsid w:val="000A3CC6"/>
    <w:rsid w:val="000A670B"/>
    <w:rsid w:val="000B284C"/>
    <w:rsid w:val="000B3657"/>
    <w:rsid w:val="000B3D8E"/>
    <w:rsid w:val="000B403F"/>
    <w:rsid w:val="000C214F"/>
    <w:rsid w:val="000C21EB"/>
    <w:rsid w:val="000C5B15"/>
    <w:rsid w:val="000D1869"/>
    <w:rsid w:val="000E161F"/>
    <w:rsid w:val="000E21AC"/>
    <w:rsid w:val="000E41DF"/>
    <w:rsid w:val="000F3592"/>
    <w:rsid w:val="000F5347"/>
    <w:rsid w:val="001014B4"/>
    <w:rsid w:val="001048F7"/>
    <w:rsid w:val="00107957"/>
    <w:rsid w:val="00107AFB"/>
    <w:rsid w:val="001135E5"/>
    <w:rsid w:val="00115DB0"/>
    <w:rsid w:val="00117677"/>
    <w:rsid w:val="00133A4D"/>
    <w:rsid w:val="00137ED6"/>
    <w:rsid w:val="001444FE"/>
    <w:rsid w:val="00147723"/>
    <w:rsid w:val="00147D7B"/>
    <w:rsid w:val="001655DB"/>
    <w:rsid w:val="001733E1"/>
    <w:rsid w:val="001749F0"/>
    <w:rsid w:val="001770E0"/>
    <w:rsid w:val="00181D50"/>
    <w:rsid w:val="00182196"/>
    <w:rsid w:val="0018521F"/>
    <w:rsid w:val="0018673E"/>
    <w:rsid w:val="00187A58"/>
    <w:rsid w:val="0019030E"/>
    <w:rsid w:val="00193158"/>
    <w:rsid w:val="001964EC"/>
    <w:rsid w:val="001A0A20"/>
    <w:rsid w:val="001B797A"/>
    <w:rsid w:val="001C0709"/>
    <w:rsid w:val="001C2598"/>
    <w:rsid w:val="001C266C"/>
    <w:rsid w:val="001C3B1B"/>
    <w:rsid w:val="001D06A7"/>
    <w:rsid w:val="001D52B3"/>
    <w:rsid w:val="001D5BAD"/>
    <w:rsid w:val="001E365D"/>
    <w:rsid w:val="001E4F6F"/>
    <w:rsid w:val="001F0893"/>
    <w:rsid w:val="001F7336"/>
    <w:rsid w:val="00204D70"/>
    <w:rsid w:val="00206EAC"/>
    <w:rsid w:val="00210735"/>
    <w:rsid w:val="00212BB5"/>
    <w:rsid w:val="00227262"/>
    <w:rsid w:val="002316E8"/>
    <w:rsid w:val="002361E5"/>
    <w:rsid w:val="002369F0"/>
    <w:rsid w:val="00236ACA"/>
    <w:rsid w:val="0026618D"/>
    <w:rsid w:val="00270F16"/>
    <w:rsid w:val="00271374"/>
    <w:rsid w:val="00285605"/>
    <w:rsid w:val="002A4A9F"/>
    <w:rsid w:val="002A5A29"/>
    <w:rsid w:val="002A6568"/>
    <w:rsid w:val="002B43FE"/>
    <w:rsid w:val="002B6FA4"/>
    <w:rsid w:val="002E77B5"/>
    <w:rsid w:val="002F057F"/>
    <w:rsid w:val="002F22C6"/>
    <w:rsid w:val="002F2C4C"/>
    <w:rsid w:val="002F4450"/>
    <w:rsid w:val="002F7B07"/>
    <w:rsid w:val="00301514"/>
    <w:rsid w:val="003036A3"/>
    <w:rsid w:val="0030447E"/>
    <w:rsid w:val="00315079"/>
    <w:rsid w:val="00322166"/>
    <w:rsid w:val="003325EE"/>
    <w:rsid w:val="003329D9"/>
    <w:rsid w:val="0033742E"/>
    <w:rsid w:val="00343CD2"/>
    <w:rsid w:val="00345330"/>
    <w:rsid w:val="0034601D"/>
    <w:rsid w:val="00352077"/>
    <w:rsid w:val="00361C34"/>
    <w:rsid w:val="0036695E"/>
    <w:rsid w:val="00367552"/>
    <w:rsid w:val="00370D67"/>
    <w:rsid w:val="003778E0"/>
    <w:rsid w:val="003A16BC"/>
    <w:rsid w:val="003A33A7"/>
    <w:rsid w:val="003A7A9A"/>
    <w:rsid w:val="003B041C"/>
    <w:rsid w:val="003B6D39"/>
    <w:rsid w:val="003B7BF3"/>
    <w:rsid w:val="003C4D79"/>
    <w:rsid w:val="003C6C22"/>
    <w:rsid w:val="003D133C"/>
    <w:rsid w:val="003D6B22"/>
    <w:rsid w:val="003E0F70"/>
    <w:rsid w:val="003E2520"/>
    <w:rsid w:val="003E3C54"/>
    <w:rsid w:val="003F12BA"/>
    <w:rsid w:val="003F13A3"/>
    <w:rsid w:val="003F3959"/>
    <w:rsid w:val="003F50DE"/>
    <w:rsid w:val="00402CEB"/>
    <w:rsid w:val="004121CD"/>
    <w:rsid w:val="00413A79"/>
    <w:rsid w:val="0041749F"/>
    <w:rsid w:val="0042122F"/>
    <w:rsid w:val="00427193"/>
    <w:rsid w:val="0043104D"/>
    <w:rsid w:val="00432073"/>
    <w:rsid w:val="00433066"/>
    <w:rsid w:val="004346D7"/>
    <w:rsid w:val="004601AA"/>
    <w:rsid w:val="00461AA3"/>
    <w:rsid w:val="00467A55"/>
    <w:rsid w:val="00482074"/>
    <w:rsid w:val="004832D0"/>
    <w:rsid w:val="004845E2"/>
    <w:rsid w:val="00487B68"/>
    <w:rsid w:val="00490E16"/>
    <w:rsid w:val="00491219"/>
    <w:rsid w:val="00493214"/>
    <w:rsid w:val="004A2E95"/>
    <w:rsid w:val="004A4C07"/>
    <w:rsid w:val="004B1581"/>
    <w:rsid w:val="004B30C5"/>
    <w:rsid w:val="004B6F6A"/>
    <w:rsid w:val="004C4C24"/>
    <w:rsid w:val="004D1436"/>
    <w:rsid w:val="004E01E8"/>
    <w:rsid w:val="004E0CD3"/>
    <w:rsid w:val="004E792F"/>
    <w:rsid w:val="004F12D5"/>
    <w:rsid w:val="004F13D0"/>
    <w:rsid w:val="004F434D"/>
    <w:rsid w:val="004F6151"/>
    <w:rsid w:val="00506857"/>
    <w:rsid w:val="00527A9B"/>
    <w:rsid w:val="00534683"/>
    <w:rsid w:val="005466BB"/>
    <w:rsid w:val="005467A8"/>
    <w:rsid w:val="00546F17"/>
    <w:rsid w:val="005517EC"/>
    <w:rsid w:val="00553914"/>
    <w:rsid w:val="005569C8"/>
    <w:rsid w:val="00560C50"/>
    <w:rsid w:val="00565346"/>
    <w:rsid w:val="0057251E"/>
    <w:rsid w:val="00573399"/>
    <w:rsid w:val="005777EA"/>
    <w:rsid w:val="00582EDE"/>
    <w:rsid w:val="00584BF5"/>
    <w:rsid w:val="00584D80"/>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5FE7"/>
    <w:rsid w:val="005E66E3"/>
    <w:rsid w:val="005F7153"/>
    <w:rsid w:val="006124B6"/>
    <w:rsid w:val="006138C4"/>
    <w:rsid w:val="006157DD"/>
    <w:rsid w:val="00617B2D"/>
    <w:rsid w:val="00625ADB"/>
    <w:rsid w:val="00631884"/>
    <w:rsid w:val="00635655"/>
    <w:rsid w:val="00636196"/>
    <w:rsid w:val="00636576"/>
    <w:rsid w:val="006366C2"/>
    <w:rsid w:val="00641CF1"/>
    <w:rsid w:val="00646836"/>
    <w:rsid w:val="00654BE5"/>
    <w:rsid w:val="0066645A"/>
    <w:rsid w:val="0066685A"/>
    <w:rsid w:val="00666BBB"/>
    <w:rsid w:val="0067140B"/>
    <w:rsid w:val="00671465"/>
    <w:rsid w:val="00675420"/>
    <w:rsid w:val="00675509"/>
    <w:rsid w:val="0067700A"/>
    <w:rsid w:val="0067729B"/>
    <w:rsid w:val="00691AF9"/>
    <w:rsid w:val="00694469"/>
    <w:rsid w:val="006950A7"/>
    <w:rsid w:val="00695E1A"/>
    <w:rsid w:val="006A1281"/>
    <w:rsid w:val="006A2729"/>
    <w:rsid w:val="006A2CAD"/>
    <w:rsid w:val="006A573C"/>
    <w:rsid w:val="006C24F6"/>
    <w:rsid w:val="006C7310"/>
    <w:rsid w:val="006D1686"/>
    <w:rsid w:val="006D33B8"/>
    <w:rsid w:val="006D3F78"/>
    <w:rsid w:val="006D699F"/>
    <w:rsid w:val="006E037A"/>
    <w:rsid w:val="006E0B88"/>
    <w:rsid w:val="006E10CD"/>
    <w:rsid w:val="006E44BA"/>
    <w:rsid w:val="006E4AD9"/>
    <w:rsid w:val="006F1184"/>
    <w:rsid w:val="007031B2"/>
    <w:rsid w:val="007075E2"/>
    <w:rsid w:val="0071611D"/>
    <w:rsid w:val="00733253"/>
    <w:rsid w:val="00734792"/>
    <w:rsid w:val="00740F07"/>
    <w:rsid w:val="00741CFF"/>
    <w:rsid w:val="00743C97"/>
    <w:rsid w:val="00744977"/>
    <w:rsid w:val="00751368"/>
    <w:rsid w:val="00751D76"/>
    <w:rsid w:val="00754E0A"/>
    <w:rsid w:val="00766B73"/>
    <w:rsid w:val="00776770"/>
    <w:rsid w:val="00781E4D"/>
    <w:rsid w:val="007832FB"/>
    <w:rsid w:val="00784E0E"/>
    <w:rsid w:val="00786F69"/>
    <w:rsid w:val="0079176F"/>
    <w:rsid w:val="007A0A46"/>
    <w:rsid w:val="007A0BBD"/>
    <w:rsid w:val="007A4516"/>
    <w:rsid w:val="007C0B2D"/>
    <w:rsid w:val="007C5316"/>
    <w:rsid w:val="007C67FD"/>
    <w:rsid w:val="007D01BC"/>
    <w:rsid w:val="007D6035"/>
    <w:rsid w:val="007D7E94"/>
    <w:rsid w:val="007E173B"/>
    <w:rsid w:val="007E2328"/>
    <w:rsid w:val="007F0145"/>
    <w:rsid w:val="007F5F9E"/>
    <w:rsid w:val="00801764"/>
    <w:rsid w:val="008038AC"/>
    <w:rsid w:val="00812748"/>
    <w:rsid w:val="00814AB3"/>
    <w:rsid w:val="00817236"/>
    <w:rsid w:val="0081731D"/>
    <w:rsid w:val="00824951"/>
    <w:rsid w:val="00832F19"/>
    <w:rsid w:val="008338A4"/>
    <w:rsid w:val="00837418"/>
    <w:rsid w:val="008433C2"/>
    <w:rsid w:val="00847324"/>
    <w:rsid w:val="00854D16"/>
    <w:rsid w:val="00855EE4"/>
    <w:rsid w:val="00872177"/>
    <w:rsid w:val="00872C3F"/>
    <w:rsid w:val="0088104E"/>
    <w:rsid w:val="00887E4B"/>
    <w:rsid w:val="0089007C"/>
    <w:rsid w:val="00891870"/>
    <w:rsid w:val="00892B2A"/>
    <w:rsid w:val="00897533"/>
    <w:rsid w:val="008A5600"/>
    <w:rsid w:val="008A696D"/>
    <w:rsid w:val="008A7F29"/>
    <w:rsid w:val="008B2D5E"/>
    <w:rsid w:val="008B36CC"/>
    <w:rsid w:val="008B403B"/>
    <w:rsid w:val="008B41A6"/>
    <w:rsid w:val="008C07DA"/>
    <w:rsid w:val="008C5A75"/>
    <w:rsid w:val="008C6D19"/>
    <w:rsid w:val="008C78A9"/>
    <w:rsid w:val="008C7EDC"/>
    <w:rsid w:val="008D310D"/>
    <w:rsid w:val="008D3859"/>
    <w:rsid w:val="008E06F7"/>
    <w:rsid w:val="008F0BB0"/>
    <w:rsid w:val="008F2C19"/>
    <w:rsid w:val="008F2E73"/>
    <w:rsid w:val="008F463C"/>
    <w:rsid w:val="008F5276"/>
    <w:rsid w:val="008F57E8"/>
    <w:rsid w:val="0090149B"/>
    <w:rsid w:val="009042A4"/>
    <w:rsid w:val="00912A90"/>
    <w:rsid w:val="00913A31"/>
    <w:rsid w:val="0091587B"/>
    <w:rsid w:val="0092180E"/>
    <w:rsid w:val="00921D6F"/>
    <w:rsid w:val="009224B9"/>
    <w:rsid w:val="00923204"/>
    <w:rsid w:val="00923433"/>
    <w:rsid w:val="00925A4E"/>
    <w:rsid w:val="00945509"/>
    <w:rsid w:val="00945F7B"/>
    <w:rsid w:val="00950E14"/>
    <w:rsid w:val="00962F07"/>
    <w:rsid w:val="00970923"/>
    <w:rsid w:val="00972A7E"/>
    <w:rsid w:val="00974044"/>
    <w:rsid w:val="00982221"/>
    <w:rsid w:val="009824D3"/>
    <w:rsid w:val="0098339D"/>
    <w:rsid w:val="00983415"/>
    <w:rsid w:val="00984E56"/>
    <w:rsid w:val="0099290C"/>
    <w:rsid w:val="009946F7"/>
    <w:rsid w:val="009A00B8"/>
    <w:rsid w:val="009A0A20"/>
    <w:rsid w:val="009A6BBD"/>
    <w:rsid w:val="009B0A7F"/>
    <w:rsid w:val="009B0ED7"/>
    <w:rsid w:val="009B1CFC"/>
    <w:rsid w:val="009B434E"/>
    <w:rsid w:val="009C0C5D"/>
    <w:rsid w:val="009C421D"/>
    <w:rsid w:val="009C5142"/>
    <w:rsid w:val="009D7C8B"/>
    <w:rsid w:val="009E01EA"/>
    <w:rsid w:val="009E05D8"/>
    <w:rsid w:val="009E2048"/>
    <w:rsid w:val="009E27BB"/>
    <w:rsid w:val="009F534E"/>
    <w:rsid w:val="009F57DF"/>
    <w:rsid w:val="009F7AC1"/>
    <w:rsid w:val="00A0152C"/>
    <w:rsid w:val="00A016C8"/>
    <w:rsid w:val="00A07EEF"/>
    <w:rsid w:val="00A202BE"/>
    <w:rsid w:val="00A21260"/>
    <w:rsid w:val="00A270CB"/>
    <w:rsid w:val="00A3361A"/>
    <w:rsid w:val="00A37211"/>
    <w:rsid w:val="00A42EC3"/>
    <w:rsid w:val="00A50381"/>
    <w:rsid w:val="00A51053"/>
    <w:rsid w:val="00A51315"/>
    <w:rsid w:val="00A517EE"/>
    <w:rsid w:val="00A56502"/>
    <w:rsid w:val="00A57452"/>
    <w:rsid w:val="00A616B7"/>
    <w:rsid w:val="00A61FD6"/>
    <w:rsid w:val="00A71C99"/>
    <w:rsid w:val="00A756A1"/>
    <w:rsid w:val="00A77A1C"/>
    <w:rsid w:val="00A81BE9"/>
    <w:rsid w:val="00A905EA"/>
    <w:rsid w:val="00A907D4"/>
    <w:rsid w:val="00A91CF1"/>
    <w:rsid w:val="00A957E1"/>
    <w:rsid w:val="00AA6949"/>
    <w:rsid w:val="00AA7676"/>
    <w:rsid w:val="00AB1478"/>
    <w:rsid w:val="00AB44F6"/>
    <w:rsid w:val="00AB479E"/>
    <w:rsid w:val="00AB4B88"/>
    <w:rsid w:val="00AB4F86"/>
    <w:rsid w:val="00AB5E46"/>
    <w:rsid w:val="00AB62FB"/>
    <w:rsid w:val="00AC2841"/>
    <w:rsid w:val="00AC342E"/>
    <w:rsid w:val="00AC691A"/>
    <w:rsid w:val="00AD38BD"/>
    <w:rsid w:val="00AE0FED"/>
    <w:rsid w:val="00AE45A0"/>
    <w:rsid w:val="00AE69B6"/>
    <w:rsid w:val="00AE7877"/>
    <w:rsid w:val="00AF3516"/>
    <w:rsid w:val="00AF5576"/>
    <w:rsid w:val="00AF56EE"/>
    <w:rsid w:val="00AF6C96"/>
    <w:rsid w:val="00B0486A"/>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128B"/>
    <w:rsid w:val="00B56A08"/>
    <w:rsid w:val="00B637E4"/>
    <w:rsid w:val="00B658A1"/>
    <w:rsid w:val="00B764A0"/>
    <w:rsid w:val="00B77CB4"/>
    <w:rsid w:val="00B80E29"/>
    <w:rsid w:val="00B80EFB"/>
    <w:rsid w:val="00BA092B"/>
    <w:rsid w:val="00BA3BC2"/>
    <w:rsid w:val="00BA6A28"/>
    <w:rsid w:val="00BB09DF"/>
    <w:rsid w:val="00BB473D"/>
    <w:rsid w:val="00BC120D"/>
    <w:rsid w:val="00BC7360"/>
    <w:rsid w:val="00BD014E"/>
    <w:rsid w:val="00BD1078"/>
    <w:rsid w:val="00BD25D8"/>
    <w:rsid w:val="00BD6887"/>
    <w:rsid w:val="00BE09DD"/>
    <w:rsid w:val="00BE1340"/>
    <w:rsid w:val="00BE6DC4"/>
    <w:rsid w:val="00BF2FA9"/>
    <w:rsid w:val="00C016A9"/>
    <w:rsid w:val="00C016BF"/>
    <w:rsid w:val="00C04389"/>
    <w:rsid w:val="00C05C30"/>
    <w:rsid w:val="00C11B2E"/>
    <w:rsid w:val="00C2578E"/>
    <w:rsid w:val="00C27B89"/>
    <w:rsid w:val="00C353F0"/>
    <w:rsid w:val="00C42F84"/>
    <w:rsid w:val="00C440DA"/>
    <w:rsid w:val="00C444AD"/>
    <w:rsid w:val="00C47BFB"/>
    <w:rsid w:val="00C53AFF"/>
    <w:rsid w:val="00C604FC"/>
    <w:rsid w:val="00C60A53"/>
    <w:rsid w:val="00C635C3"/>
    <w:rsid w:val="00C63F6C"/>
    <w:rsid w:val="00C6463F"/>
    <w:rsid w:val="00C71C47"/>
    <w:rsid w:val="00C75214"/>
    <w:rsid w:val="00C8075B"/>
    <w:rsid w:val="00C84A1B"/>
    <w:rsid w:val="00C87101"/>
    <w:rsid w:val="00C8719B"/>
    <w:rsid w:val="00C87726"/>
    <w:rsid w:val="00C904A3"/>
    <w:rsid w:val="00C93A67"/>
    <w:rsid w:val="00C95955"/>
    <w:rsid w:val="00C95DE1"/>
    <w:rsid w:val="00CA1489"/>
    <w:rsid w:val="00CA5F94"/>
    <w:rsid w:val="00CB458D"/>
    <w:rsid w:val="00CC4B01"/>
    <w:rsid w:val="00CD1FC4"/>
    <w:rsid w:val="00CE4643"/>
    <w:rsid w:val="00CE47A6"/>
    <w:rsid w:val="00CE6AA9"/>
    <w:rsid w:val="00D01F9A"/>
    <w:rsid w:val="00D02EBB"/>
    <w:rsid w:val="00D0413F"/>
    <w:rsid w:val="00D12539"/>
    <w:rsid w:val="00D235CB"/>
    <w:rsid w:val="00D37451"/>
    <w:rsid w:val="00D404AE"/>
    <w:rsid w:val="00D43DA9"/>
    <w:rsid w:val="00D50700"/>
    <w:rsid w:val="00D509A3"/>
    <w:rsid w:val="00D53242"/>
    <w:rsid w:val="00D53B2D"/>
    <w:rsid w:val="00D56690"/>
    <w:rsid w:val="00D71C8E"/>
    <w:rsid w:val="00D74E7D"/>
    <w:rsid w:val="00D8171A"/>
    <w:rsid w:val="00D840A2"/>
    <w:rsid w:val="00D851A6"/>
    <w:rsid w:val="00D93C3A"/>
    <w:rsid w:val="00DA5C39"/>
    <w:rsid w:val="00DA6FA3"/>
    <w:rsid w:val="00DC0115"/>
    <w:rsid w:val="00DC05A5"/>
    <w:rsid w:val="00DC2FAA"/>
    <w:rsid w:val="00DC3AEE"/>
    <w:rsid w:val="00DE01BE"/>
    <w:rsid w:val="00DE287A"/>
    <w:rsid w:val="00DF0F26"/>
    <w:rsid w:val="00DF7C2F"/>
    <w:rsid w:val="00E00192"/>
    <w:rsid w:val="00E03F62"/>
    <w:rsid w:val="00E04346"/>
    <w:rsid w:val="00E226F3"/>
    <w:rsid w:val="00E239AC"/>
    <w:rsid w:val="00E24FB2"/>
    <w:rsid w:val="00E322D4"/>
    <w:rsid w:val="00E45C1B"/>
    <w:rsid w:val="00E45EBF"/>
    <w:rsid w:val="00E47A7A"/>
    <w:rsid w:val="00E519EC"/>
    <w:rsid w:val="00E553BC"/>
    <w:rsid w:val="00E568DA"/>
    <w:rsid w:val="00E70662"/>
    <w:rsid w:val="00E8218E"/>
    <w:rsid w:val="00E94523"/>
    <w:rsid w:val="00E96947"/>
    <w:rsid w:val="00EA1AEA"/>
    <w:rsid w:val="00EA3C4A"/>
    <w:rsid w:val="00EA5809"/>
    <w:rsid w:val="00EA5D05"/>
    <w:rsid w:val="00EB39FE"/>
    <w:rsid w:val="00EB7487"/>
    <w:rsid w:val="00EC0AA5"/>
    <w:rsid w:val="00ED2180"/>
    <w:rsid w:val="00ED3DD9"/>
    <w:rsid w:val="00ED46D8"/>
    <w:rsid w:val="00EE2D0A"/>
    <w:rsid w:val="00EE36EB"/>
    <w:rsid w:val="00EE48A1"/>
    <w:rsid w:val="00EE61CD"/>
    <w:rsid w:val="00EE63B1"/>
    <w:rsid w:val="00EF3523"/>
    <w:rsid w:val="00F01ACB"/>
    <w:rsid w:val="00F12BC1"/>
    <w:rsid w:val="00F179B9"/>
    <w:rsid w:val="00F20FEB"/>
    <w:rsid w:val="00F323D2"/>
    <w:rsid w:val="00F34045"/>
    <w:rsid w:val="00F35895"/>
    <w:rsid w:val="00F360DA"/>
    <w:rsid w:val="00F41141"/>
    <w:rsid w:val="00F51AE0"/>
    <w:rsid w:val="00F51B46"/>
    <w:rsid w:val="00F52724"/>
    <w:rsid w:val="00F600CA"/>
    <w:rsid w:val="00F67AD9"/>
    <w:rsid w:val="00F73098"/>
    <w:rsid w:val="00F8404C"/>
    <w:rsid w:val="00F92593"/>
    <w:rsid w:val="00F93F9A"/>
    <w:rsid w:val="00F968C6"/>
    <w:rsid w:val="00FB4BFB"/>
    <w:rsid w:val="00FC1453"/>
    <w:rsid w:val="00FD0892"/>
    <w:rsid w:val="00FD58F6"/>
    <w:rsid w:val="00FD600C"/>
    <w:rsid w:val="00FE026B"/>
    <w:rsid w:val="00FE10CF"/>
    <w:rsid w:val="00FE5A8A"/>
    <w:rsid w:val="00FE6C0D"/>
    <w:rsid w:val="00FF0CBB"/>
    <w:rsid w:val="00FF1DE8"/>
    <w:rsid w:val="00FF6097"/>
    <w:rsid w:val="00FF7603"/>
    <w:rsid w:val="01EE144E"/>
    <w:rsid w:val="02391560"/>
    <w:rsid w:val="0811112F"/>
    <w:rsid w:val="09CA5D4D"/>
    <w:rsid w:val="0D1D5845"/>
    <w:rsid w:val="0ED168E7"/>
    <w:rsid w:val="103F26ED"/>
    <w:rsid w:val="13A21894"/>
    <w:rsid w:val="13B16D89"/>
    <w:rsid w:val="14DE58BA"/>
    <w:rsid w:val="162568AA"/>
    <w:rsid w:val="19212219"/>
    <w:rsid w:val="1A34087B"/>
    <w:rsid w:val="1B23671D"/>
    <w:rsid w:val="1EFD752E"/>
    <w:rsid w:val="21CE62A0"/>
    <w:rsid w:val="21D8011F"/>
    <w:rsid w:val="260908A6"/>
    <w:rsid w:val="26977FBF"/>
    <w:rsid w:val="270D1B20"/>
    <w:rsid w:val="2710280F"/>
    <w:rsid w:val="2727187B"/>
    <w:rsid w:val="2A0E2346"/>
    <w:rsid w:val="2B6D12EE"/>
    <w:rsid w:val="2C8763E0"/>
    <w:rsid w:val="2DDE2D95"/>
    <w:rsid w:val="2E00644A"/>
    <w:rsid w:val="2EC21951"/>
    <w:rsid w:val="2FDC6A42"/>
    <w:rsid w:val="2FDF7CC0"/>
    <w:rsid w:val="31345D27"/>
    <w:rsid w:val="3401531B"/>
    <w:rsid w:val="349B3AC0"/>
    <w:rsid w:val="35270760"/>
    <w:rsid w:val="35C10A7F"/>
    <w:rsid w:val="36EA0C33"/>
    <w:rsid w:val="37937B8C"/>
    <w:rsid w:val="37A147F9"/>
    <w:rsid w:val="38934A8A"/>
    <w:rsid w:val="3E446852"/>
    <w:rsid w:val="3E9738A1"/>
    <w:rsid w:val="3F62080C"/>
    <w:rsid w:val="42B143BC"/>
    <w:rsid w:val="43192030"/>
    <w:rsid w:val="4415656C"/>
    <w:rsid w:val="45B13434"/>
    <w:rsid w:val="45D70977"/>
    <w:rsid w:val="483E1FB7"/>
    <w:rsid w:val="496C2383"/>
    <w:rsid w:val="4B245750"/>
    <w:rsid w:val="4EB26115"/>
    <w:rsid w:val="50854860"/>
    <w:rsid w:val="51835EA4"/>
    <w:rsid w:val="51E952C3"/>
    <w:rsid w:val="53BA72BA"/>
    <w:rsid w:val="56E322E1"/>
    <w:rsid w:val="58636A07"/>
    <w:rsid w:val="59644745"/>
    <w:rsid w:val="59C7179C"/>
    <w:rsid w:val="5A9F7C3A"/>
    <w:rsid w:val="5ACC4545"/>
    <w:rsid w:val="5B856795"/>
    <w:rsid w:val="5C875EBC"/>
    <w:rsid w:val="5F7C25C2"/>
    <w:rsid w:val="658904F7"/>
    <w:rsid w:val="65D4530E"/>
    <w:rsid w:val="6A1C18D2"/>
    <w:rsid w:val="6E875380"/>
    <w:rsid w:val="6EA15ED3"/>
    <w:rsid w:val="6FCD36D6"/>
    <w:rsid w:val="74626DDE"/>
    <w:rsid w:val="748974D9"/>
    <w:rsid w:val="757F09E9"/>
    <w:rsid w:val="76E45EEC"/>
    <w:rsid w:val="784D3606"/>
    <w:rsid w:val="78F16688"/>
    <w:rsid w:val="7B0C77A9"/>
    <w:rsid w:val="7DAA9C3B"/>
    <w:rsid w:val="7E30493E"/>
    <w:rsid w:val="7F354F5B"/>
    <w:rsid w:val="7F481651"/>
    <w:rsid w:val="7FA3AE9E"/>
    <w:rsid w:val="7FB17A9E"/>
    <w:rsid w:val="E777B0A1"/>
    <w:rsid w:val="EDB7E1C6"/>
    <w:rsid w:val="F7BB559E"/>
    <w:rsid w:val="FAF7B53E"/>
    <w:rsid w:val="FBB72CC3"/>
    <w:rsid w:val="FBCFF242"/>
    <w:rsid w:val="FEDF6E77"/>
    <w:rsid w:val="FF6B66E4"/>
    <w:rsid w:val="FF6DF2D2"/>
    <w:rsid w:val="FFFF36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8"/>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9"/>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90"/>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1"/>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2"/>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3"/>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4"/>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5"/>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6"/>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99"/>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7"/>
    <w:semiHidden/>
    <w:qFormat/>
    <w:uiPriority w:val="0"/>
    <w:rPr>
      <w:rFonts w:ascii="Heiti SC Light" w:hAnsi="Calibri" w:eastAsia="Times New Roman"/>
      <w:sz w:val="24"/>
    </w:rPr>
  </w:style>
  <w:style w:type="paragraph" w:styleId="14">
    <w:name w:val="annotation text"/>
    <w:basedOn w:val="1"/>
    <w:link w:val="98"/>
    <w:qFormat/>
    <w:uiPriority w:val="0"/>
    <w:pPr>
      <w:jc w:val="left"/>
    </w:pPr>
    <w:rPr>
      <w:rFonts w:ascii="Calibri" w:hAnsi="Calibri" w:cs="黑体"/>
      <w:szCs w:val="22"/>
    </w:rPr>
  </w:style>
  <w:style w:type="paragraph" w:styleId="15">
    <w:name w:val="Body Text"/>
    <w:basedOn w:val="1"/>
    <w:link w:val="102"/>
    <w:qFormat/>
    <w:uiPriority w:val="0"/>
    <w:pPr>
      <w:spacing w:line="360" w:lineRule="auto"/>
      <w:ind w:firstLine="200" w:firstLineChars="200"/>
    </w:pPr>
    <w:rPr>
      <w:sz w:val="24"/>
    </w:rPr>
  </w:style>
  <w:style w:type="paragraph" w:styleId="16">
    <w:name w:val="Body Text Indent"/>
    <w:basedOn w:val="1"/>
    <w:link w:val="86"/>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5"/>
    <w:qFormat/>
    <w:uiPriority w:val="0"/>
    <w:rPr>
      <w:rFonts w:ascii="宋体" w:hAnsi="Courier New" w:cs="Courier New"/>
      <w:sz w:val="21"/>
      <w:szCs w:val="21"/>
    </w:rPr>
  </w:style>
  <w:style w:type="paragraph" w:styleId="19">
    <w:name w:val="Balloon Text"/>
    <w:basedOn w:val="1"/>
    <w:link w:val="87"/>
    <w:unhideWhenUsed/>
    <w:qFormat/>
    <w:uiPriority w:val="0"/>
    <w:rPr>
      <w:sz w:val="18"/>
      <w:szCs w:val="18"/>
    </w:rPr>
  </w:style>
  <w:style w:type="paragraph" w:styleId="20">
    <w:name w:val="footer"/>
    <w:basedOn w:val="1"/>
    <w:link w:val="84"/>
    <w:qFormat/>
    <w:uiPriority w:val="99"/>
    <w:pPr>
      <w:tabs>
        <w:tab w:val="center" w:pos="4153"/>
        <w:tab w:val="right" w:pos="8306"/>
      </w:tabs>
      <w:snapToGrid w:val="0"/>
      <w:jc w:val="left"/>
    </w:pPr>
    <w:rPr>
      <w:sz w:val="18"/>
      <w:szCs w:val="18"/>
    </w:rPr>
  </w:style>
  <w:style w:type="paragraph" w:styleId="21">
    <w:name w:val="header"/>
    <w:basedOn w:val="1"/>
    <w:link w:val="107"/>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 w:val="21"/>
    </w:rPr>
  </w:style>
  <w:style w:type="paragraph" w:styleId="23">
    <w:name w:val="Subtitle"/>
    <w:basedOn w:val="1"/>
    <w:next w:val="1"/>
    <w:link w:val="110"/>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24">
    <w:name w:val="Body Text Indent 3"/>
    <w:basedOn w:val="1"/>
    <w:link w:val="104"/>
    <w:qFormat/>
    <w:uiPriority w:val="0"/>
    <w:pPr>
      <w:spacing w:after="120"/>
      <w:ind w:left="420" w:leftChars="200"/>
    </w:pPr>
    <w:rPr>
      <w:sz w:val="16"/>
      <w:szCs w:val="16"/>
    </w:rPr>
  </w:style>
  <w:style w:type="paragraph" w:styleId="25">
    <w:name w:val="Normal (Web)"/>
    <w:basedOn w:val="1"/>
    <w:qFormat/>
    <w:uiPriority w:val="0"/>
    <w:rPr>
      <w:sz w:val="24"/>
      <w:szCs w:val="20"/>
    </w:rPr>
  </w:style>
  <w:style w:type="paragraph" w:styleId="26">
    <w:name w:val="Title"/>
    <w:basedOn w:val="1"/>
    <w:next w:val="1"/>
    <w:link w:val="105"/>
    <w:qFormat/>
    <w:uiPriority w:val="0"/>
    <w:pPr>
      <w:spacing w:before="240" w:after="60"/>
      <w:jc w:val="center"/>
      <w:outlineLvl w:val="0"/>
    </w:pPr>
    <w:rPr>
      <w:rFonts w:ascii="Cambria" w:hAnsi="Cambria"/>
      <w:b/>
      <w:bCs/>
      <w:sz w:val="32"/>
      <w:szCs w:val="32"/>
    </w:rPr>
  </w:style>
  <w:style w:type="paragraph" w:styleId="27">
    <w:name w:val="annotation subject"/>
    <w:basedOn w:val="14"/>
    <w:next w:val="14"/>
    <w:link w:val="108"/>
    <w:unhideWhenUsed/>
    <w:qFormat/>
    <w:uiPriority w:val="99"/>
    <w:rPr>
      <w:rFonts w:ascii="Times New Roman" w:hAnsi="Times New Roman" w:cs="Times New Roman"/>
      <w:b/>
      <w:bCs/>
      <w:szCs w:val="24"/>
    </w:rPr>
  </w:style>
  <w:style w:type="table" w:styleId="29">
    <w:name w:val="Table Grid"/>
    <w:basedOn w:val="28"/>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page number"/>
    <w:qFormat/>
    <w:uiPriority w:val="0"/>
  </w:style>
  <w:style w:type="character" w:styleId="32">
    <w:name w:val="FollowedHyperlink"/>
    <w:qFormat/>
    <w:uiPriority w:val="99"/>
    <w:rPr>
      <w:color w:val="800080"/>
      <w:u w:val="single"/>
    </w:rPr>
  </w:style>
  <w:style w:type="character" w:styleId="33">
    <w:name w:val="Hyperlink"/>
    <w:qFormat/>
    <w:uiPriority w:val="99"/>
    <w:rPr>
      <w:color w:val="0000FF"/>
      <w:u w:val="single"/>
    </w:rPr>
  </w:style>
  <w:style w:type="character" w:styleId="34">
    <w:name w:val="annotation reference"/>
    <w:qFormat/>
    <w:uiPriority w:val="0"/>
    <w:rPr>
      <w:sz w:val="21"/>
    </w:rPr>
  </w:style>
  <w:style w:type="paragraph" w:customStyle="1" w:styleId="35">
    <w:name w:val="列出段落1"/>
    <w:basedOn w:val="1"/>
    <w:qFormat/>
    <w:uiPriority w:val="0"/>
    <w:pPr>
      <w:ind w:firstLine="420" w:firstLineChars="200"/>
    </w:pPr>
  </w:style>
  <w:style w:type="paragraph" w:customStyle="1" w:styleId="36">
    <w:name w:val="列出段落11"/>
    <w:basedOn w:val="1"/>
    <w:qFormat/>
    <w:uiPriority w:val="0"/>
    <w:pPr>
      <w:ind w:firstLine="420" w:firstLineChars="200"/>
    </w:pPr>
    <w:rPr>
      <w:rFonts w:ascii="Calibri" w:hAnsi="Calibri"/>
      <w:sz w:val="21"/>
      <w:szCs w:val="22"/>
    </w:rPr>
  </w:style>
  <w:style w:type="paragraph" w:customStyle="1" w:styleId="37">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Char Char"/>
    <w:basedOn w:val="1"/>
    <w:qFormat/>
    <w:uiPriority w:val="0"/>
    <w:rPr>
      <w:rFonts w:ascii="Tahoma" w:hAnsi="Tahoma"/>
      <w:sz w:val="24"/>
      <w:szCs w:val="20"/>
    </w:rPr>
  </w:style>
  <w:style w:type="paragraph" w:customStyle="1" w:styleId="39">
    <w:name w:val="大汉方案正文"/>
    <w:basedOn w:val="1"/>
    <w:qFormat/>
    <w:uiPriority w:val="0"/>
    <w:pPr>
      <w:spacing w:line="360" w:lineRule="auto"/>
      <w:ind w:firstLine="200" w:firstLineChars="200"/>
    </w:pPr>
    <w:rPr>
      <w:rFonts w:ascii="Arial" w:hAnsi="Arial"/>
      <w:sz w:val="24"/>
      <w:szCs w:val="20"/>
    </w:rPr>
  </w:style>
  <w:style w:type="paragraph" w:customStyle="1" w:styleId="40">
    <w:name w:val="retrait3"/>
    <w:basedOn w:val="1"/>
    <w:qFormat/>
    <w:uiPriority w:val="0"/>
    <w:pPr>
      <w:widowControl/>
      <w:spacing w:before="20" w:after="20"/>
      <w:ind w:left="851"/>
      <w:jc w:val="left"/>
    </w:pPr>
    <w:rPr>
      <w:rFonts w:ascii="Arial" w:hAnsi="Arial"/>
      <w:kern w:val="0"/>
      <w:sz w:val="24"/>
      <w:szCs w:val="20"/>
    </w:rPr>
  </w:style>
  <w:style w:type="paragraph" w:customStyle="1" w:styleId="41">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3">
    <w:name w:val="列出段落2"/>
    <w:basedOn w:val="1"/>
    <w:qFormat/>
    <w:uiPriority w:val="0"/>
    <w:pPr>
      <w:ind w:firstLine="420" w:firstLineChars="200"/>
    </w:pPr>
    <w:rPr>
      <w:rFonts w:ascii="Calibri" w:hAnsi="Calibri"/>
      <w:sz w:val="21"/>
      <w:szCs w:val="22"/>
    </w:rPr>
  </w:style>
  <w:style w:type="paragraph" w:customStyle="1" w:styleId="44">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
    <w:name w:val="Char Char11 Char Char Char Char"/>
    <w:basedOn w:val="1"/>
    <w:qFormat/>
    <w:uiPriority w:val="0"/>
    <w:pPr>
      <w:tabs>
        <w:tab w:val="left" w:pos="360"/>
      </w:tabs>
    </w:pPr>
    <w:rPr>
      <w:sz w:val="21"/>
    </w:rPr>
  </w:style>
  <w:style w:type="paragraph" w:customStyle="1" w:styleId="46">
    <w:name w:val="xl65"/>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7">
    <w:name w:val="xl6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8">
    <w:name w:val="xl67"/>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9">
    <w:name w:val="xl6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6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0"/>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1"/>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3">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4">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5">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8">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9">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60">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1">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2">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3">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4">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5">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6">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8">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9">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0">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1">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8">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9">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80">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1">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2">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3">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4">
    <w:name w:val="页脚 字符"/>
    <w:basedOn w:val="30"/>
    <w:link w:val="20"/>
    <w:qFormat/>
    <w:uiPriority w:val="99"/>
    <w:rPr>
      <w:rFonts w:ascii="Times New Roman" w:hAnsi="Times New Roman" w:eastAsia="宋体" w:cs="Times New Roman"/>
      <w:sz w:val="18"/>
      <w:szCs w:val="18"/>
    </w:rPr>
  </w:style>
  <w:style w:type="character" w:customStyle="1" w:styleId="85">
    <w:name w:val="纯文本 字符"/>
    <w:basedOn w:val="30"/>
    <w:link w:val="18"/>
    <w:qFormat/>
    <w:uiPriority w:val="0"/>
    <w:rPr>
      <w:rFonts w:ascii="宋体" w:hAnsi="Courier New" w:eastAsia="宋体" w:cs="Courier New"/>
      <w:szCs w:val="21"/>
    </w:rPr>
  </w:style>
  <w:style w:type="character" w:customStyle="1" w:styleId="86">
    <w:name w:val="正文文本缩进 字符"/>
    <w:basedOn w:val="30"/>
    <w:link w:val="16"/>
    <w:qFormat/>
    <w:uiPriority w:val="0"/>
    <w:rPr>
      <w:rFonts w:ascii="Times New Roman" w:hAnsi="Times New Roman" w:eastAsia="宋体" w:cs="Times New Roman"/>
      <w:sz w:val="32"/>
      <w:szCs w:val="20"/>
    </w:rPr>
  </w:style>
  <w:style w:type="character" w:customStyle="1" w:styleId="87">
    <w:name w:val="批注框文本 字符"/>
    <w:basedOn w:val="30"/>
    <w:link w:val="19"/>
    <w:qFormat/>
    <w:uiPriority w:val="0"/>
    <w:rPr>
      <w:rFonts w:ascii="Times New Roman" w:hAnsi="Times New Roman" w:eastAsia="宋体" w:cs="Times New Roman"/>
      <w:sz w:val="18"/>
      <w:szCs w:val="18"/>
    </w:rPr>
  </w:style>
  <w:style w:type="character" w:customStyle="1" w:styleId="88">
    <w:name w:val="标题 1 字符"/>
    <w:basedOn w:val="30"/>
    <w:link w:val="2"/>
    <w:qFormat/>
    <w:uiPriority w:val="0"/>
    <w:rPr>
      <w:rFonts w:ascii="Calibri" w:hAnsi="Calibri" w:eastAsia="仿宋" w:cs="Times New Roman"/>
      <w:b/>
      <w:bCs/>
      <w:kern w:val="44"/>
      <w:sz w:val="30"/>
      <w:szCs w:val="44"/>
    </w:rPr>
  </w:style>
  <w:style w:type="character" w:customStyle="1" w:styleId="89">
    <w:name w:val="标题 2 字符"/>
    <w:basedOn w:val="30"/>
    <w:link w:val="3"/>
    <w:qFormat/>
    <w:uiPriority w:val="0"/>
    <w:rPr>
      <w:rFonts w:ascii="Cambria" w:hAnsi="Cambria" w:eastAsia="宋体" w:cs="Times New Roman"/>
      <w:b/>
      <w:bCs/>
      <w:sz w:val="28"/>
      <w:szCs w:val="32"/>
    </w:rPr>
  </w:style>
  <w:style w:type="character" w:customStyle="1" w:styleId="90">
    <w:name w:val="标题 3 字符"/>
    <w:basedOn w:val="30"/>
    <w:link w:val="4"/>
    <w:qFormat/>
    <w:uiPriority w:val="0"/>
    <w:rPr>
      <w:rFonts w:ascii="Calibri" w:hAnsi="Calibri" w:eastAsia="宋体" w:cs="Times New Roman"/>
      <w:b/>
      <w:bCs/>
      <w:sz w:val="32"/>
      <w:szCs w:val="32"/>
    </w:rPr>
  </w:style>
  <w:style w:type="character" w:customStyle="1" w:styleId="91">
    <w:name w:val="标题 4 字符"/>
    <w:basedOn w:val="30"/>
    <w:link w:val="5"/>
    <w:qFormat/>
    <w:uiPriority w:val="0"/>
    <w:rPr>
      <w:rFonts w:ascii="Cambria" w:hAnsi="Cambria" w:eastAsia="宋体" w:cs="Times New Roman"/>
      <w:b/>
      <w:bCs/>
      <w:sz w:val="28"/>
      <w:szCs w:val="28"/>
    </w:rPr>
  </w:style>
  <w:style w:type="character" w:customStyle="1" w:styleId="92">
    <w:name w:val="标题 5 字符"/>
    <w:basedOn w:val="30"/>
    <w:link w:val="6"/>
    <w:qFormat/>
    <w:uiPriority w:val="0"/>
    <w:rPr>
      <w:rFonts w:ascii="Times New Roman" w:hAnsi="Times New Roman" w:eastAsia="宋体" w:cs="Times New Roman"/>
      <w:b/>
      <w:bCs/>
      <w:kern w:val="0"/>
      <w:sz w:val="28"/>
      <w:szCs w:val="28"/>
    </w:rPr>
  </w:style>
  <w:style w:type="character" w:customStyle="1" w:styleId="93">
    <w:name w:val="标题 6 字符"/>
    <w:basedOn w:val="30"/>
    <w:link w:val="7"/>
    <w:qFormat/>
    <w:uiPriority w:val="0"/>
    <w:rPr>
      <w:rFonts w:ascii="Arial" w:hAnsi="Arial" w:eastAsia="黑体" w:cs="Times New Roman"/>
      <w:b/>
      <w:bCs/>
      <w:kern w:val="0"/>
      <w:sz w:val="24"/>
      <w:szCs w:val="24"/>
    </w:rPr>
  </w:style>
  <w:style w:type="character" w:customStyle="1" w:styleId="94">
    <w:name w:val="标题 7 字符"/>
    <w:basedOn w:val="30"/>
    <w:link w:val="8"/>
    <w:qFormat/>
    <w:uiPriority w:val="0"/>
    <w:rPr>
      <w:rFonts w:ascii="Times New Roman" w:hAnsi="Times New Roman" w:eastAsia="宋体" w:cs="Times New Roman"/>
      <w:b/>
      <w:bCs/>
      <w:kern w:val="0"/>
      <w:sz w:val="24"/>
      <w:szCs w:val="24"/>
    </w:rPr>
  </w:style>
  <w:style w:type="character" w:customStyle="1" w:styleId="95">
    <w:name w:val="标题 8 字符"/>
    <w:basedOn w:val="30"/>
    <w:link w:val="9"/>
    <w:qFormat/>
    <w:uiPriority w:val="0"/>
    <w:rPr>
      <w:rFonts w:ascii="Arial" w:hAnsi="Arial" w:eastAsia="黑体" w:cs="Times New Roman"/>
      <w:kern w:val="0"/>
      <w:sz w:val="24"/>
      <w:szCs w:val="24"/>
    </w:rPr>
  </w:style>
  <w:style w:type="character" w:customStyle="1" w:styleId="96">
    <w:name w:val="标题 9 字符"/>
    <w:basedOn w:val="30"/>
    <w:link w:val="10"/>
    <w:qFormat/>
    <w:uiPriority w:val="0"/>
    <w:rPr>
      <w:rFonts w:ascii="Arial" w:hAnsi="Arial" w:eastAsia="黑体" w:cs="Times New Roman"/>
      <w:kern w:val="0"/>
      <w:szCs w:val="21"/>
    </w:rPr>
  </w:style>
  <w:style w:type="character" w:customStyle="1" w:styleId="97">
    <w:name w:val="文档结构图 字符"/>
    <w:basedOn w:val="30"/>
    <w:link w:val="13"/>
    <w:semiHidden/>
    <w:qFormat/>
    <w:uiPriority w:val="0"/>
    <w:rPr>
      <w:rFonts w:ascii="Heiti SC Light" w:hAnsi="Calibri" w:eastAsia="Times New Roman" w:cs="Times New Roman"/>
      <w:sz w:val="24"/>
      <w:szCs w:val="24"/>
    </w:rPr>
  </w:style>
  <w:style w:type="character" w:customStyle="1" w:styleId="98">
    <w:name w:val="批注文字 字符"/>
    <w:link w:val="14"/>
    <w:qFormat/>
    <w:uiPriority w:val="0"/>
    <w:rPr>
      <w:sz w:val="28"/>
    </w:rPr>
  </w:style>
  <w:style w:type="character" w:customStyle="1" w:styleId="99">
    <w:name w:val="正文缩进 字符"/>
    <w:link w:val="11"/>
    <w:qFormat/>
    <w:uiPriority w:val="0"/>
  </w:style>
  <w:style w:type="character" w:customStyle="1" w:styleId="100">
    <w:name w:val="纯文本 Char1"/>
    <w:qFormat/>
    <w:uiPriority w:val="0"/>
    <w:rPr>
      <w:rFonts w:ascii="宋体" w:hAnsi="Courier New" w:cs="Courier New"/>
      <w:kern w:val="2"/>
      <w:sz w:val="21"/>
      <w:szCs w:val="21"/>
    </w:rPr>
  </w:style>
  <w:style w:type="character" w:customStyle="1" w:styleId="101">
    <w:name w:val="批注文字 Char1"/>
    <w:basedOn w:val="30"/>
    <w:qFormat/>
    <w:uiPriority w:val="0"/>
    <w:rPr>
      <w:rFonts w:ascii="Times New Roman" w:hAnsi="Times New Roman" w:eastAsia="宋体" w:cs="Times New Roman"/>
      <w:sz w:val="28"/>
      <w:szCs w:val="24"/>
    </w:rPr>
  </w:style>
  <w:style w:type="character" w:customStyle="1" w:styleId="102">
    <w:name w:val="正文文本 字符"/>
    <w:basedOn w:val="30"/>
    <w:link w:val="15"/>
    <w:qFormat/>
    <w:uiPriority w:val="0"/>
    <w:rPr>
      <w:kern w:val="2"/>
      <w:sz w:val="24"/>
      <w:szCs w:val="24"/>
    </w:rPr>
  </w:style>
  <w:style w:type="character" w:customStyle="1" w:styleId="103">
    <w:name w:val="apple-converted-space"/>
    <w:qFormat/>
    <w:uiPriority w:val="0"/>
  </w:style>
  <w:style w:type="character" w:customStyle="1" w:styleId="104">
    <w:name w:val="正文文本缩进 3 字符"/>
    <w:basedOn w:val="30"/>
    <w:link w:val="24"/>
    <w:qFormat/>
    <w:uiPriority w:val="0"/>
    <w:rPr>
      <w:rFonts w:ascii="Times New Roman" w:hAnsi="Times New Roman" w:eastAsia="宋体" w:cs="Times New Roman"/>
      <w:sz w:val="16"/>
      <w:szCs w:val="16"/>
    </w:rPr>
  </w:style>
  <w:style w:type="character" w:customStyle="1" w:styleId="105">
    <w:name w:val="标题 字符"/>
    <w:basedOn w:val="30"/>
    <w:link w:val="26"/>
    <w:qFormat/>
    <w:uiPriority w:val="0"/>
    <w:rPr>
      <w:rFonts w:ascii="Cambria" w:hAnsi="Cambria" w:eastAsia="宋体" w:cs="Times New Roman"/>
      <w:b/>
      <w:bCs/>
      <w:sz w:val="32"/>
      <w:szCs w:val="32"/>
    </w:rPr>
  </w:style>
  <w:style w:type="character" w:customStyle="1" w:styleId="106">
    <w:name w:val="标题 3 Char1"/>
    <w:qFormat/>
    <w:uiPriority w:val="0"/>
    <w:rPr>
      <w:rFonts w:ascii="Times New Roman" w:hAnsi="Times New Roman" w:eastAsia="宋体" w:cs="Times New Roman"/>
      <w:sz w:val="24"/>
      <w:szCs w:val="20"/>
    </w:rPr>
  </w:style>
  <w:style w:type="character" w:customStyle="1" w:styleId="107">
    <w:name w:val="页眉 字符"/>
    <w:basedOn w:val="30"/>
    <w:link w:val="21"/>
    <w:qFormat/>
    <w:uiPriority w:val="0"/>
    <w:rPr>
      <w:rFonts w:ascii="Times New Roman" w:hAnsi="Times New Roman" w:eastAsia="宋体" w:cs="Times New Roman"/>
      <w:sz w:val="18"/>
      <w:szCs w:val="18"/>
    </w:rPr>
  </w:style>
  <w:style w:type="character" w:customStyle="1" w:styleId="108">
    <w:name w:val="批注主题 字符"/>
    <w:basedOn w:val="98"/>
    <w:link w:val="27"/>
    <w:semiHidden/>
    <w:qFormat/>
    <w:uiPriority w:val="99"/>
    <w:rPr>
      <w:rFonts w:ascii="Times New Roman" w:hAnsi="Times New Roman" w:eastAsia="宋体" w:cs="Times New Roman"/>
      <w:b/>
      <w:bCs/>
      <w:sz w:val="28"/>
      <w:szCs w:val="24"/>
    </w:rPr>
  </w:style>
  <w:style w:type="table" w:customStyle="1" w:styleId="109">
    <w:name w:val="网格型1"/>
    <w:basedOn w:val="28"/>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0">
    <w:name w:val="副标题 字符"/>
    <w:basedOn w:val="30"/>
    <w:link w:val="23"/>
    <w:qFormat/>
    <w:uiPriority w:val="11"/>
    <w:rPr>
      <w:rFonts w:asciiTheme="minorHAnsi" w:hAnsiTheme="minorHAnsi" w:eastAsiaTheme="minorEastAsia" w:cstheme="minorBidi"/>
      <w:b/>
      <w:bCs/>
      <w:kern w:val="28"/>
      <w:sz w:val="32"/>
      <w:szCs w:val="32"/>
    </w:rPr>
  </w:style>
  <w:style w:type="paragraph" w:customStyle="1" w:styleId="111">
    <w:name w:val="Revision"/>
    <w:hidden/>
    <w:unhideWhenUsed/>
    <w:qFormat/>
    <w:uiPriority w:val="99"/>
    <w:rPr>
      <w:rFonts w:ascii="Times New Roman" w:hAnsi="Times New Roman" w:eastAsia="宋体" w:cs="Times New Roman"/>
      <w:kern w:val="2"/>
      <w:sz w:val="2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46</Pages>
  <Words>2572</Words>
  <Characters>14662</Characters>
  <Lines>122</Lines>
  <Paragraphs>34</Paragraphs>
  <TotalTime>447</TotalTime>
  <ScaleCrop>false</ScaleCrop>
  <LinksUpToDate>false</LinksUpToDate>
  <CharactersWithSpaces>17200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2023-12-26T00:06:00Z</dcterms:created>
  <dc:creator>wzg</dc:creator>
  <cp:lastModifiedBy>99AAACAAYPCMKCR8JNEZSJAHE</cp:lastModifiedBy>
  <cp:lastPrinted>2025-05-24T18:19:00Z</cp:lastPrinted>
  <dcterms:modified xsi:type="dcterms:W3CDTF">2026-10-23T10:16:56Z</dcterms:modified>
  <dc:title>竞争性谈判文件</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09BD4650E625FC23FD44AD68C0C7A3D0_43</vt:lpwstr>
  </property>
  <property fmtid="{D5CDD505-2E9C-101B-9397-08002B2CF9AE}" pid="4" name="KSOTemplateDocerSaveRecord">
    <vt:lpwstr>eyJoZGlkIjoiODRlYzAxNjVhYzk1ZWY4ZjJjMWYxM2M1NTFhZmI3ZDciLCJ1c2VySWQiOiIzOTg4MzUyNTgifQ==</vt:lpwstr>
  </property>
</Properties>
</file>