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71" w:rsidRPr="00765B77" w:rsidRDefault="00342571" w:rsidP="00765B77">
      <w:pPr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  <w:r w:rsidRPr="00765B77">
        <w:rPr>
          <w:rFonts w:ascii="方正小标宋简体" w:eastAsia="方正小标宋简体" w:hint="eastAsia"/>
          <w:color w:val="000000" w:themeColor="text1"/>
          <w:sz w:val="36"/>
          <w:szCs w:val="36"/>
        </w:rPr>
        <w:t>少儿体验馆配套智能研学设备</w:t>
      </w:r>
      <w:r w:rsidR="00765B77" w:rsidRPr="00765B77">
        <w:rPr>
          <w:rFonts w:ascii="方正小标宋简体" w:eastAsia="方正小标宋简体" w:hint="eastAsia"/>
          <w:color w:val="000000" w:themeColor="text1"/>
          <w:sz w:val="36"/>
          <w:szCs w:val="36"/>
        </w:rPr>
        <w:t>项目参数要求</w:t>
      </w:r>
    </w:p>
    <w:p w:rsidR="00765B77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</w:p>
    <w:p w:rsidR="00342571" w:rsidRPr="00765B77" w:rsidRDefault="00342571" w:rsidP="00765B77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b/>
          <w:color w:val="000000" w:themeColor="text1"/>
          <w:sz w:val="32"/>
          <w:szCs w:val="32"/>
        </w:rPr>
        <w:t>一、项目基本情况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项目名称：少儿体验馆配套智能研学设备采购项目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采购内容：少儿体验馆配套智能研学设备24套及配套</w:t>
      </w:r>
      <w:r w:rsidR="00765B77"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（含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集中充电设备1套</w:t>
      </w:r>
      <w:r w:rsidR="00765B77"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。</w:t>
      </w:r>
      <w:bookmarkStart w:id="0" w:name="_GoBack"/>
      <w:bookmarkEnd w:id="0"/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采购预算：</w:t>
      </w:r>
      <w:r w:rsidR="00765B77" w:rsidRPr="00765B77">
        <w:rPr>
          <w:rFonts w:ascii="仿宋" w:eastAsia="仿宋" w:hAnsi="仿宋"/>
          <w:color w:val="000000" w:themeColor="text1"/>
          <w:sz w:val="32"/>
          <w:szCs w:val="32"/>
        </w:rPr>
        <w:t xml:space="preserve"> 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10.8万元。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预算标准：少儿体验馆配套智能研学设备0.45万元/套×24套=10.8万元。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本项目采购设备主要用于与少儿体验馆现有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PICO VR教学设备及正在开发的数字课程配套使用，通过完善体感追踪、动作捕捉、佩戴续航、集中充电及设备管理等功能，进一步提升数字课程的互动性、沉浸感和设备使用效率。</w:t>
      </w:r>
    </w:p>
    <w:p w:rsidR="00342571" w:rsidRPr="00765B77" w:rsidRDefault="00342571" w:rsidP="00765B77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b/>
          <w:color w:val="000000" w:themeColor="text1"/>
          <w:sz w:val="32"/>
          <w:szCs w:val="32"/>
        </w:rPr>
        <w:t>二、采购内容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每套少儿体验馆配套智能研学设备包括：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穿戴式充电宝2个；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舒适头戴1套；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腰部体感追踪器1个；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腿部体感追踪器2个；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与上述设备正常使用相配套的固定、连接及充电组件。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24套共配置穿戴式充电宝48个、舒适头戴24套、腰部体感追踪器24个、腿部体感追踪器48个，以及满足设备正常使用所需的固定、连接、充电等配套组件。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项目整体另配置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24位VR集中充电柜1台，用于少儿体验馆现有VR眼镜集中充电、消毒及收纳管理。</w:t>
      </w:r>
    </w:p>
    <w:p w:rsidR="00342571" w:rsidRPr="00765B77" w:rsidRDefault="00342571" w:rsidP="00765B77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b/>
          <w:color w:val="000000" w:themeColor="text1"/>
          <w:sz w:val="32"/>
          <w:szCs w:val="32"/>
        </w:rPr>
        <w:t>三、技术参数及功能要求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（一）总体要求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所提供设备须与采购人现有PICO VR教学设备兼容，能够在现有设备及系统环境下稳定运行，并满足采购人现有及正在开发的数字课程应用需求。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配套设备安装和使用后不得影响现有VR设备的正常操作、感知、充电及数据传输等主要功能。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各组件应连接稳定、使用方便，能够适应博物馆少儿教育活动多人次、连续使用的实际需求。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体感追踪设备须能够与采购人现有PICO VR设备配套使用，实现腰部、双腿及全身动作捕捉，并满足数字课程中的体感交互应用需求。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（二）体感追踪设备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每套配置腰部体感追踪器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1个、腿部体感追踪器2个，共配置腰部体感追踪器24个、腿部体感追踪器48个。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采用IMU与红外感知相结合的多模态融合追踪方案，单个追踪器配置不少于1颗IMU传感器和12颗红外传感器。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追踪频率不低于200Hz。</w:t>
      </w:r>
    </w:p>
    <w:p w:rsidR="00765B77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支持DoF动作捕捉，通过体感追踪设备实现不少于24个全身骨骼节点的动作捕捉。</w:t>
      </w:r>
    </w:p>
    <w:p w:rsidR="00765B77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全身动作捕捉延时不高于20ms。</w:t>
      </w:r>
    </w:p>
    <w:p w:rsidR="00765B77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lastRenderedPageBreak/>
        <w:t>5.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全身动作捕捉平均位置误差不高于5cm，平均角度误差不高于6°。</w:t>
      </w:r>
    </w:p>
    <w:p w:rsidR="00765B77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6.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踩踏动作识别准确率不低于98%。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7.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单次充电连续使用时间不低于25小时。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8.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支持快速连接、佩戴及校准，满足不同使用者轮换体验需求。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9.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设备体积及重量应适合穿戴使用，不明显影响正常行走、转身、抬腿、下蹲等动作。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10.应支持与采购人数字课程进行功能适配，能够满足数字课程对人体动作识别及体感交互的应用需求。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（三）穿戴式充电宝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每套配置穿戴式充电宝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2个，共48个。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单个电池容量不低于5000mAh，每套配置2个充电电池，并配备相应固定及充电组件。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采用适合VR设备使用的穿戴式设计，能够与头戴设备配套使用。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支持快速拆装及电池轮换，满足数字课程连续开展过程中的续航需求。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安装后不影响VR眼镜主要传感、操作、充电及散热功能。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固定结构稳定，并可根据实际佩戴需求进行调节。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6.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具备过充、过放、过流、短路及温度异常等安全保护功能，并符合国家现行相关产品安全要求。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（四）舒适头戴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每套配置舒适头戴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1套，共24套。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与采购人现有PICO VR眼镜适配，安装后不影响VR眼镜正常使用。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采用可调节设计，可根据不同使用者头围进行调节，满足少年儿童及不同头围使用者轮换使用需求。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主要受力部位具有缓冲设计，减少设备对前额、面部及后脑部位的压迫，提高佩戴舒适性。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与人体接触部分采用柔软、耐磨、便于清洁的材质，适应公共教育场所多人次使用。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支持与本项目穿戴式充电设备配套使用，安装后整体佩戴稳定。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（五）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24位VR集中充电柜</w:t>
      </w:r>
    </w:p>
    <w:p w:rsidR="00342571" w:rsidRPr="00765B77" w:rsidRDefault="00342571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color w:val="000000" w:themeColor="text1"/>
          <w:sz w:val="32"/>
          <w:szCs w:val="32"/>
        </w:rPr>
        <w:t>项目整体配置</w:t>
      </w:r>
      <w:r w:rsidRPr="00765B77">
        <w:rPr>
          <w:rFonts w:ascii="仿宋" w:eastAsia="仿宋" w:hAnsi="仿宋"/>
          <w:color w:val="000000" w:themeColor="text1"/>
          <w:sz w:val="32"/>
          <w:szCs w:val="32"/>
        </w:rPr>
        <w:t>24位VR集中充电柜1台。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可同时容纳不少于24台VR眼镜，并满足不少于24台设备同时充电需求。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柜内设置合理的设备存放空间，满足VR眼镜集中收纳和日常管理需要。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支持Type-C充电，单路充电功率不低于45W。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具有充电状态显示或指示功能，方便工作人员掌握设备充电状态。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具备充满自动停止或相应的智能充电管理功能，并具有过压、过流、短路、过载等必要的安全保护措施。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6.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具备紫外线、臭氧等设备消毒功能，满足VR设备多人次使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lastRenderedPageBreak/>
        <w:t>用后的日常集中消毒需要。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7.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柜体具有通风散热设计，内部充电线路布置合理。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8.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配置移动脚轮及固定装置，方便根据教学活动需要移动和固定。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9.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柜内空间应与采购人现有VR眼镜及安装相关配套设备后的实际尺寸相适应，保证设备能够正常存放、取用和充电。</w:t>
      </w:r>
    </w:p>
    <w:p w:rsidR="00342571" w:rsidRPr="00765B77" w:rsidRDefault="00342571" w:rsidP="00765B77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b/>
          <w:color w:val="000000" w:themeColor="text1"/>
          <w:sz w:val="32"/>
          <w:szCs w:val="32"/>
        </w:rPr>
        <w:t>四、</w:t>
      </w:r>
      <w:r w:rsidR="00337DD9" w:rsidRPr="00337DD9">
        <w:rPr>
          <w:rFonts w:ascii="仿宋" w:eastAsia="仿宋" w:hAnsi="仿宋" w:hint="eastAsia"/>
          <w:b/>
          <w:color w:val="000000" w:themeColor="text1"/>
          <w:sz w:val="32"/>
          <w:szCs w:val="32"/>
        </w:rPr>
        <w:t>定制化适配及技术服务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Pr="00337DD9">
        <w:rPr>
          <w:rFonts w:ascii="仿宋" w:eastAsia="仿宋" w:hAnsi="仿宋" w:hint="eastAsia"/>
          <w:color w:val="000000" w:themeColor="text1"/>
          <w:sz w:val="32"/>
          <w:szCs w:val="32"/>
        </w:rPr>
        <w:t>一）设备联调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 w:hint="eastAsia"/>
          <w:color w:val="000000" w:themeColor="text1"/>
          <w:sz w:val="32"/>
          <w:szCs w:val="32"/>
        </w:rPr>
        <w:t>中标供应商应配合采购人完成：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1. VR设备与充电宝、舒适头戴等配件的安装及调试；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2. 腰部体感追踪器设备接入；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3. 腿部体感追踪器设备接入；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4. 体感数据采集及传输测试；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5. 定制化VR游戏设备识别测试；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6. 定制化VR游戏功能联调；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7. 设备参数配置；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8. SDK/API及相关软件配置；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/>
          <w:color w:val="000000" w:themeColor="text1"/>
          <w:sz w:val="32"/>
          <w:szCs w:val="32"/>
        </w:rPr>
        <w:t>9. 现场问题排查及技术整改。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 w:hint="eastAsia"/>
          <w:color w:val="000000" w:themeColor="text1"/>
          <w:sz w:val="32"/>
          <w:szCs w:val="32"/>
        </w:rPr>
        <w:t>（二）技术支持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 w:hint="eastAsia"/>
          <w:color w:val="000000" w:themeColor="text1"/>
          <w:sz w:val="32"/>
          <w:szCs w:val="32"/>
        </w:rPr>
        <w:t>在项目实施及质保期内，中标供应商应提供必要的技术支持。</w:t>
      </w:r>
    </w:p>
    <w:p w:rsidR="00337DD9" w:rsidRP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 w:hint="eastAsia"/>
          <w:color w:val="000000" w:themeColor="text1"/>
          <w:sz w:val="32"/>
          <w:szCs w:val="32"/>
        </w:rPr>
        <w:t>对于涉及设备兼容性、</w:t>
      </w:r>
      <w:r w:rsidRPr="00337DD9">
        <w:rPr>
          <w:rFonts w:ascii="仿宋" w:eastAsia="仿宋" w:hAnsi="仿宋"/>
          <w:color w:val="000000" w:themeColor="text1"/>
          <w:sz w:val="32"/>
          <w:szCs w:val="32"/>
        </w:rPr>
        <w:t>SDK、驱动、接口、通信协议等方面的问题，中标供应商应配合采购人进行排查和解决。</w:t>
      </w:r>
    </w:p>
    <w:p w:rsidR="00337DD9" w:rsidRDefault="00337DD9" w:rsidP="00337DD9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337DD9">
        <w:rPr>
          <w:rFonts w:ascii="仿宋" w:eastAsia="仿宋" w:hAnsi="仿宋" w:hint="eastAsia"/>
          <w:color w:val="000000" w:themeColor="text1"/>
          <w:sz w:val="32"/>
          <w:szCs w:val="32"/>
        </w:rPr>
        <w:t>如因设备本身兼容性、接口、驱动、</w:t>
      </w:r>
      <w:r w:rsidRPr="00337DD9">
        <w:rPr>
          <w:rFonts w:ascii="仿宋" w:eastAsia="仿宋" w:hAnsi="仿宋"/>
          <w:color w:val="000000" w:themeColor="text1"/>
          <w:sz w:val="32"/>
          <w:szCs w:val="32"/>
        </w:rPr>
        <w:t>SDK或通信协议等原因</w:t>
      </w:r>
      <w:r w:rsidRPr="00337DD9">
        <w:rPr>
          <w:rFonts w:ascii="仿宋" w:eastAsia="仿宋" w:hAnsi="仿宋"/>
          <w:color w:val="000000" w:themeColor="text1"/>
          <w:sz w:val="32"/>
          <w:szCs w:val="32"/>
        </w:rPr>
        <w:lastRenderedPageBreak/>
        <w:t>导致设备无法满足项目要求，中标供应商应负责提供解决方案，并根据实际情况进行设备更换、软件调整或技术整改。</w:t>
      </w:r>
    </w:p>
    <w:p w:rsidR="00342571" w:rsidRPr="00765B77" w:rsidRDefault="00342571" w:rsidP="00337DD9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b/>
          <w:color w:val="000000" w:themeColor="text1"/>
          <w:sz w:val="32"/>
          <w:szCs w:val="32"/>
        </w:rPr>
        <w:t>五、安装调试及验收要求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供应商负责全部设备的供货、运输、安装、调试及相关技术服务。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设备交付后，应使用采购人现有PICO VR设</w:t>
      </w:r>
      <w:r w:rsidR="001E4AA5" w:rsidRPr="00765B77">
        <w:rPr>
          <w:rFonts w:ascii="仿宋" w:eastAsia="仿宋" w:hAnsi="仿宋"/>
          <w:color w:val="000000" w:themeColor="text1"/>
          <w:sz w:val="32"/>
          <w:szCs w:val="32"/>
        </w:rPr>
        <w:t>备进行实际兼容性测试，确认体感追踪、佩戴续航等功能能够正常使用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体感追踪功能测试应包括设备连接和校准，以及站立、行走、转身、抬腿、下蹲等基本动作的识别和捕捉，并结合数字课程实际应用对体感交互功能进行测试。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设备运行过程中应保持连接及追踪稳定，不应出现影响正常教学使用的频繁掉线、明显动作错位等情况。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集中充电柜应使用采购人现有VR设备进行实际存放及充</w:t>
      </w:r>
      <w:r w:rsidR="001E4AA5" w:rsidRPr="00765B77">
        <w:rPr>
          <w:rFonts w:ascii="仿宋" w:eastAsia="仿宋" w:hAnsi="仿宋"/>
          <w:color w:val="000000" w:themeColor="text1"/>
          <w:sz w:val="32"/>
          <w:szCs w:val="32"/>
        </w:rPr>
        <w:t>电测试，确认设备能够正常收纳、充电和取用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6.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验收以本项目技术参数、设备兼容性及数字课程实际应用效果为依据。所提供设备应能够与采购人现有VR设备稳定配套使用，并实现本项目要求的体感追踪及课程交互功能。</w:t>
      </w:r>
    </w:p>
    <w:p w:rsidR="00173EE2" w:rsidRPr="00173EE2" w:rsidRDefault="00342571" w:rsidP="00173EE2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65B77">
        <w:rPr>
          <w:rFonts w:ascii="仿宋" w:eastAsia="仿宋" w:hAnsi="仿宋" w:hint="eastAsia"/>
          <w:b/>
          <w:color w:val="000000" w:themeColor="text1"/>
          <w:sz w:val="32"/>
          <w:szCs w:val="32"/>
        </w:rPr>
        <w:t>六、</w:t>
      </w:r>
      <w:r w:rsidR="00173EE2" w:rsidRPr="00173EE2">
        <w:rPr>
          <w:rFonts w:ascii="仿宋" w:eastAsia="仿宋" w:hAnsi="仿宋" w:hint="eastAsia"/>
          <w:b/>
          <w:color w:val="000000" w:themeColor="text1"/>
          <w:sz w:val="32"/>
          <w:szCs w:val="32"/>
        </w:rPr>
        <w:t>投标人承诺事项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173EE2">
        <w:rPr>
          <w:rFonts w:ascii="仿宋" w:eastAsia="仿宋" w:hAnsi="仿宋" w:hint="eastAsia"/>
          <w:color w:val="000000" w:themeColor="text1"/>
          <w:sz w:val="32"/>
          <w:szCs w:val="32"/>
        </w:rPr>
        <w:t>投标人应对以下事项作出明确承诺：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所提供设备与采购人现有PICO VR一体机相适配；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所提供体感追踪设备能够满足采购人定制化VR游戏的实际使用需求；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配合采购人完成设备与定制化VR游戏的联调；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lastRenderedPageBreak/>
        <w:t>4.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按要求提供必要的SDK、API、驱动及技术资料；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提供完成本项目所需的全部必要配套组件；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6.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不擅自更换投标产品品牌、型号及主要技术参数；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7.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对设备兼容性问题提供必要的技术支持；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8.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因产品本身兼容性、接口、驱动、SDK或通信协议问题导致无法满足项目要求的，负责整改或更换；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9.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所供产品为全新、合格产品；</w:t>
      </w:r>
    </w:p>
    <w:p w:rsidR="00173EE2" w:rsidRPr="00173EE2" w:rsidRDefault="00173EE2" w:rsidP="00173EE2">
      <w:pPr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10.</w:t>
      </w:r>
      <w:r w:rsidRPr="00173EE2">
        <w:rPr>
          <w:rFonts w:ascii="仿宋" w:eastAsia="仿宋" w:hAnsi="仿宋"/>
          <w:color w:val="000000" w:themeColor="text1"/>
          <w:sz w:val="32"/>
          <w:szCs w:val="32"/>
        </w:rPr>
        <w:t>不能通过定制化VR</w:t>
      </w:r>
      <w:r>
        <w:rPr>
          <w:rFonts w:ascii="仿宋" w:eastAsia="仿宋" w:hAnsi="仿宋"/>
          <w:color w:val="000000" w:themeColor="text1"/>
          <w:sz w:val="32"/>
          <w:szCs w:val="32"/>
        </w:rPr>
        <w:t>游戏实际运行测试的，不予验收。</w:t>
      </w:r>
    </w:p>
    <w:p w:rsidR="00342571" w:rsidRPr="00765B77" w:rsidRDefault="00173EE2" w:rsidP="00765B77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七、</w:t>
      </w:r>
      <w:r w:rsidR="00342571" w:rsidRPr="00765B77">
        <w:rPr>
          <w:rFonts w:ascii="仿宋" w:eastAsia="仿宋" w:hAnsi="仿宋" w:hint="eastAsia"/>
          <w:b/>
          <w:color w:val="000000" w:themeColor="text1"/>
          <w:sz w:val="32"/>
          <w:szCs w:val="32"/>
        </w:rPr>
        <w:t>售后服务要求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项目实施完成时间：自合同签订之日起30日内完成全部设备供货、安装、调试及适配工作。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设备质保期不少于1年。质保期内因设备质量问题影响正常使用的，由供应商负责维修或更换。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质保期内出现设备连接、兼容或体感追踪等技术问题，供应商应提供相应技术支持。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供应商应提供设备使用及日常维护培训，内容包括设备佩戴、连接校准、充电、集中充电柜操作及常见问题处理等。</w:t>
      </w:r>
    </w:p>
    <w:p w:rsidR="00342571" w:rsidRPr="00765B77" w:rsidRDefault="00765B77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765B77"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="00342571" w:rsidRPr="00765B77">
        <w:rPr>
          <w:rFonts w:ascii="仿宋" w:eastAsia="仿宋" w:hAnsi="仿宋"/>
          <w:color w:val="000000" w:themeColor="text1"/>
          <w:sz w:val="32"/>
          <w:szCs w:val="32"/>
        </w:rPr>
        <w:t>项目交付时提供设备配置清单、使用说明及相关技术资料。</w:t>
      </w:r>
    </w:p>
    <w:p w:rsidR="00833BA4" w:rsidRPr="00765B77" w:rsidRDefault="00833BA4" w:rsidP="00765B7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</w:p>
    <w:sectPr w:rsidR="00833BA4" w:rsidRPr="00765B77" w:rsidSect="00173EE2">
      <w:pgSz w:w="11906" w:h="16838"/>
      <w:pgMar w:top="1276" w:right="1558" w:bottom="1135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3E1" w:rsidRDefault="00F913E1" w:rsidP="00BC15DF">
      <w:r>
        <w:separator/>
      </w:r>
    </w:p>
  </w:endnote>
  <w:endnote w:type="continuationSeparator" w:id="0">
    <w:p w:rsidR="00F913E1" w:rsidRDefault="00F913E1" w:rsidP="00BC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3E1" w:rsidRDefault="00F913E1" w:rsidP="00BC15DF">
      <w:r>
        <w:separator/>
      </w:r>
    </w:p>
  </w:footnote>
  <w:footnote w:type="continuationSeparator" w:id="0">
    <w:p w:rsidR="00F913E1" w:rsidRDefault="00F913E1" w:rsidP="00BC15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A90"/>
    <w:rsid w:val="00173EE2"/>
    <w:rsid w:val="001E4AA5"/>
    <w:rsid w:val="00337DD9"/>
    <w:rsid w:val="00342571"/>
    <w:rsid w:val="004455EB"/>
    <w:rsid w:val="006A14EE"/>
    <w:rsid w:val="00765B77"/>
    <w:rsid w:val="00833BA4"/>
    <w:rsid w:val="00AA0C0F"/>
    <w:rsid w:val="00B66644"/>
    <w:rsid w:val="00BC15DF"/>
    <w:rsid w:val="00F73A90"/>
    <w:rsid w:val="00F913E1"/>
    <w:rsid w:val="00FE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99BDC"/>
  <w15:chartTrackingRefBased/>
  <w15:docId w15:val="{17B6B74D-59EB-45AF-B874-320B1CF6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5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15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15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15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2026-09-19T03:38:00Z</dcterms:created>
  <dcterms:modified xsi:type="dcterms:W3CDTF">2026-09-23T07:43:00Z</dcterms:modified>
</cp:coreProperties>
</file>