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4564EA">
      <w:pPr>
        <w:jc w:val="center"/>
        <w:rPr>
          <w:sz w:val="44"/>
        </w:rPr>
      </w:pPr>
    </w:p>
    <w:p w14:paraId="595A8B1D">
      <w:pPr>
        <w:jc w:val="center"/>
        <w:rPr>
          <w:sz w:val="44"/>
        </w:rPr>
      </w:pPr>
    </w:p>
    <w:p w14:paraId="0C1C1288">
      <w:pPr>
        <w:jc w:val="center"/>
        <w:rPr>
          <w:w w:val="66"/>
          <w:sz w:val="120"/>
          <w:szCs w:val="120"/>
        </w:rPr>
      </w:pPr>
      <w:r>
        <w:rPr>
          <w:bCs/>
          <w:w w:val="66"/>
          <w:sz w:val="120"/>
          <w:szCs w:val="120"/>
        </w:rPr>
        <w:t>竞争性谈判文件</w:t>
      </w:r>
    </w:p>
    <w:p w14:paraId="31E4C55D">
      <w:pPr>
        <w:jc w:val="center"/>
        <w:rPr>
          <w:sz w:val="44"/>
        </w:rPr>
      </w:pPr>
    </w:p>
    <w:p w14:paraId="030C5E87">
      <w:pPr>
        <w:jc w:val="center"/>
        <w:rPr>
          <w:sz w:val="44"/>
        </w:rPr>
      </w:pPr>
    </w:p>
    <w:p w14:paraId="443904E0">
      <w:pPr>
        <w:ind w:firstLine="1440" w:firstLineChars="400"/>
        <w:rPr>
          <w:bCs/>
          <w:sz w:val="36"/>
        </w:rPr>
      </w:pPr>
    </w:p>
    <w:p w14:paraId="4805C92B">
      <w:pPr>
        <w:spacing w:line="480" w:lineRule="auto"/>
        <w:ind w:firstLine="960" w:firstLineChars="300"/>
        <w:rPr>
          <w:bCs/>
          <w:sz w:val="32"/>
          <w:szCs w:val="32"/>
        </w:rPr>
      </w:pPr>
      <w:r>
        <w:rPr>
          <w:bCs/>
          <w:sz w:val="32"/>
          <w:szCs w:val="32"/>
        </w:rPr>
        <w:t>项目编号：</w:t>
      </w:r>
    </w:p>
    <w:p w14:paraId="4147AC7E">
      <w:pPr>
        <w:spacing w:line="480" w:lineRule="auto"/>
        <w:ind w:left="958" w:leftChars="342"/>
        <w:rPr>
          <w:rFonts w:hint="eastAsia" w:eastAsia="宋体"/>
          <w:bCs/>
          <w:sz w:val="32"/>
          <w:szCs w:val="32"/>
          <w:lang w:eastAsia="zh-CN"/>
        </w:rPr>
      </w:pPr>
      <w:r>
        <w:rPr>
          <w:bCs/>
          <w:sz w:val="32"/>
          <w:szCs w:val="32"/>
        </w:rPr>
        <w:t>项目名称：</w:t>
      </w:r>
      <w:bookmarkStart w:id="0" w:name="OLE_LINK1"/>
      <w:r>
        <w:rPr>
          <w:rFonts w:hint="eastAsia"/>
          <w:bCs/>
          <w:sz w:val="32"/>
          <w:szCs w:val="32"/>
        </w:rPr>
        <w:t>工业级内窥镜采购项目</w:t>
      </w:r>
      <w:bookmarkEnd w:id="0"/>
      <w:r>
        <w:rPr>
          <w:rFonts w:hint="eastAsia"/>
          <w:bCs/>
          <w:sz w:val="32"/>
          <w:szCs w:val="32"/>
          <w:lang w:eastAsia="zh-CN"/>
        </w:rPr>
        <w:t>（第二次）</w:t>
      </w:r>
    </w:p>
    <w:p w14:paraId="5C6985C3">
      <w:pPr>
        <w:spacing w:line="480" w:lineRule="auto"/>
        <w:ind w:left="958" w:leftChars="342"/>
        <w:rPr>
          <w:rFonts w:hint="eastAsia" w:eastAsia="宋体"/>
          <w:bCs/>
          <w:sz w:val="32"/>
          <w:szCs w:val="32"/>
          <w:lang w:val="en-US" w:eastAsia="zh-CN"/>
        </w:rPr>
      </w:pPr>
      <w:r>
        <w:rPr>
          <w:rFonts w:hint="eastAsia"/>
          <w:bCs/>
          <w:sz w:val="32"/>
          <w:szCs w:val="32"/>
        </w:rPr>
        <w:t>谈判</w:t>
      </w:r>
      <w:r>
        <w:rPr>
          <w:bCs/>
          <w:sz w:val="32"/>
          <w:szCs w:val="32"/>
        </w:rPr>
        <w:t>内容：</w:t>
      </w:r>
      <w:r>
        <w:rPr>
          <w:rFonts w:hint="eastAsia"/>
          <w:bCs/>
          <w:sz w:val="32"/>
          <w:szCs w:val="32"/>
        </w:rPr>
        <w:t>工业级内窥镜采购</w:t>
      </w:r>
    </w:p>
    <w:p w14:paraId="69064CB9">
      <w:pPr>
        <w:tabs>
          <w:tab w:val="left" w:pos="2625"/>
        </w:tabs>
        <w:spacing w:line="480" w:lineRule="auto"/>
        <w:jc w:val="center"/>
        <w:rPr>
          <w:bCs/>
          <w:sz w:val="32"/>
        </w:rPr>
      </w:pPr>
    </w:p>
    <w:p w14:paraId="02CB2414">
      <w:pPr>
        <w:tabs>
          <w:tab w:val="left" w:pos="2625"/>
        </w:tabs>
        <w:spacing w:line="520" w:lineRule="exact"/>
        <w:jc w:val="center"/>
        <w:rPr>
          <w:bCs/>
          <w:sz w:val="32"/>
        </w:rPr>
      </w:pPr>
    </w:p>
    <w:p w14:paraId="5E7840F9">
      <w:pPr>
        <w:tabs>
          <w:tab w:val="left" w:pos="2625"/>
        </w:tabs>
        <w:spacing w:line="520" w:lineRule="exact"/>
        <w:jc w:val="center"/>
        <w:rPr>
          <w:bCs/>
          <w:sz w:val="32"/>
        </w:rPr>
      </w:pPr>
    </w:p>
    <w:p w14:paraId="62FB828D">
      <w:pPr>
        <w:tabs>
          <w:tab w:val="left" w:pos="2625"/>
        </w:tabs>
        <w:spacing w:line="520" w:lineRule="exact"/>
        <w:jc w:val="center"/>
        <w:rPr>
          <w:sz w:val="36"/>
        </w:rPr>
      </w:pPr>
    </w:p>
    <w:p w14:paraId="3F8C00E7">
      <w:pPr>
        <w:tabs>
          <w:tab w:val="left" w:pos="2625"/>
        </w:tabs>
        <w:spacing w:line="520" w:lineRule="exact"/>
        <w:jc w:val="center"/>
        <w:rPr>
          <w:sz w:val="36"/>
        </w:rPr>
      </w:pPr>
    </w:p>
    <w:p w14:paraId="58A96529">
      <w:pPr>
        <w:tabs>
          <w:tab w:val="left" w:pos="2625"/>
        </w:tabs>
        <w:spacing w:line="520" w:lineRule="exact"/>
        <w:rPr>
          <w:sz w:val="36"/>
        </w:rPr>
      </w:pPr>
    </w:p>
    <w:p w14:paraId="2EB524AC">
      <w:pPr>
        <w:spacing w:line="520" w:lineRule="exact"/>
        <w:jc w:val="center"/>
        <w:rPr>
          <w:bCs/>
          <w:sz w:val="32"/>
          <w:szCs w:val="32"/>
        </w:rPr>
      </w:pPr>
      <w:r>
        <w:rPr>
          <w:rFonts w:hint="eastAsia"/>
          <w:bCs/>
          <w:sz w:val="32"/>
          <w:szCs w:val="32"/>
        </w:rPr>
        <w:t>湖北省博物馆</w:t>
      </w:r>
    </w:p>
    <w:p w14:paraId="3E70C236">
      <w:pPr>
        <w:spacing w:line="520" w:lineRule="exact"/>
        <w:jc w:val="center"/>
        <w:rPr>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720" w:num="1"/>
          <w:titlePg/>
          <w:docGrid w:type="lines" w:linePitch="312" w:charSpace="0"/>
        </w:sectPr>
      </w:pPr>
      <w:r>
        <w:rPr>
          <w:rFonts w:hint="eastAsia"/>
          <w:sz w:val="32"/>
          <w:szCs w:val="32"/>
        </w:rPr>
        <w:t>2026</w:t>
      </w:r>
      <w:r>
        <w:rPr>
          <w:sz w:val="32"/>
          <w:szCs w:val="32"/>
        </w:rPr>
        <w:t>年</w:t>
      </w:r>
      <w:r>
        <w:rPr>
          <w:rFonts w:hint="eastAsia"/>
          <w:sz w:val="32"/>
          <w:szCs w:val="32"/>
        </w:rPr>
        <w:t>10</w:t>
      </w:r>
      <w:r>
        <w:rPr>
          <w:sz w:val="32"/>
          <w:szCs w:val="32"/>
        </w:rPr>
        <w:t>月</w:t>
      </w:r>
    </w:p>
    <w:p w14:paraId="04A76890">
      <w:pPr>
        <w:jc w:val="center"/>
        <w:rPr>
          <w:sz w:val="36"/>
          <w:szCs w:val="36"/>
        </w:rPr>
      </w:pPr>
    </w:p>
    <w:p w14:paraId="06D5A84C">
      <w:pPr>
        <w:jc w:val="center"/>
        <w:rPr>
          <w:sz w:val="36"/>
          <w:szCs w:val="36"/>
        </w:rPr>
      </w:pPr>
      <w:r>
        <w:rPr>
          <w:sz w:val="36"/>
          <w:szCs w:val="36"/>
        </w:rPr>
        <w:t>目</w:t>
      </w:r>
      <w:r>
        <w:rPr>
          <w:rFonts w:hint="eastAsia"/>
          <w:sz w:val="36"/>
          <w:szCs w:val="36"/>
        </w:rPr>
        <w:t xml:space="preserve">  </w:t>
      </w:r>
      <w:r>
        <w:rPr>
          <w:sz w:val="36"/>
          <w:szCs w:val="36"/>
        </w:rPr>
        <w:t>录</w:t>
      </w:r>
    </w:p>
    <w:p w14:paraId="04E0ADDE">
      <w:pPr>
        <w:rPr>
          <w:rFonts w:eastAsia="黑体"/>
          <w:sz w:val="44"/>
          <w:szCs w:val="44"/>
        </w:rPr>
      </w:pPr>
    </w:p>
    <w:p w14:paraId="104B006B">
      <w:pPr>
        <w:spacing w:line="480" w:lineRule="auto"/>
      </w:pPr>
      <w:r>
        <w:t>第一章</w:t>
      </w:r>
      <w:r>
        <w:rPr>
          <w:rFonts w:hint="eastAsia"/>
        </w:rPr>
        <w:t xml:space="preserve">  </w:t>
      </w:r>
      <w:r>
        <w:t>谈判邀请函</w:t>
      </w:r>
    </w:p>
    <w:p w14:paraId="09B2717D">
      <w:pPr>
        <w:spacing w:line="480" w:lineRule="auto"/>
      </w:pPr>
      <w:r>
        <w:t>第二章</w:t>
      </w:r>
      <w:r>
        <w:rPr>
          <w:rFonts w:hint="eastAsia"/>
        </w:rPr>
        <w:t xml:space="preserve">  </w:t>
      </w:r>
      <w:r>
        <w:t>谈判须知</w:t>
      </w:r>
    </w:p>
    <w:p w14:paraId="362B2084">
      <w:pPr>
        <w:spacing w:line="480" w:lineRule="auto"/>
      </w:pPr>
      <w:r>
        <w:t>第三章</w:t>
      </w:r>
      <w:r>
        <w:rPr>
          <w:rFonts w:hint="eastAsia"/>
        </w:rPr>
        <w:t xml:space="preserve">  </w:t>
      </w:r>
      <w:r>
        <w:t>采购货物（服务）技术规格、参数及要求</w:t>
      </w:r>
    </w:p>
    <w:p w14:paraId="0FE7B3A7">
      <w:pPr>
        <w:spacing w:line="480" w:lineRule="auto"/>
      </w:pPr>
      <w:r>
        <w:t>第四章</w:t>
      </w:r>
      <w:r>
        <w:rPr>
          <w:rFonts w:hint="eastAsia"/>
        </w:rPr>
        <w:t xml:space="preserve">  </w:t>
      </w:r>
      <w:r>
        <w:t>合同书（格式）</w:t>
      </w:r>
    </w:p>
    <w:p w14:paraId="51B8EAA1">
      <w:pPr>
        <w:spacing w:line="480" w:lineRule="auto"/>
        <w:sectPr>
          <w:headerReference r:id="rId9" w:type="default"/>
          <w:pgSz w:w="11906" w:h="16838"/>
          <w:pgMar w:top="1440" w:right="1800" w:bottom="1440" w:left="1800" w:header="851" w:footer="992" w:gutter="0"/>
          <w:cols w:space="720" w:num="1"/>
          <w:docGrid w:type="lines" w:linePitch="312" w:charSpace="0"/>
        </w:sectPr>
      </w:pPr>
      <w:r>
        <w:t>第五章</w:t>
      </w:r>
      <w:r>
        <w:rPr>
          <w:rFonts w:hint="eastAsia"/>
        </w:rPr>
        <w:t xml:space="preserve">  </w:t>
      </w:r>
      <w:r>
        <w:t>响应文件格式</w:t>
      </w:r>
    </w:p>
    <w:p w14:paraId="032F1052">
      <w:pPr>
        <w:spacing w:line="500" w:lineRule="exact"/>
        <w:jc w:val="center"/>
        <w:rPr>
          <w:bCs/>
          <w:sz w:val="36"/>
          <w:szCs w:val="36"/>
        </w:rPr>
      </w:pPr>
      <w:r>
        <w:rPr>
          <w:bCs/>
          <w:sz w:val="36"/>
          <w:szCs w:val="36"/>
        </w:rPr>
        <w:t>第一章</w:t>
      </w:r>
      <w:r>
        <w:rPr>
          <w:rFonts w:hint="eastAsia"/>
          <w:bCs/>
          <w:sz w:val="36"/>
          <w:szCs w:val="36"/>
        </w:rPr>
        <w:t xml:space="preserve">  </w:t>
      </w:r>
      <w:r>
        <w:rPr>
          <w:bCs/>
          <w:sz w:val="36"/>
          <w:szCs w:val="36"/>
        </w:rPr>
        <w:t>谈判邀请函</w:t>
      </w:r>
    </w:p>
    <w:p w14:paraId="306CC097">
      <w:pPr>
        <w:spacing w:line="500" w:lineRule="exact"/>
        <w:rPr>
          <w:bCs/>
          <w:sz w:val="24"/>
        </w:rPr>
      </w:pPr>
    </w:p>
    <w:p w14:paraId="4E61F28F">
      <w:pPr>
        <w:spacing w:line="500" w:lineRule="exact"/>
        <w:rPr>
          <w:bCs/>
          <w:sz w:val="24"/>
        </w:rPr>
      </w:pPr>
      <w:r>
        <w:rPr>
          <w:rFonts w:hint="eastAsia"/>
          <w:bCs/>
          <w:sz w:val="24"/>
        </w:rPr>
        <w:t>受</w:t>
      </w:r>
      <w:r>
        <w:rPr>
          <w:bCs/>
          <w:sz w:val="24"/>
        </w:rPr>
        <w:t>邀请供应商：</w:t>
      </w:r>
    </w:p>
    <w:p w14:paraId="2A06D6EA">
      <w:pPr>
        <w:spacing w:line="440" w:lineRule="exact"/>
        <w:ind w:firstLine="480" w:firstLineChars="200"/>
        <w:rPr>
          <w:bCs/>
          <w:sz w:val="24"/>
          <w:u w:val="single"/>
        </w:rPr>
      </w:pPr>
      <w:r>
        <w:rPr>
          <w:bCs/>
          <w:sz w:val="24"/>
        </w:rPr>
        <w:t>谈判小组确定你公司为</w:t>
      </w:r>
      <w:r>
        <w:rPr>
          <w:rFonts w:hint="eastAsia"/>
          <w:sz w:val="24"/>
        </w:rPr>
        <w:t>（</w:t>
      </w:r>
      <w:bookmarkStart w:id="1" w:name="OLE_LINK27"/>
      <w:r>
        <w:rPr>
          <w:rFonts w:hint="eastAsia"/>
          <w:bCs/>
          <w:sz w:val="24"/>
          <w:u w:val="single"/>
        </w:rPr>
        <w:t>工业级内窥镜采购项目</w:t>
      </w:r>
      <w:bookmarkEnd w:id="1"/>
      <w:r>
        <w:rPr>
          <w:rFonts w:hint="eastAsia"/>
          <w:bCs/>
          <w:sz w:val="24"/>
          <w:u w:val="single"/>
          <w:lang w:eastAsia="zh-CN"/>
        </w:rPr>
        <w:t>（第二次）</w:t>
      </w:r>
      <w:r>
        <w:rPr>
          <w:rFonts w:hint="eastAsia"/>
          <w:sz w:val="24"/>
        </w:rPr>
        <w:t>）</w:t>
      </w:r>
      <w:r>
        <w:rPr>
          <w:bCs/>
          <w:sz w:val="24"/>
        </w:rPr>
        <w:t>的谈判供应商，现邀请你公司参加谈判。</w:t>
      </w:r>
    </w:p>
    <w:p w14:paraId="42AE6C7D">
      <w:pPr>
        <w:spacing w:line="440" w:lineRule="exact"/>
        <w:ind w:firstLine="480" w:firstLineChars="200"/>
        <w:rPr>
          <w:bCs/>
          <w:sz w:val="24"/>
        </w:rPr>
      </w:pPr>
      <w:r>
        <w:rPr>
          <w:bCs/>
          <w:sz w:val="24"/>
        </w:rPr>
        <w:t>一、项目编号：</w:t>
      </w:r>
    </w:p>
    <w:p w14:paraId="6CD0473A">
      <w:pPr>
        <w:spacing w:line="440" w:lineRule="exact"/>
        <w:ind w:firstLine="480" w:firstLineChars="200"/>
        <w:rPr>
          <w:rFonts w:hint="eastAsia" w:eastAsia="宋体"/>
          <w:bCs/>
          <w:sz w:val="24"/>
          <w:lang w:eastAsia="zh-CN"/>
        </w:rPr>
      </w:pPr>
      <w:r>
        <w:rPr>
          <w:bCs/>
          <w:sz w:val="24"/>
        </w:rPr>
        <w:t>二、项目名称：</w:t>
      </w:r>
      <w:r>
        <w:rPr>
          <w:rFonts w:hint="eastAsia"/>
          <w:bCs/>
          <w:sz w:val="24"/>
          <w:u w:val="single"/>
        </w:rPr>
        <w:t>工业级内窥镜采购项目</w:t>
      </w:r>
      <w:r>
        <w:rPr>
          <w:rFonts w:hint="eastAsia"/>
          <w:bCs/>
          <w:sz w:val="24"/>
          <w:u w:val="single"/>
          <w:lang w:eastAsia="zh-CN"/>
        </w:rPr>
        <w:t>（第二次）</w:t>
      </w:r>
    </w:p>
    <w:p w14:paraId="3555E5D4">
      <w:pPr>
        <w:spacing w:line="440" w:lineRule="exact"/>
        <w:ind w:firstLine="480" w:firstLineChars="200"/>
        <w:rPr>
          <w:bCs/>
          <w:sz w:val="24"/>
        </w:rPr>
      </w:pPr>
      <w:r>
        <w:rPr>
          <w:bCs/>
          <w:sz w:val="24"/>
        </w:rPr>
        <w:t>三、谈判内容：</w:t>
      </w:r>
    </w:p>
    <w:tbl>
      <w:tblPr>
        <w:tblStyle w:val="27"/>
        <w:tblW w:w="818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8"/>
        <w:gridCol w:w="5124"/>
        <w:gridCol w:w="2246"/>
      </w:tblGrid>
      <w:tr w14:paraId="0911A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1" w:hRule="atLeast"/>
        </w:trPr>
        <w:tc>
          <w:tcPr>
            <w:tcW w:w="818" w:type="dxa"/>
            <w:tcBorders>
              <w:top w:val="single" w:color="000000" w:sz="4" w:space="0"/>
              <w:left w:val="single" w:color="000000" w:sz="4" w:space="0"/>
              <w:bottom w:val="single" w:color="000000" w:sz="4" w:space="0"/>
              <w:right w:val="single" w:color="000000" w:sz="4" w:space="0"/>
            </w:tcBorders>
            <w:vAlign w:val="center"/>
          </w:tcPr>
          <w:p w14:paraId="4A7E7324">
            <w:pPr>
              <w:shd w:val="clear" w:color="auto" w:fill="FFFFFF"/>
              <w:spacing w:line="440" w:lineRule="exact"/>
              <w:jc w:val="center"/>
              <w:rPr>
                <w:rFonts w:hint="eastAsia" w:ascii="宋体" w:hAnsi="宋体" w:cs="宋体"/>
                <w:sz w:val="24"/>
              </w:rPr>
            </w:pPr>
            <w:r>
              <w:rPr>
                <w:rFonts w:hint="eastAsia" w:ascii="宋体" w:hAnsi="宋体" w:cs="宋体"/>
                <w:sz w:val="24"/>
              </w:rPr>
              <w:t>序号</w:t>
            </w:r>
          </w:p>
        </w:tc>
        <w:tc>
          <w:tcPr>
            <w:tcW w:w="5124" w:type="dxa"/>
            <w:tcBorders>
              <w:top w:val="single" w:color="000000" w:sz="4" w:space="0"/>
              <w:left w:val="nil"/>
              <w:bottom w:val="single" w:color="000000" w:sz="4" w:space="0"/>
              <w:right w:val="single" w:color="000000" w:sz="4" w:space="0"/>
            </w:tcBorders>
            <w:vAlign w:val="center"/>
          </w:tcPr>
          <w:p w14:paraId="3A0BA939">
            <w:pPr>
              <w:shd w:val="clear" w:color="auto" w:fill="FFFFFF"/>
              <w:spacing w:line="440" w:lineRule="exact"/>
              <w:jc w:val="center"/>
              <w:rPr>
                <w:rFonts w:hint="eastAsia" w:ascii="宋体" w:hAnsi="宋体" w:cs="宋体"/>
                <w:sz w:val="24"/>
              </w:rPr>
            </w:pPr>
            <w:r>
              <w:rPr>
                <w:rFonts w:hint="eastAsia" w:ascii="宋体" w:hAnsi="宋体" w:cs="宋体"/>
                <w:sz w:val="24"/>
              </w:rPr>
              <w:t>服务名称</w:t>
            </w:r>
          </w:p>
        </w:tc>
        <w:tc>
          <w:tcPr>
            <w:tcW w:w="2246" w:type="dxa"/>
            <w:tcBorders>
              <w:top w:val="single" w:color="000000" w:sz="4" w:space="0"/>
              <w:left w:val="nil"/>
              <w:bottom w:val="single" w:color="000000" w:sz="4" w:space="0"/>
              <w:right w:val="single" w:color="000000" w:sz="4" w:space="0"/>
            </w:tcBorders>
            <w:vAlign w:val="center"/>
          </w:tcPr>
          <w:p w14:paraId="47C35709">
            <w:pPr>
              <w:shd w:val="clear" w:color="auto" w:fill="FFFFFF"/>
              <w:spacing w:line="440" w:lineRule="exact"/>
              <w:jc w:val="center"/>
              <w:rPr>
                <w:rFonts w:hint="eastAsia" w:ascii="宋体" w:hAnsi="宋体" w:cs="宋体"/>
                <w:sz w:val="24"/>
              </w:rPr>
            </w:pPr>
            <w:r>
              <w:rPr>
                <w:rFonts w:hint="eastAsia" w:ascii="宋体" w:hAnsi="宋体" w:cs="宋体"/>
                <w:sz w:val="24"/>
              </w:rPr>
              <w:t>数  量</w:t>
            </w:r>
          </w:p>
        </w:tc>
      </w:tr>
      <w:tr w14:paraId="2099F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7" w:hRule="atLeast"/>
        </w:trPr>
        <w:tc>
          <w:tcPr>
            <w:tcW w:w="818" w:type="dxa"/>
            <w:tcBorders>
              <w:top w:val="single" w:color="000000" w:sz="4" w:space="0"/>
              <w:left w:val="single" w:color="000000" w:sz="4" w:space="0"/>
              <w:right w:val="single" w:color="000000" w:sz="4" w:space="0"/>
            </w:tcBorders>
            <w:vAlign w:val="center"/>
          </w:tcPr>
          <w:p w14:paraId="083AB9A2">
            <w:pPr>
              <w:shd w:val="clear" w:color="auto" w:fill="FFFFFF"/>
              <w:spacing w:line="440" w:lineRule="exact"/>
              <w:jc w:val="center"/>
              <w:rPr>
                <w:rFonts w:hint="eastAsia" w:ascii="宋体" w:hAnsi="宋体" w:cs="宋体"/>
                <w:sz w:val="24"/>
              </w:rPr>
            </w:pPr>
            <w:r>
              <w:rPr>
                <w:rFonts w:hint="eastAsia" w:ascii="宋体" w:hAnsi="宋体" w:cs="宋体"/>
                <w:sz w:val="24"/>
              </w:rPr>
              <w:t>1</w:t>
            </w:r>
          </w:p>
        </w:tc>
        <w:tc>
          <w:tcPr>
            <w:tcW w:w="5124" w:type="dxa"/>
            <w:tcBorders>
              <w:top w:val="single" w:color="000000" w:sz="4" w:space="0"/>
              <w:left w:val="nil"/>
              <w:right w:val="single" w:color="000000" w:sz="4" w:space="0"/>
            </w:tcBorders>
            <w:vAlign w:val="center"/>
          </w:tcPr>
          <w:p w14:paraId="5318F004">
            <w:pPr>
              <w:shd w:val="clear" w:color="auto" w:fill="FFFFFF"/>
              <w:spacing w:line="440" w:lineRule="exact"/>
              <w:jc w:val="center"/>
              <w:rPr>
                <w:rFonts w:hint="eastAsia" w:ascii="宋体" w:hAnsi="宋体" w:cs="宋体"/>
                <w:sz w:val="24"/>
              </w:rPr>
            </w:pPr>
            <w:r>
              <w:rPr>
                <w:rFonts w:hint="eastAsia" w:ascii="宋体" w:hAnsi="宋体" w:cs="宋体"/>
                <w:sz w:val="24"/>
              </w:rPr>
              <w:t>工业级内窥镜采购</w:t>
            </w:r>
          </w:p>
        </w:tc>
        <w:tc>
          <w:tcPr>
            <w:tcW w:w="2246" w:type="dxa"/>
            <w:tcBorders>
              <w:top w:val="single" w:color="000000" w:sz="4" w:space="0"/>
              <w:left w:val="nil"/>
              <w:right w:val="single" w:color="000000" w:sz="4" w:space="0"/>
            </w:tcBorders>
            <w:vAlign w:val="center"/>
          </w:tcPr>
          <w:p w14:paraId="6F78DF3C">
            <w:pPr>
              <w:jc w:val="center"/>
              <w:rPr>
                <w:rFonts w:hint="eastAsia" w:ascii="宋体" w:hAnsi="宋体" w:cs="宋体"/>
                <w:sz w:val="24"/>
              </w:rPr>
            </w:pPr>
            <w:r>
              <w:rPr>
                <w:rFonts w:hint="eastAsia" w:ascii="宋体" w:hAnsi="宋体" w:cs="宋体"/>
                <w:sz w:val="24"/>
              </w:rPr>
              <w:t>1</w:t>
            </w:r>
          </w:p>
        </w:tc>
      </w:tr>
    </w:tbl>
    <w:p w14:paraId="58EF84D8">
      <w:pPr>
        <w:spacing w:line="440" w:lineRule="exact"/>
        <w:rPr>
          <w:bCs/>
          <w:sz w:val="24"/>
        </w:rPr>
      </w:pPr>
    </w:p>
    <w:p w14:paraId="5888E4EC">
      <w:pPr>
        <w:spacing w:line="440" w:lineRule="exact"/>
        <w:ind w:firstLine="480" w:firstLineChars="200"/>
        <w:rPr>
          <w:bCs/>
          <w:sz w:val="24"/>
        </w:rPr>
      </w:pPr>
      <w:r>
        <w:rPr>
          <w:bCs/>
          <w:sz w:val="24"/>
        </w:rPr>
        <w:t>四、采购预算：</w:t>
      </w:r>
      <w:r>
        <w:rPr>
          <w:rFonts w:hint="eastAsia"/>
          <w:bCs/>
          <w:sz w:val="24"/>
          <w:u w:val="single"/>
        </w:rPr>
        <w:t xml:space="preserve">   180000   </w:t>
      </w:r>
      <w:r>
        <w:rPr>
          <w:rFonts w:hint="eastAsia"/>
          <w:bCs/>
          <w:sz w:val="24"/>
        </w:rPr>
        <w:t>元</w:t>
      </w:r>
    </w:p>
    <w:p w14:paraId="56A690F7">
      <w:pPr>
        <w:spacing w:line="440" w:lineRule="exact"/>
        <w:ind w:firstLine="480" w:firstLineChars="200"/>
        <w:rPr>
          <w:sz w:val="24"/>
        </w:rPr>
      </w:pPr>
      <w:r>
        <w:rPr>
          <w:bCs/>
          <w:sz w:val="24"/>
        </w:rPr>
        <w:t>五、供应商资格条件</w:t>
      </w:r>
      <w:r>
        <w:rPr>
          <w:rFonts w:hint="eastAsia" w:cs="宋体"/>
          <w:sz w:val="24"/>
        </w:rPr>
        <w:t>：详见《供应商须知前附表》。</w:t>
      </w:r>
    </w:p>
    <w:p w14:paraId="328CB8ED">
      <w:pPr>
        <w:spacing w:line="440" w:lineRule="exact"/>
        <w:ind w:firstLine="480"/>
        <w:outlineLvl w:val="0"/>
        <w:rPr>
          <w:sz w:val="24"/>
        </w:rPr>
      </w:pPr>
      <w:r>
        <w:rPr>
          <w:rFonts w:hint="eastAsia" w:cs="宋体"/>
          <w:sz w:val="24"/>
        </w:rPr>
        <w:t>六、竞争性谈判文件的获得</w:t>
      </w:r>
    </w:p>
    <w:p w14:paraId="622B145A">
      <w:pPr>
        <w:spacing w:line="440" w:lineRule="exact"/>
        <w:ind w:firstLine="480"/>
        <w:rPr>
          <w:sz w:val="24"/>
        </w:rPr>
      </w:pPr>
      <w:r>
        <w:rPr>
          <w:rFonts w:hint="eastAsia" w:cs="宋体"/>
          <w:sz w:val="24"/>
        </w:rPr>
        <w:t>（一）获取时间：</w:t>
      </w:r>
      <w:r>
        <w:rPr>
          <w:sz w:val="24"/>
        </w:rPr>
        <w:t>20</w:t>
      </w:r>
      <w:r>
        <w:rPr>
          <w:rFonts w:hint="eastAsia"/>
          <w:sz w:val="24"/>
        </w:rPr>
        <w:t>26</w:t>
      </w:r>
      <w:r>
        <w:rPr>
          <w:rFonts w:hint="eastAsia" w:cs="宋体"/>
          <w:sz w:val="24"/>
        </w:rPr>
        <w:t>年</w:t>
      </w:r>
      <w:r>
        <w:rPr>
          <w:rFonts w:hint="eastAsia"/>
          <w:sz w:val="24"/>
        </w:rPr>
        <w:t xml:space="preserve"> 10 </w:t>
      </w:r>
      <w:r>
        <w:rPr>
          <w:rFonts w:hint="eastAsia" w:cs="宋体"/>
          <w:sz w:val="24"/>
        </w:rPr>
        <w:t>月</w:t>
      </w:r>
      <w:r>
        <w:rPr>
          <w:rFonts w:hint="eastAsia"/>
          <w:sz w:val="24"/>
        </w:rPr>
        <w:t xml:space="preserve"> </w:t>
      </w:r>
      <w:r>
        <w:rPr>
          <w:rFonts w:hint="eastAsia"/>
          <w:sz w:val="24"/>
          <w:lang w:val="en-US" w:eastAsia="zh-CN"/>
        </w:rPr>
        <w:t>20</w:t>
      </w:r>
      <w:r>
        <w:rPr>
          <w:rFonts w:hint="eastAsia"/>
          <w:sz w:val="24"/>
        </w:rPr>
        <w:t xml:space="preserve"> </w:t>
      </w:r>
      <w:r>
        <w:rPr>
          <w:rFonts w:hint="eastAsia" w:cs="宋体"/>
          <w:sz w:val="24"/>
        </w:rPr>
        <w:t>日（工作时间）。</w:t>
      </w:r>
    </w:p>
    <w:p w14:paraId="35E5BC0E">
      <w:pPr>
        <w:spacing w:line="440" w:lineRule="exact"/>
        <w:ind w:firstLine="480"/>
        <w:rPr>
          <w:sz w:val="24"/>
        </w:rPr>
      </w:pPr>
      <w:r>
        <w:rPr>
          <w:rFonts w:hint="eastAsia" w:cs="宋体"/>
          <w:sz w:val="24"/>
        </w:rPr>
        <w:t>（二）领取方式</w:t>
      </w:r>
      <w:r>
        <w:rPr>
          <w:rFonts w:hint="eastAsia" w:cs="宋体"/>
          <w:sz w:val="24"/>
          <w:lang w:eastAsia="zh-CN"/>
        </w:rPr>
        <w:t>：</w:t>
      </w:r>
      <w:r>
        <w:rPr>
          <w:rFonts w:hint="eastAsia" w:cs="宋体"/>
          <w:sz w:val="24"/>
        </w:rPr>
        <w:t>湖北省博物馆官网上获取。</w:t>
      </w:r>
    </w:p>
    <w:p w14:paraId="320C2DFC">
      <w:pPr>
        <w:spacing w:line="440" w:lineRule="exact"/>
        <w:ind w:firstLine="480"/>
        <w:rPr>
          <w:sz w:val="24"/>
        </w:rPr>
      </w:pPr>
      <w:r>
        <w:rPr>
          <w:rFonts w:hint="eastAsia" w:cs="宋体"/>
          <w:sz w:val="24"/>
        </w:rPr>
        <w:t>七、递交响应文件截止时间和谈判时间：详见《供应商须知前附表》。</w:t>
      </w:r>
    </w:p>
    <w:p w14:paraId="0C2C58F9">
      <w:pPr>
        <w:spacing w:line="440" w:lineRule="exact"/>
        <w:ind w:firstLine="480"/>
        <w:rPr>
          <w:sz w:val="24"/>
        </w:rPr>
      </w:pPr>
      <w:r>
        <w:rPr>
          <w:rFonts w:hint="eastAsia" w:cs="宋体"/>
          <w:sz w:val="24"/>
        </w:rPr>
        <w:t>八、响应文件送达地点：详见《供应商须知前附表》。</w:t>
      </w:r>
    </w:p>
    <w:p w14:paraId="317676EC">
      <w:pPr>
        <w:spacing w:line="440" w:lineRule="exact"/>
        <w:ind w:firstLine="480" w:firstLineChars="200"/>
        <w:rPr>
          <w:sz w:val="24"/>
        </w:rPr>
      </w:pPr>
      <w:r>
        <w:rPr>
          <w:rFonts w:hint="eastAsia" w:cs="宋体"/>
          <w:sz w:val="24"/>
        </w:rPr>
        <w:t>九、联系方式：详见《供应商须知前附表》。</w:t>
      </w:r>
    </w:p>
    <w:p w14:paraId="37B01EE8">
      <w:pPr>
        <w:spacing w:line="440" w:lineRule="exact"/>
        <w:jc w:val="right"/>
        <w:rPr>
          <w:sz w:val="24"/>
        </w:rPr>
      </w:pPr>
    </w:p>
    <w:p w14:paraId="1FF4FB31">
      <w:pPr>
        <w:spacing w:line="440" w:lineRule="exact"/>
        <w:jc w:val="left"/>
        <w:rPr>
          <w:sz w:val="24"/>
        </w:rPr>
      </w:pPr>
      <w:r>
        <w:rPr>
          <w:rFonts w:hint="eastAsia" w:ascii="宋体" w:hAnsi="宋体" w:cs="宋体"/>
          <w:kern w:val="0"/>
          <w:sz w:val="24"/>
        </w:rPr>
        <w:t xml:space="preserve">                                                     </w:t>
      </w:r>
      <w:r>
        <w:rPr>
          <w:rFonts w:ascii="宋体" w:hAnsi="宋体" w:cs="宋体"/>
          <w:kern w:val="0"/>
          <w:sz w:val="24"/>
        </w:rPr>
        <w:t>湖北省</w:t>
      </w:r>
      <w:r>
        <w:rPr>
          <w:rFonts w:hint="eastAsia" w:ascii="宋体" w:hAnsi="宋体" w:cs="宋体"/>
          <w:kern w:val="0"/>
          <w:sz w:val="24"/>
        </w:rPr>
        <w:t>博物馆</w:t>
      </w:r>
    </w:p>
    <w:p w14:paraId="589E5F5B">
      <w:pPr>
        <w:spacing w:line="440" w:lineRule="exact"/>
        <w:ind w:firstLine="6240" w:firstLineChars="2600"/>
        <w:outlineLvl w:val="0"/>
        <w:rPr>
          <w:sz w:val="24"/>
        </w:rPr>
      </w:pPr>
      <w:r>
        <w:rPr>
          <w:sz w:val="24"/>
        </w:rPr>
        <w:t>20</w:t>
      </w:r>
      <w:r>
        <w:rPr>
          <w:rFonts w:hint="eastAsia"/>
          <w:sz w:val="24"/>
        </w:rPr>
        <w:t>26</w:t>
      </w:r>
      <w:r>
        <w:rPr>
          <w:sz w:val="24"/>
        </w:rPr>
        <w:t>年</w:t>
      </w:r>
      <w:r>
        <w:rPr>
          <w:rFonts w:hint="eastAsia"/>
          <w:sz w:val="24"/>
        </w:rPr>
        <w:t>10</w:t>
      </w:r>
      <w:r>
        <w:rPr>
          <w:sz w:val="24"/>
        </w:rPr>
        <w:t>月</w:t>
      </w:r>
      <w:r>
        <w:rPr>
          <w:rFonts w:hint="eastAsia"/>
          <w:sz w:val="24"/>
          <w:lang w:val="en-US" w:eastAsia="zh-CN"/>
        </w:rPr>
        <w:t>19</w:t>
      </w:r>
      <w:r>
        <w:rPr>
          <w:sz w:val="24"/>
        </w:rPr>
        <w:t>日</w:t>
      </w:r>
    </w:p>
    <w:p w14:paraId="6A2B622D">
      <w:pPr>
        <w:widowControl/>
        <w:jc w:val="left"/>
        <w:rPr>
          <w:sz w:val="24"/>
        </w:rPr>
      </w:pPr>
      <w:r>
        <w:rPr>
          <w:sz w:val="24"/>
        </w:rPr>
        <w:br w:type="page"/>
      </w:r>
    </w:p>
    <w:p w14:paraId="7215D6DA">
      <w:pPr>
        <w:adjustRightInd w:val="0"/>
        <w:snapToGrid w:val="0"/>
        <w:ind w:left="-146" w:leftChars="-52" w:right="-196" w:rightChars="-70" w:firstLine="1"/>
        <w:jc w:val="center"/>
        <w:outlineLvl w:val="0"/>
        <w:rPr>
          <w:b/>
          <w:bCs/>
          <w:sz w:val="36"/>
          <w:szCs w:val="36"/>
        </w:rPr>
      </w:pPr>
      <w:r>
        <w:rPr>
          <w:b/>
          <w:sz w:val="36"/>
          <w:szCs w:val="36"/>
        </w:rPr>
        <w:t>第二章</w:t>
      </w:r>
      <w:r>
        <w:rPr>
          <w:rFonts w:hint="eastAsia"/>
          <w:b/>
          <w:sz w:val="36"/>
          <w:szCs w:val="36"/>
        </w:rPr>
        <w:t xml:space="preserve">  </w:t>
      </w:r>
      <w:r>
        <w:rPr>
          <w:b/>
          <w:bCs/>
          <w:sz w:val="36"/>
          <w:szCs w:val="36"/>
        </w:rPr>
        <w:t>谈判须知</w:t>
      </w:r>
    </w:p>
    <w:p w14:paraId="667BA21F">
      <w:pPr>
        <w:jc w:val="center"/>
        <w:rPr>
          <w:szCs w:val="28"/>
        </w:rPr>
      </w:pPr>
    </w:p>
    <w:p w14:paraId="24A7B690">
      <w:pPr>
        <w:jc w:val="center"/>
        <w:rPr>
          <w:szCs w:val="28"/>
        </w:rPr>
      </w:pPr>
      <w:r>
        <w:rPr>
          <w:rFonts w:hint="eastAsia"/>
          <w:szCs w:val="28"/>
        </w:rPr>
        <w:t>一、供应商</w:t>
      </w:r>
      <w:r>
        <w:rPr>
          <w:szCs w:val="28"/>
        </w:rPr>
        <w:t>须知前附表</w:t>
      </w:r>
    </w:p>
    <w:tbl>
      <w:tblPr>
        <w:tblStyle w:val="27"/>
        <w:tblW w:w="852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7"/>
        <w:gridCol w:w="6429"/>
      </w:tblGrid>
      <w:tr w14:paraId="14E30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61236963">
            <w:pPr>
              <w:ind w:left="1" w:leftChars="-50" w:right="-106" w:rightChars="-38" w:hanging="141" w:hangingChars="59"/>
              <w:jc w:val="center"/>
              <w:rPr>
                <w:kern w:val="0"/>
                <w:sz w:val="24"/>
              </w:rPr>
            </w:pPr>
            <w:r>
              <w:rPr>
                <w:rFonts w:hint="eastAsia" w:cs="宋体"/>
                <w:kern w:val="0"/>
                <w:sz w:val="24"/>
              </w:rPr>
              <w:t>条款号</w:t>
            </w:r>
          </w:p>
        </w:tc>
        <w:tc>
          <w:tcPr>
            <w:tcW w:w="1277" w:type="dxa"/>
            <w:vAlign w:val="center"/>
          </w:tcPr>
          <w:p w14:paraId="6378CBCD">
            <w:pPr>
              <w:jc w:val="center"/>
              <w:rPr>
                <w:kern w:val="0"/>
                <w:sz w:val="24"/>
              </w:rPr>
            </w:pPr>
            <w:r>
              <w:rPr>
                <w:rFonts w:hint="eastAsia" w:cs="宋体"/>
                <w:kern w:val="0"/>
                <w:sz w:val="24"/>
              </w:rPr>
              <w:t>名称</w:t>
            </w:r>
          </w:p>
        </w:tc>
        <w:tc>
          <w:tcPr>
            <w:tcW w:w="6429" w:type="dxa"/>
            <w:vAlign w:val="center"/>
          </w:tcPr>
          <w:p w14:paraId="24071780">
            <w:pPr>
              <w:jc w:val="center"/>
              <w:rPr>
                <w:kern w:val="0"/>
                <w:sz w:val="24"/>
              </w:rPr>
            </w:pPr>
            <w:r>
              <w:rPr>
                <w:rFonts w:hint="eastAsia" w:cs="宋体"/>
                <w:kern w:val="0"/>
                <w:sz w:val="24"/>
              </w:rPr>
              <w:t>内容</w:t>
            </w:r>
          </w:p>
        </w:tc>
      </w:tr>
      <w:tr w14:paraId="7A744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restart"/>
            <w:vAlign w:val="center"/>
          </w:tcPr>
          <w:p w14:paraId="22F6C416">
            <w:pPr>
              <w:jc w:val="center"/>
              <w:rPr>
                <w:kern w:val="0"/>
                <w:sz w:val="24"/>
              </w:rPr>
            </w:pPr>
            <w:r>
              <w:rPr>
                <w:kern w:val="0"/>
                <w:sz w:val="24"/>
              </w:rPr>
              <w:t>1.1</w:t>
            </w:r>
          </w:p>
        </w:tc>
        <w:tc>
          <w:tcPr>
            <w:tcW w:w="1277" w:type="dxa"/>
            <w:vAlign w:val="center"/>
          </w:tcPr>
          <w:p w14:paraId="17E3E1AD">
            <w:pPr>
              <w:rPr>
                <w:kern w:val="0"/>
                <w:sz w:val="24"/>
              </w:rPr>
            </w:pPr>
            <w:r>
              <w:rPr>
                <w:rFonts w:hint="eastAsia" w:cs="宋体"/>
                <w:kern w:val="0"/>
                <w:sz w:val="24"/>
              </w:rPr>
              <w:t>项目名称</w:t>
            </w:r>
          </w:p>
        </w:tc>
        <w:tc>
          <w:tcPr>
            <w:tcW w:w="6429" w:type="dxa"/>
            <w:vAlign w:val="center"/>
          </w:tcPr>
          <w:p w14:paraId="2096E765">
            <w:pPr>
              <w:rPr>
                <w:bCs/>
                <w:kern w:val="0"/>
                <w:sz w:val="24"/>
              </w:rPr>
            </w:pPr>
            <w:r>
              <w:rPr>
                <w:rFonts w:hint="eastAsia"/>
                <w:bCs/>
                <w:kern w:val="0"/>
                <w:sz w:val="24"/>
              </w:rPr>
              <w:t>工业级内窥镜采购项目（第二次）</w:t>
            </w:r>
          </w:p>
        </w:tc>
      </w:tr>
      <w:tr w14:paraId="2313B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14:paraId="38B34028">
            <w:pPr>
              <w:jc w:val="center"/>
              <w:rPr>
                <w:kern w:val="0"/>
                <w:sz w:val="24"/>
              </w:rPr>
            </w:pPr>
          </w:p>
        </w:tc>
        <w:tc>
          <w:tcPr>
            <w:tcW w:w="1277" w:type="dxa"/>
            <w:vAlign w:val="center"/>
          </w:tcPr>
          <w:p w14:paraId="34D247B6">
            <w:pPr>
              <w:rPr>
                <w:kern w:val="0"/>
                <w:sz w:val="24"/>
              </w:rPr>
            </w:pPr>
            <w:r>
              <w:rPr>
                <w:rFonts w:hint="eastAsia" w:cs="宋体"/>
                <w:kern w:val="0"/>
                <w:sz w:val="24"/>
              </w:rPr>
              <w:t>采购内容</w:t>
            </w:r>
          </w:p>
        </w:tc>
        <w:tc>
          <w:tcPr>
            <w:tcW w:w="6429" w:type="dxa"/>
            <w:vAlign w:val="center"/>
          </w:tcPr>
          <w:p w14:paraId="7E4F0DAB">
            <w:pPr>
              <w:rPr>
                <w:bCs/>
                <w:kern w:val="0"/>
                <w:sz w:val="24"/>
              </w:rPr>
            </w:pPr>
            <w:r>
              <w:rPr>
                <w:rFonts w:hint="eastAsia"/>
                <w:bCs/>
                <w:kern w:val="0"/>
                <w:sz w:val="24"/>
              </w:rPr>
              <w:t>工业级内窥镜采购</w:t>
            </w:r>
          </w:p>
        </w:tc>
      </w:tr>
      <w:tr w14:paraId="05BCE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14:paraId="3570D84F">
            <w:pPr>
              <w:jc w:val="center"/>
              <w:rPr>
                <w:kern w:val="0"/>
                <w:sz w:val="24"/>
              </w:rPr>
            </w:pPr>
          </w:p>
        </w:tc>
        <w:tc>
          <w:tcPr>
            <w:tcW w:w="1277" w:type="dxa"/>
            <w:vAlign w:val="center"/>
          </w:tcPr>
          <w:p w14:paraId="06AE6A9C">
            <w:pPr>
              <w:rPr>
                <w:kern w:val="0"/>
                <w:sz w:val="24"/>
              </w:rPr>
            </w:pPr>
            <w:r>
              <w:rPr>
                <w:rFonts w:hint="eastAsia" w:cs="宋体"/>
                <w:kern w:val="0"/>
                <w:sz w:val="24"/>
              </w:rPr>
              <w:t>采购预算</w:t>
            </w:r>
          </w:p>
        </w:tc>
        <w:tc>
          <w:tcPr>
            <w:tcW w:w="6429" w:type="dxa"/>
            <w:vAlign w:val="center"/>
          </w:tcPr>
          <w:p w14:paraId="66C32BC2">
            <w:pPr>
              <w:rPr>
                <w:kern w:val="0"/>
                <w:sz w:val="24"/>
              </w:rPr>
            </w:pPr>
            <w:r>
              <w:rPr>
                <w:rFonts w:hint="eastAsia" w:cs="宋体"/>
                <w:kern w:val="0"/>
                <w:sz w:val="24"/>
              </w:rPr>
              <w:t>18万元</w:t>
            </w:r>
          </w:p>
        </w:tc>
      </w:tr>
      <w:tr w14:paraId="4367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trPr>
        <w:tc>
          <w:tcPr>
            <w:tcW w:w="816" w:type="dxa"/>
            <w:vMerge w:val="continue"/>
            <w:vAlign w:val="center"/>
          </w:tcPr>
          <w:p w14:paraId="4920861A">
            <w:pPr>
              <w:jc w:val="center"/>
              <w:rPr>
                <w:kern w:val="0"/>
                <w:sz w:val="24"/>
              </w:rPr>
            </w:pPr>
          </w:p>
        </w:tc>
        <w:tc>
          <w:tcPr>
            <w:tcW w:w="1277" w:type="dxa"/>
            <w:vAlign w:val="center"/>
          </w:tcPr>
          <w:p w14:paraId="6A18E522">
            <w:pPr>
              <w:rPr>
                <w:strike/>
                <w:kern w:val="0"/>
                <w:sz w:val="24"/>
              </w:rPr>
            </w:pPr>
            <w:r>
              <w:rPr>
                <w:rFonts w:hint="eastAsia" w:cs="宋体"/>
                <w:kern w:val="0"/>
                <w:sz w:val="24"/>
              </w:rPr>
              <w:t>采购人</w:t>
            </w:r>
          </w:p>
        </w:tc>
        <w:tc>
          <w:tcPr>
            <w:tcW w:w="6429" w:type="dxa"/>
            <w:vAlign w:val="center"/>
          </w:tcPr>
          <w:p w14:paraId="3048E3E5">
            <w:pPr>
              <w:rPr>
                <w:rFonts w:cs="宋体"/>
                <w:kern w:val="0"/>
                <w:sz w:val="24"/>
              </w:rPr>
            </w:pPr>
            <w:r>
              <w:rPr>
                <w:rFonts w:hint="eastAsia" w:cs="宋体"/>
                <w:kern w:val="0"/>
                <w:sz w:val="24"/>
              </w:rPr>
              <w:t>名称：湖北省博物馆</w:t>
            </w:r>
          </w:p>
          <w:p w14:paraId="2E3CE086">
            <w:pPr>
              <w:rPr>
                <w:kern w:val="0"/>
                <w:sz w:val="24"/>
              </w:rPr>
            </w:pPr>
            <w:r>
              <w:rPr>
                <w:rFonts w:hint="eastAsia" w:cs="宋体"/>
                <w:kern w:val="0"/>
                <w:sz w:val="24"/>
              </w:rPr>
              <w:t>联系人：卢晓霜</w:t>
            </w:r>
            <w:r>
              <w:rPr>
                <w:kern w:val="0"/>
                <w:sz w:val="24"/>
              </w:rPr>
              <w:fldChar w:fldCharType="begin"/>
            </w:r>
            <w:r>
              <w:rPr>
                <w:kern w:val="0"/>
                <w:sz w:val="24"/>
              </w:rPr>
              <w:instrText xml:space="preserve">&lt;MK&gt;buyers.ownerlinkman &lt;/MK&gt;</w:instrText>
            </w:r>
            <w:r>
              <w:rPr>
                <w:kern w:val="0"/>
                <w:sz w:val="24"/>
              </w:rPr>
              <w:fldChar w:fldCharType="end"/>
            </w:r>
          </w:p>
          <w:p w14:paraId="3E0264EF">
            <w:pPr>
              <w:rPr>
                <w:kern w:val="0"/>
                <w:sz w:val="24"/>
              </w:rPr>
            </w:pPr>
            <w:r>
              <w:rPr>
                <w:rFonts w:hint="eastAsia" w:cs="宋体"/>
                <w:kern w:val="0"/>
                <w:sz w:val="24"/>
              </w:rPr>
              <w:t>联系方式：15927373183</w:t>
            </w:r>
          </w:p>
          <w:p w14:paraId="3A78317F">
            <w:pPr>
              <w:rPr>
                <w:strike/>
                <w:kern w:val="0"/>
                <w:sz w:val="24"/>
              </w:rPr>
            </w:pPr>
            <w:r>
              <w:rPr>
                <w:rFonts w:hint="eastAsia" w:cs="宋体"/>
                <w:kern w:val="0"/>
                <w:sz w:val="24"/>
              </w:rPr>
              <w:t>地址：武汉市武昌区东湖路160号</w:t>
            </w:r>
          </w:p>
        </w:tc>
      </w:tr>
      <w:tr w14:paraId="73B1F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74C445FB">
            <w:pPr>
              <w:jc w:val="center"/>
              <w:rPr>
                <w:kern w:val="0"/>
                <w:sz w:val="24"/>
              </w:rPr>
            </w:pPr>
            <w:r>
              <w:rPr>
                <w:kern w:val="0"/>
                <w:sz w:val="24"/>
              </w:rPr>
              <w:t>2.</w:t>
            </w:r>
            <w:r>
              <w:rPr>
                <w:rFonts w:hint="eastAsia"/>
                <w:kern w:val="0"/>
                <w:sz w:val="24"/>
              </w:rPr>
              <w:t>1</w:t>
            </w:r>
          </w:p>
        </w:tc>
        <w:tc>
          <w:tcPr>
            <w:tcW w:w="1277" w:type="dxa"/>
            <w:vAlign w:val="center"/>
          </w:tcPr>
          <w:p w14:paraId="7A45795D">
            <w:pPr>
              <w:rPr>
                <w:kern w:val="0"/>
                <w:sz w:val="24"/>
              </w:rPr>
            </w:pPr>
            <w:r>
              <w:rPr>
                <w:rFonts w:hint="eastAsia" w:cs="宋体"/>
                <w:kern w:val="0"/>
                <w:sz w:val="24"/>
              </w:rPr>
              <w:t>供应商</w:t>
            </w:r>
          </w:p>
        </w:tc>
        <w:tc>
          <w:tcPr>
            <w:tcW w:w="6429" w:type="dxa"/>
            <w:vAlign w:val="center"/>
          </w:tcPr>
          <w:p w14:paraId="2091CCCD">
            <w:pPr>
              <w:rPr>
                <w:kern w:val="0"/>
                <w:sz w:val="24"/>
              </w:rPr>
            </w:pPr>
            <w:r>
              <w:rPr>
                <w:rFonts w:hint="eastAsia" w:cs="宋体"/>
                <w:kern w:val="0"/>
                <w:sz w:val="24"/>
              </w:rPr>
              <w:t>谈判小组从公开征集的供应商名单中确定不少于三家符合本项目资格条件要求的供应商参加谈判。</w:t>
            </w:r>
          </w:p>
        </w:tc>
      </w:tr>
      <w:tr w14:paraId="17AE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46C684F6">
            <w:pPr>
              <w:jc w:val="center"/>
              <w:rPr>
                <w:kern w:val="0"/>
                <w:sz w:val="24"/>
              </w:rPr>
            </w:pPr>
            <w:r>
              <w:rPr>
                <w:kern w:val="0"/>
                <w:sz w:val="24"/>
              </w:rPr>
              <w:t>2.</w:t>
            </w:r>
            <w:r>
              <w:rPr>
                <w:rFonts w:hint="eastAsia"/>
                <w:kern w:val="0"/>
                <w:sz w:val="24"/>
              </w:rPr>
              <w:t>2</w:t>
            </w:r>
          </w:p>
        </w:tc>
        <w:tc>
          <w:tcPr>
            <w:tcW w:w="1277" w:type="dxa"/>
            <w:vAlign w:val="center"/>
          </w:tcPr>
          <w:p w14:paraId="01023B70">
            <w:pPr>
              <w:rPr>
                <w:kern w:val="0"/>
                <w:sz w:val="24"/>
              </w:rPr>
            </w:pPr>
            <w:r>
              <w:rPr>
                <w:rFonts w:hint="eastAsia" w:cs="宋体"/>
                <w:kern w:val="0"/>
                <w:sz w:val="24"/>
              </w:rPr>
              <w:t>供应商资格条件</w:t>
            </w:r>
          </w:p>
        </w:tc>
        <w:tc>
          <w:tcPr>
            <w:tcW w:w="6429" w:type="dxa"/>
            <w:vAlign w:val="center"/>
          </w:tcPr>
          <w:p w14:paraId="18D86983">
            <w:pPr>
              <w:ind w:left="600" w:hanging="600" w:hangingChars="250"/>
              <w:rPr>
                <w:rFonts w:cs="宋体"/>
                <w:kern w:val="0"/>
                <w:sz w:val="24"/>
              </w:rPr>
            </w:pPr>
            <w:r>
              <w:rPr>
                <w:rFonts w:hint="eastAsia" w:cs="宋体"/>
                <w:kern w:val="0"/>
                <w:sz w:val="24"/>
              </w:rPr>
              <w:t>（1）应具备《中华人民共和国政府采购法》第二十二条第一款规定的条件。</w:t>
            </w:r>
          </w:p>
          <w:p w14:paraId="3F4A5F10">
            <w:pPr>
              <w:ind w:left="600" w:hanging="600" w:hangingChars="250"/>
              <w:rPr>
                <w:rFonts w:cs="宋体"/>
                <w:kern w:val="0"/>
                <w:sz w:val="24"/>
              </w:rPr>
            </w:pPr>
            <w:r>
              <w:rPr>
                <w:rFonts w:hint="eastAsia" w:cs="宋体"/>
                <w:kern w:val="0"/>
                <w:sz w:val="24"/>
              </w:rPr>
              <w:t>（2）未被列入“信用中国”网站（www.creditchina.gov.cn）失信被执行人、重大税收违法案件当事人名单、政府采购严重违法失信行为记录名单。</w:t>
            </w:r>
          </w:p>
        </w:tc>
      </w:tr>
      <w:tr w14:paraId="7211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35A98D3E">
            <w:pPr>
              <w:jc w:val="center"/>
              <w:rPr>
                <w:kern w:val="0"/>
                <w:sz w:val="24"/>
              </w:rPr>
            </w:pPr>
            <w:r>
              <w:rPr>
                <w:rFonts w:hint="eastAsia"/>
                <w:kern w:val="0"/>
                <w:sz w:val="24"/>
              </w:rPr>
              <w:t>3</w:t>
            </w:r>
          </w:p>
        </w:tc>
        <w:tc>
          <w:tcPr>
            <w:tcW w:w="1277" w:type="dxa"/>
            <w:vAlign w:val="center"/>
          </w:tcPr>
          <w:p w14:paraId="1223F361">
            <w:pPr>
              <w:rPr>
                <w:kern w:val="0"/>
                <w:sz w:val="24"/>
              </w:rPr>
            </w:pPr>
            <w:r>
              <w:rPr>
                <w:rFonts w:hint="eastAsia"/>
                <w:bCs/>
                <w:sz w:val="24"/>
              </w:rPr>
              <w:t>其他资格证明文件及资料</w:t>
            </w:r>
          </w:p>
        </w:tc>
        <w:tc>
          <w:tcPr>
            <w:tcW w:w="6429" w:type="dxa"/>
            <w:vAlign w:val="center"/>
          </w:tcPr>
          <w:p w14:paraId="7B4B4717">
            <w:pPr>
              <w:rPr>
                <w:kern w:val="0"/>
                <w:sz w:val="24"/>
              </w:rPr>
            </w:pPr>
            <w:bookmarkStart w:id="2" w:name="OLE_LINK2"/>
            <w:r>
              <w:rPr>
                <w:rFonts w:hint="eastAsia"/>
                <w:kern w:val="0"/>
                <w:sz w:val="24"/>
              </w:rPr>
              <w:t>营业执照复印件、质量管理体系认证证书、环境管理体系认证证书、职业健康安全管理体系认证证书。</w:t>
            </w:r>
            <w:bookmarkEnd w:id="2"/>
          </w:p>
        </w:tc>
      </w:tr>
      <w:tr w14:paraId="33E37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816" w:type="dxa"/>
            <w:vAlign w:val="center"/>
          </w:tcPr>
          <w:p w14:paraId="7D63CFDF">
            <w:pPr>
              <w:jc w:val="center"/>
              <w:rPr>
                <w:kern w:val="0"/>
                <w:sz w:val="24"/>
              </w:rPr>
            </w:pPr>
            <w:r>
              <w:rPr>
                <w:rFonts w:hint="eastAsia"/>
                <w:kern w:val="0"/>
                <w:sz w:val="24"/>
              </w:rPr>
              <w:t>4</w:t>
            </w:r>
          </w:p>
        </w:tc>
        <w:tc>
          <w:tcPr>
            <w:tcW w:w="1277" w:type="dxa"/>
            <w:vAlign w:val="center"/>
          </w:tcPr>
          <w:p w14:paraId="32100EF2">
            <w:pPr>
              <w:rPr>
                <w:kern w:val="0"/>
                <w:sz w:val="24"/>
              </w:rPr>
            </w:pPr>
            <w:r>
              <w:rPr>
                <w:rFonts w:hint="eastAsia" w:cs="宋体"/>
                <w:kern w:val="0"/>
                <w:sz w:val="24"/>
              </w:rPr>
              <w:t>响应文件有效期</w:t>
            </w:r>
          </w:p>
        </w:tc>
        <w:tc>
          <w:tcPr>
            <w:tcW w:w="6429" w:type="dxa"/>
            <w:vAlign w:val="center"/>
          </w:tcPr>
          <w:p w14:paraId="1FDC1E0E">
            <w:pPr>
              <w:rPr>
                <w:kern w:val="0"/>
                <w:sz w:val="24"/>
              </w:rPr>
            </w:pPr>
            <w:r>
              <w:rPr>
                <w:rFonts w:hint="eastAsia" w:cs="宋体"/>
                <w:kern w:val="0"/>
                <w:sz w:val="24"/>
              </w:rPr>
              <w:t>谈判之日算起</w:t>
            </w:r>
            <w:r>
              <w:rPr>
                <w:kern w:val="0"/>
                <w:sz w:val="24"/>
              </w:rPr>
              <w:t>90</w:t>
            </w:r>
            <w:r>
              <w:rPr>
                <w:rFonts w:hint="eastAsia" w:cs="宋体"/>
                <w:kern w:val="0"/>
                <w:sz w:val="24"/>
              </w:rPr>
              <w:t>日历日内保持有效。</w:t>
            </w:r>
          </w:p>
        </w:tc>
      </w:tr>
      <w:tr w14:paraId="10B5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816" w:type="dxa"/>
            <w:vAlign w:val="center"/>
          </w:tcPr>
          <w:p w14:paraId="53072397">
            <w:pPr>
              <w:jc w:val="center"/>
              <w:rPr>
                <w:kern w:val="0"/>
                <w:sz w:val="24"/>
              </w:rPr>
            </w:pPr>
            <w:r>
              <w:rPr>
                <w:rFonts w:hint="eastAsia"/>
                <w:kern w:val="0"/>
                <w:sz w:val="24"/>
              </w:rPr>
              <w:t>5</w:t>
            </w:r>
          </w:p>
        </w:tc>
        <w:tc>
          <w:tcPr>
            <w:tcW w:w="1277" w:type="dxa"/>
            <w:vAlign w:val="center"/>
          </w:tcPr>
          <w:p w14:paraId="1DF07D99">
            <w:pPr>
              <w:rPr>
                <w:kern w:val="0"/>
                <w:sz w:val="24"/>
              </w:rPr>
            </w:pPr>
            <w:r>
              <w:rPr>
                <w:rFonts w:hint="eastAsia" w:cs="宋体"/>
                <w:kern w:val="0"/>
                <w:sz w:val="24"/>
              </w:rPr>
              <w:t>报价方式</w:t>
            </w:r>
          </w:p>
        </w:tc>
        <w:tc>
          <w:tcPr>
            <w:tcW w:w="6429" w:type="dxa"/>
            <w:vAlign w:val="center"/>
          </w:tcPr>
          <w:p w14:paraId="19AE650A">
            <w:pPr>
              <w:rPr>
                <w:kern w:val="0"/>
                <w:sz w:val="24"/>
              </w:rPr>
            </w:pPr>
            <w:r>
              <w:rPr>
                <w:rFonts w:hint="eastAsia" w:cs="宋体"/>
                <w:kern w:val="0"/>
                <w:sz w:val="24"/>
              </w:rPr>
              <w:t>按综合报价方式，即交钥匙工程。</w:t>
            </w:r>
          </w:p>
        </w:tc>
      </w:tr>
      <w:tr w14:paraId="3BD6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6966A186">
            <w:pPr>
              <w:jc w:val="center"/>
              <w:rPr>
                <w:kern w:val="0"/>
                <w:sz w:val="24"/>
              </w:rPr>
            </w:pPr>
            <w:r>
              <w:rPr>
                <w:rFonts w:hint="eastAsia"/>
                <w:kern w:val="0"/>
                <w:sz w:val="24"/>
              </w:rPr>
              <w:t>6</w:t>
            </w:r>
          </w:p>
        </w:tc>
        <w:tc>
          <w:tcPr>
            <w:tcW w:w="1277" w:type="dxa"/>
            <w:vAlign w:val="center"/>
          </w:tcPr>
          <w:p w14:paraId="34CA2F4E">
            <w:pPr>
              <w:pStyle w:val="82"/>
              <w:jc w:val="both"/>
              <w:rPr>
                <w:rFonts w:ascii="Times New Roman" w:hAnsi="Times New Roman" w:cs="Times New Roman"/>
                <w:sz w:val="24"/>
                <w:szCs w:val="24"/>
                <w:lang w:val="en-US"/>
              </w:rPr>
            </w:pPr>
            <w:r>
              <w:rPr>
                <w:rFonts w:hint="eastAsia" w:ascii="Times New Roman" w:hAnsi="Times New Roman" w:cs="宋体"/>
                <w:sz w:val="24"/>
                <w:szCs w:val="24"/>
                <w:lang w:val="en-US"/>
              </w:rPr>
              <w:t>响应文件组成和封装</w:t>
            </w:r>
          </w:p>
        </w:tc>
        <w:tc>
          <w:tcPr>
            <w:tcW w:w="6429" w:type="dxa"/>
            <w:vAlign w:val="center"/>
          </w:tcPr>
          <w:p w14:paraId="0E093A48">
            <w:pPr>
              <w:pStyle w:val="82"/>
              <w:jc w:val="both"/>
              <w:rPr>
                <w:rFonts w:ascii="Times New Roman" w:hAnsi="Times New Roman" w:cs="Times New Roman"/>
                <w:sz w:val="24"/>
                <w:szCs w:val="24"/>
                <w:lang w:val="en-US"/>
              </w:rPr>
            </w:pPr>
            <w:r>
              <w:rPr>
                <w:rFonts w:hint="eastAsia" w:ascii="Times New Roman" w:hAnsi="Times New Roman" w:cs="宋体"/>
                <w:sz w:val="24"/>
                <w:szCs w:val="24"/>
                <w:lang w:val="en-US"/>
              </w:rPr>
              <w:t>（</w:t>
            </w:r>
            <w:r>
              <w:rPr>
                <w:rFonts w:ascii="Times New Roman" w:hAnsi="Times New Roman" w:cs="Times New Roman"/>
                <w:sz w:val="24"/>
                <w:szCs w:val="24"/>
                <w:lang w:val="en-US"/>
              </w:rPr>
              <w:t>1</w:t>
            </w:r>
            <w:r>
              <w:rPr>
                <w:rFonts w:hint="eastAsia" w:ascii="Times New Roman" w:hAnsi="Times New Roman" w:cs="宋体"/>
                <w:sz w:val="24"/>
                <w:szCs w:val="24"/>
                <w:lang w:val="en-US"/>
              </w:rPr>
              <w:t>）正本</w:t>
            </w:r>
            <w:r>
              <w:rPr>
                <w:rFonts w:ascii="Times New Roman" w:hAnsi="Times New Roman" w:cs="Times New Roman"/>
                <w:sz w:val="24"/>
                <w:szCs w:val="24"/>
                <w:u w:val="single"/>
                <w:lang w:val="en-US"/>
              </w:rPr>
              <w:t xml:space="preserve"> 1  </w:t>
            </w:r>
            <w:r>
              <w:rPr>
                <w:rFonts w:hint="eastAsia" w:ascii="Times New Roman" w:hAnsi="Times New Roman" w:cs="宋体"/>
                <w:sz w:val="24"/>
                <w:szCs w:val="24"/>
                <w:lang w:val="en-US"/>
              </w:rPr>
              <w:t>份。</w:t>
            </w:r>
            <w:r>
              <w:rPr>
                <w:rFonts w:ascii="Times New Roman" w:hAnsi="Times New Roman" w:cs="Times New Roman"/>
                <w:sz w:val="24"/>
                <w:szCs w:val="24"/>
                <w:lang w:val="en-US"/>
              </w:rPr>
              <w:t xml:space="preserve"> </w:t>
            </w:r>
          </w:p>
          <w:p w14:paraId="42926A99">
            <w:pPr>
              <w:pStyle w:val="82"/>
              <w:ind w:left="614" w:leftChars="5" w:hanging="600" w:hangingChars="250"/>
              <w:jc w:val="both"/>
              <w:rPr>
                <w:rFonts w:ascii="Times New Roman" w:hAnsi="Times New Roman" w:cs="Times New Roman"/>
                <w:sz w:val="24"/>
                <w:szCs w:val="24"/>
                <w:lang w:val="en-US"/>
              </w:rPr>
            </w:pPr>
            <w:r>
              <w:rPr>
                <w:rFonts w:hint="eastAsia" w:ascii="Times New Roman" w:hAnsi="Times New Roman" w:cs="宋体"/>
                <w:sz w:val="24"/>
                <w:szCs w:val="24"/>
                <w:lang w:val="en-US"/>
              </w:rPr>
              <w:t>（</w:t>
            </w:r>
            <w:r>
              <w:rPr>
                <w:rFonts w:ascii="Times New Roman" w:hAnsi="Times New Roman" w:cs="Times New Roman"/>
                <w:sz w:val="24"/>
                <w:szCs w:val="24"/>
                <w:lang w:val="en-US"/>
              </w:rPr>
              <w:t>2</w:t>
            </w:r>
            <w:r>
              <w:rPr>
                <w:rFonts w:hint="eastAsia" w:ascii="Times New Roman" w:hAnsi="Times New Roman" w:cs="宋体"/>
                <w:sz w:val="24"/>
                <w:szCs w:val="24"/>
                <w:lang w:val="en-US"/>
              </w:rPr>
              <w:t>）响应文件装订成册，采用胶装，采用活页装订的响应文件不予受理。</w:t>
            </w:r>
          </w:p>
          <w:p w14:paraId="2374E36C">
            <w:pPr>
              <w:pStyle w:val="82"/>
              <w:jc w:val="both"/>
              <w:rPr>
                <w:rFonts w:ascii="Times New Roman" w:hAnsi="Times New Roman" w:cs="Times New Roman"/>
                <w:sz w:val="24"/>
                <w:szCs w:val="24"/>
                <w:lang w:val="en-US"/>
              </w:rPr>
            </w:pPr>
            <w:r>
              <w:rPr>
                <w:rFonts w:hint="eastAsia" w:ascii="Times New Roman" w:hAnsi="Times New Roman" w:cs="宋体"/>
                <w:sz w:val="24"/>
                <w:szCs w:val="24"/>
                <w:lang w:val="en-US"/>
              </w:rPr>
              <w:t>（</w:t>
            </w:r>
            <w:r>
              <w:rPr>
                <w:rFonts w:ascii="Times New Roman" w:hAnsi="Times New Roman" w:cs="Times New Roman"/>
                <w:sz w:val="24"/>
                <w:szCs w:val="24"/>
                <w:lang w:val="en-US"/>
              </w:rPr>
              <w:t>3</w:t>
            </w:r>
            <w:r>
              <w:rPr>
                <w:rFonts w:hint="eastAsia" w:ascii="Times New Roman" w:hAnsi="Times New Roman" w:cs="宋体"/>
                <w:sz w:val="24"/>
                <w:szCs w:val="24"/>
                <w:lang w:val="en-US"/>
              </w:rPr>
              <w:t>）响应文件密封。</w:t>
            </w:r>
          </w:p>
        </w:tc>
      </w:tr>
      <w:tr w14:paraId="6FD2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748C35CC">
            <w:pPr>
              <w:jc w:val="center"/>
              <w:rPr>
                <w:kern w:val="0"/>
                <w:sz w:val="24"/>
              </w:rPr>
            </w:pPr>
            <w:r>
              <w:rPr>
                <w:rFonts w:hint="eastAsia"/>
                <w:kern w:val="0"/>
                <w:sz w:val="24"/>
              </w:rPr>
              <w:t>7</w:t>
            </w:r>
          </w:p>
        </w:tc>
        <w:tc>
          <w:tcPr>
            <w:tcW w:w="1277" w:type="dxa"/>
            <w:vAlign w:val="center"/>
          </w:tcPr>
          <w:p w14:paraId="042B0AF4">
            <w:pPr>
              <w:pStyle w:val="82"/>
              <w:ind w:left="-109" w:leftChars="-39" w:right="-106" w:rightChars="-38"/>
              <w:jc w:val="both"/>
              <w:rPr>
                <w:rFonts w:ascii="Times New Roman" w:hAnsi="Times New Roman" w:cs="Times New Roman"/>
                <w:sz w:val="24"/>
                <w:szCs w:val="24"/>
                <w:lang w:val="en-US"/>
              </w:rPr>
            </w:pPr>
            <w:r>
              <w:rPr>
                <w:rFonts w:hint="eastAsia" w:ascii="Times New Roman" w:hAnsi="Times New Roman" w:cs="宋体"/>
                <w:sz w:val="24"/>
                <w:szCs w:val="24"/>
                <w:lang w:val="en-US"/>
              </w:rPr>
              <w:t>响应文件递交截止时间和地点</w:t>
            </w:r>
          </w:p>
        </w:tc>
        <w:tc>
          <w:tcPr>
            <w:tcW w:w="6429" w:type="dxa"/>
            <w:vAlign w:val="center"/>
          </w:tcPr>
          <w:p w14:paraId="10C13F86">
            <w:pPr>
              <w:pStyle w:val="82"/>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响应文件递交截止时间：</w:t>
            </w:r>
            <w:r>
              <w:rPr>
                <w:rFonts w:ascii="Times New Roman" w:hAnsi="Times New Roman" w:cs="Times New Roman"/>
                <w:sz w:val="24"/>
                <w:szCs w:val="24"/>
                <w:lang w:val="en-US"/>
              </w:rPr>
              <w:t>20</w:t>
            </w:r>
            <w:r>
              <w:rPr>
                <w:rFonts w:hint="eastAsia" w:ascii="Times New Roman" w:hAnsi="Times New Roman" w:cs="Times New Roman"/>
                <w:sz w:val="24"/>
                <w:szCs w:val="24"/>
                <w:lang w:val="en-US"/>
              </w:rPr>
              <w:t>26</w:t>
            </w:r>
            <w:r>
              <w:rPr>
                <w:rFonts w:hint="eastAsia" w:ascii="Times New Roman" w:hAnsi="Times New Roman" w:cs="宋体"/>
                <w:sz w:val="24"/>
                <w:szCs w:val="24"/>
                <w:lang w:val="en-US"/>
              </w:rPr>
              <w:t>年</w:t>
            </w:r>
            <w:r>
              <w:rPr>
                <w:rFonts w:hint="eastAsia" w:ascii="Times New Roman" w:hAnsi="Times New Roman" w:cs="Times New Roman"/>
                <w:sz w:val="24"/>
                <w:szCs w:val="24"/>
                <w:lang w:val="en-US" w:eastAsia="zh-CN"/>
              </w:rPr>
              <w:t>10</w:t>
            </w:r>
            <w:r>
              <w:rPr>
                <w:rFonts w:hint="eastAsia" w:ascii="Times New Roman" w:hAnsi="Times New Roman" w:cs="宋体"/>
                <w:sz w:val="24"/>
                <w:szCs w:val="24"/>
                <w:lang w:val="en-US"/>
              </w:rPr>
              <w:t>月</w:t>
            </w:r>
            <w:r>
              <w:rPr>
                <w:rFonts w:hint="eastAsia" w:ascii="Times New Roman" w:hAnsi="Times New Roman" w:cs="Times New Roman"/>
                <w:sz w:val="24"/>
                <w:szCs w:val="24"/>
                <w:lang w:val="en-US" w:eastAsia="zh-CN"/>
              </w:rPr>
              <w:t>23</w:t>
            </w:r>
            <w:bookmarkStart w:id="25" w:name="_GoBack"/>
            <w:bookmarkEnd w:id="25"/>
            <w:r>
              <w:rPr>
                <w:rFonts w:hint="eastAsia" w:ascii="Times New Roman" w:hAnsi="Times New Roman" w:cs="宋体"/>
                <w:sz w:val="24"/>
                <w:szCs w:val="24"/>
                <w:lang w:val="en-US"/>
              </w:rPr>
              <w:t>日</w:t>
            </w:r>
            <w:r>
              <w:rPr>
                <w:rFonts w:hint="eastAsia" w:ascii="Times New Roman" w:hAnsi="Times New Roman" w:cs="Times New Roman"/>
                <w:sz w:val="24"/>
                <w:szCs w:val="24"/>
                <w:lang w:val="en-US" w:eastAsia="zh-CN"/>
              </w:rPr>
              <w:t>10</w:t>
            </w:r>
            <w:r>
              <w:rPr>
                <w:rFonts w:hint="eastAsia" w:ascii="Times New Roman" w:hAnsi="Times New Roman" w:cs="宋体"/>
                <w:sz w:val="24"/>
                <w:szCs w:val="24"/>
                <w:lang w:val="en-US"/>
              </w:rPr>
              <w:t>时</w:t>
            </w:r>
            <w:r>
              <w:rPr>
                <w:rFonts w:hint="eastAsia" w:ascii="Times New Roman" w:hAnsi="Times New Roman" w:cs="Times New Roman"/>
                <w:sz w:val="24"/>
                <w:szCs w:val="24"/>
                <w:lang w:val="en-US" w:eastAsia="zh-CN"/>
              </w:rPr>
              <w:t>00</w:t>
            </w:r>
            <w:r>
              <w:rPr>
                <w:rFonts w:hint="eastAsia" w:ascii="Times New Roman" w:hAnsi="Times New Roman" w:cs="宋体"/>
                <w:sz w:val="24"/>
                <w:szCs w:val="24"/>
                <w:lang w:val="en-US"/>
              </w:rPr>
              <w:t>分。</w:t>
            </w:r>
          </w:p>
          <w:p w14:paraId="127E9702">
            <w:pPr>
              <w:pStyle w:val="82"/>
              <w:spacing w:before="7"/>
              <w:ind w:left="107" w:right="95"/>
              <w:jc w:val="both"/>
              <w:rPr>
                <w:rFonts w:ascii="Times New Roman" w:hAnsi="Times New Roman" w:cs="Times New Roman"/>
                <w:sz w:val="24"/>
                <w:szCs w:val="24"/>
                <w:lang w:val="en-US"/>
              </w:rPr>
            </w:pPr>
            <w:r>
              <w:rPr>
                <w:rFonts w:hint="eastAsia" w:ascii="Times New Roman" w:hAnsi="Times New Roman" w:cs="宋体"/>
                <w:sz w:val="24"/>
                <w:szCs w:val="24"/>
                <w:lang w:val="en-US"/>
              </w:rPr>
              <w:t>响应文件递交地点：湖北省博物馆。</w:t>
            </w:r>
          </w:p>
        </w:tc>
      </w:tr>
      <w:tr w14:paraId="1BBCA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028D0ECC">
            <w:pPr>
              <w:jc w:val="center"/>
              <w:rPr>
                <w:kern w:val="0"/>
                <w:sz w:val="24"/>
              </w:rPr>
            </w:pPr>
            <w:r>
              <w:rPr>
                <w:rFonts w:hint="eastAsia"/>
                <w:kern w:val="0"/>
                <w:sz w:val="24"/>
              </w:rPr>
              <w:t>8</w:t>
            </w:r>
          </w:p>
        </w:tc>
        <w:tc>
          <w:tcPr>
            <w:tcW w:w="1277" w:type="dxa"/>
            <w:vAlign w:val="center"/>
          </w:tcPr>
          <w:p w14:paraId="14550BAE">
            <w:pPr>
              <w:pStyle w:val="82"/>
              <w:jc w:val="both"/>
              <w:rPr>
                <w:rFonts w:ascii="Times New Roman" w:hAnsi="Times New Roman" w:cs="Times New Roman"/>
              </w:rPr>
            </w:pPr>
            <w:r>
              <w:rPr>
                <w:rFonts w:hint="eastAsia" w:ascii="Times New Roman" w:hAnsi="Times New Roman" w:cs="宋体"/>
                <w:sz w:val="24"/>
                <w:szCs w:val="24"/>
                <w:lang w:val="en-US"/>
              </w:rPr>
              <w:t>谈判时间和地点</w:t>
            </w:r>
          </w:p>
        </w:tc>
        <w:tc>
          <w:tcPr>
            <w:tcW w:w="6429" w:type="dxa"/>
            <w:vAlign w:val="center"/>
          </w:tcPr>
          <w:p w14:paraId="453370FA">
            <w:pPr>
              <w:pStyle w:val="82"/>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谈判时间：</w:t>
            </w:r>
            <w:r>
              <w:rPr>
                <w:rFonts w:ascii="Times New Roman" w:hAnsi="Times New Roman" w:cs="Times New Roman"/>
                <w:sz w:val="24"/>
                <w:szCs w:val="24"/>
                <w:lang w:val="en-US"/>
              </w:rPr>
              <w:t>20</w:t>
            </w:r>
            <w:r>
              <w:rPr>
                <w:rFonts w:hint="eastAsia" w:ascii="Times New Roman" w:hAnsi="Times New Roman" w:cs="Times New Roman"/>
                <w:sz w:val="24"/>
                <w:szCs w:val="24"/>
                <w:lang w:val="en-US"/>
              </w:rPr>
              <w:t>26</w:t>
            </w:r>
            <w:r>
              <w:rPr>
                <w:rFonts w:hint="eastAsia" w:ascii="Times New Roman" w:hAnsi="Times New Roman" w:cs="宋体"/>
                <w:sz w:val="24"/>
                <w:szCs w:val="24"/>
                <w:lang w:val="en-US"/>
              </w:rPr>
              <w:t>年</w:t>
            </w:r>
            <w:r>
              <w:rPr>
                <w:rFonts w:hint="eastAsia" w:ascii="Times New Roman" w:hAnsi="Times New Roman" w:cs="Times New Roman"/>
                <w:sz w:val="24"/>
                <w:szCs w:val="24"/>
                <w:lang w:val="en-US"/>
              </w:rPr>
              <w:t xml:space="preserve"> 10 </w:t>
            </w:r>
            <w:r>
              <w:rPr>
                <w:rFonts w:hint="eastAsia" w:ascii="Times New Roman" w:hAnsi="Times New Roman" w:cs="宋体"/>
                <w:sz w:val="24"/>
                <w:szCs w:val="24"/>
                <w:lang w:val="en-US"/>
              </w:rPr>
              <w:t>月</w:t>
            </w:r>
            <w:r>
              <w:rPr>
                <w:rFonts w:hint="eastAsia" w:ascii="Times New Roman" w:hAnsi="Times New Roman" w:cs="Times New Roman"/>
                <w:sz w:val="24"/>
                <w:szCs w:val="24"/>
                <w:lang w:val="en-US"/>
              </w:rPr>
              <w:t xml:space="preserve"> </w:t>
            </w:r>
            <w:r>
              <w:rPr>
                <w:rFonts w:hint="eastAsia" w:ascii="Times New Roman" w:hAnsi="Times New Roman" w:cs="Times New Roman"/>
                <w:sz w:val="24"/>
                <w:szCs w:val="24"/>
                <w:lang w:val="en-US" w:eastAsia="zh-CN"/>
              </w:rPr>
              <w:t>23</w:t>
            </w:r>
            <w:r>
              <w:rPr>
                <w:rFonts w:hint="eastAsia" w:ascii="Times New Roman" w:hAnsi="Times New Roman" w:cs="Times New Roman"/>
                <w:sz w:val="24"/>
                <w:szCs w:val="24"/>
                <w:lang w:val="en-US"/>
              </w:rPr>
              <w:t xml:space="preserve"> </w:t>
            </w:r>
            <w:r>
              <w:rPr>
                <w:rFonts w:hint="eastAsia" w:ascii="Times New Roman" w:hAnsi="Times New Roman" w:cs="宋体"/>
                <w:sz w:val="24"/>
                <w:szCs w:val="24"/>
                <w:lang w:val="en-US"/>
              </w:rPr>
              <w:t>日</w:t>
            </w:r>
            <w:r>
              <w:rPr>
                <w:rFonts w:hint="eastAsia" w:ascii="Times New Roman" w:hAnsi="Times New Roman" w:cs="Times New Roman"/>
                <w:sz w:val="24"/>
                <w:szCs w:val="24"/>
                <w:lang w:val="en-US"/>
              </w:rPr>
              <w:t xml:space="preserve"> </w:t>
            </w:r>
            <w:r>
              <w:rPr>
                <w:rFonts w:hint="eastAsia" w:ascii="Times New Roman" w:hAnsi="Times New Roman" w:cs="Times New Roman"/>
                <w:sz w:val="24"/>
                <w:szCs w:val="24"/>
                <w:lang w:val="en-US" w:eastAsia="zh-CN"/>
              </w:rPr>
              <w:t>10</w:t>
            </w:r>
            <w:r>
              <w:rPr>
                <w:rFonts w:hint="eastAsia" w:ascii="Times New Roman" w:hAnsi="Times New Roman" w:cs="Times New Roman"/>
                <w:sz w:val="24"/>
                <w:szCs w:val="24"/>
                <w:lang w:val="en-US"/>
              </w:rPr>
              <w:t xml:space="preserve"> </w:t>
            </w:r>
            <w:r>
              <w:rPr>
                <w:rFonts w:hint="eastAsia" w:ascii="Times New Roman" w:hAnsi="Times New Roman" w:cs="宋体"/>
                <w:sz w:val="24"/>
                <w:szCs w:val="24"/>
                <w:lang w:val="en-US"/>
              </w:rPr>
              <w:t>时</w:t>
            </w:r>
            <w:r>
              <w:rPr>
                <w:rFonts w:hint="eastAsia" w:ascii="Times New Roman" w:hAnsi="Times New Roman" w:cs="Times New Roman"/>
                <w:sz w:val="24"/>
                <w:szCs w:val="24"/>
                <w:lang w:val="en-US"/>
              </w:rPr>
              <w:t xml:space="preserve"> </w:t>
            </w:r>
            <w:r>
              <w:rPr>
                <w:rFonts w:hint="eastAsia" w:ascii="Times New Roman" w:hAnsi="Times New Roman" w:cs="Times New Roman"/>
                <w:sz w:val="24"/>
                <w:szCs w:val="24"/>
                <w:lang w:val="en-US" w:eastAsia="zh-CN"/>
              </w:rPr>
              <w:t>00</w:t>
            </w:r>
            <w:r>
              <w:rPr>
                <w:rFonts w:hint="eastAsia" w:ascii="Times New Roman" w:hAnsi="Times New Roman" w:cs="Times New Roman"/>
                <w:sz w:val="24"/>
                <w:szCs w:val="24"/>
                <w:lang w:val="en-US"/>
              </w:rPr>
              <w:t xml:space="preserve"> </w:t>
            </w:r>
            <w:r>
              <w:rPr>
                <w:rFonts w:hint="eastAsia" w:ascii="Times New Roman" w:hAnsi="Times New Roman" w:cs="宋体"/>
                <w:sz w:val="24"/>
                <w:szCs w:val="24"/>
                <w:lang w:val="en-US"/>
              </w:rPr>
              <w:t>分。</w:t>
            </w:r>
          </w:p>
          <w:p w14:paraId="520BA9BA">
            <w:pPr>
              <w:pStyle w:val="82"/>
              <w:spacing w:before="7"/>
              <w:ind w:left="107" w:right="96"/>
              <w:jc w:val="both"/>
              <w:rPr>
                <w:rFonts w:ascii="Times New Roman" w:hAnsi="Times New Roman" w:cs="Times New Roman"/>
                <w:sz w:val="24"/>
                <w:szCs w:val="24"/>
                <w:lang w:val="en-US"/>
              </w:rPr>
            </w:pPr>
            <w:r>
              <w:rPr>
                <w:rFonts w:hint="eastAsia" w:ascii="Times New Roman" w:hAnsi="Times New Roman" w:cs="宋体"/>
                <w:sz w:val="24"/>
                <w:szCs w:val="24"/>
                <w:lang w:val="en-US"/>
              </w:rPr>
              <w:t>谈判地点：湖北省博物馆。</w:t>
            </w:r>
          </w:p>
        </w:tc>
      </w:tr>
      <w:tr w14:paraId="26B9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16" w:type="dxa"/>
            <w:vAlign w:val="center"/>
          </w:tcPr>
          <w:p w14:paraId="7E8185AE">
            <w:pPr>
              <w:jc w:val="center"/>
              <w:rPr>
                <w:kern w:val="0"/>
                <w:sz w:val="24"/>
              </w:rPr>
            </w:pPr>
            <w:r>
              <w:rPr>
                <w:rFonts w:hint="eastAsia"/>
                <w:kern w:val="0"/>
                <w:sz w:val="24"/>
              </w:rPr>
              <w:t>9</w:t>
            </w:r>
          </w:p>
        </w:tc>
        <w:tc>
          <w:tcPr>
            <w:tcW w:w="1277" w:type="dxa"/>
            <w:vAlign w:val="center"/>
          </w:tcPr>
          <w:p w14:paraId="096A80E2">
            <w:pPr>
              <w:pStyle w:val="82"/>
              <w:jc w:val="both"/>
              <w:rPr>
                <w:rFonts w:ascii="Times New Roman" w:hAnsi="Times New Roman" w:cs="Times New Roman"/>
                <w:sz w:val="24"/>
                <w:szCs w:val="24"/>
                <w:lang w:val="en-US"/>
              </w:rPr>
            </w:pPr>
            <w:r>
              <w:rPr>
                <w:rFonts w:hint="eastAsia" w:ascii="Times New Roman" w:hAnsi="Times New Roman" w:cs="宋体"/>
                <w:sz w:val="24"/>
                <w:szCs w:val="24"/>
                <w:lang w:val="en-US"/>
              </w:rPr>
              <w:t>谈判小组</w:t>
            </w:r>
          </w:p>
        </w:tc>
        <w:tc>
          <w:tcPr>
            <w:tcW w:w="6429" w:type="dxa"/>
            <w:vAlign w:val="center"/>
          </w:tcPr>
          <w:p w14:paraId="4FD60DC4">
            <w:pPr>
              <w:pStyle w:val="82"/>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由采购部门、监察部门、计财部门各安排一人参加。</w:t>
            </w:r>
          </w:p>
        </w:tc>
      </w:tr>
      <w:tr w14:paraId="7C6F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816" w:type="dxa"/>
            <w:vAlign w:val="center"/>
          </w:tcPr>
          <w:p w14:paraId="356ACF0A">
            <w:pPr>
              <w:jc w:val="center"/>
              <w:rPr>
                <w:kern w:val="0"/>
                <w:sz w:val="24"/>
              </w:rPr>
            </w:pPr>
            <w:r>
              <w:rPr>
                <w:rFonts w:hint="eastAsia"/>
                <w:kern w:val="0"/>
                <w:sz w:val="24"/>
              </w:rPr>
              <w:t>10</w:t>
            </w:r>
          </w:p>
        </w:tc>
        <w:tc>
          <w:tcPr>
            <w:tcW w:w="1277" w:type="dxa"/>
            <w:vAlign w:val="center"/>
          </w:tcPr>
          <w:p w14:paraId="23F43DFF">
            <w:pPr>
              <w:pStyle w:val="82"/>
              <w:ind w:left="8"/>
              <w:jc w:val="both"/>
              <w:rPr>
                <w:rFonts w:ascii="Times New Roman" w:hAnsi="Times New Roman" w:cs="Times New Roman"/>
                <w:sz w:val="24"/>
                <w:szCs w:val="24"/>
                <w:lang w:val="en-US"/>
              </w:rPr>
            </w:pPr>
            <w:r>
              <w:rPr>
                <w:rFonts w:hint="eastAsia" w:ascii="Times New Roman" w:hAnsi="Times New Roman" w:cs="宋体"/>
                <w:sz w:val="24"/>
                <w:szCs w:val="24"/>
                <w:lang w:val="en-US"/>
              </w:rPr>
              <w:t>评审办法</w:t>
            </w:r>
          </w:p>
        </w:tc>
        <w:tc>
          <w:tcPr>
            <w:tcW w:w="6429" w:type="dxa"/>
            <w:vAlign w:val="center"/>
          </w:tcPr>
          <w:p w14:paraId="5D66CF7B">
            <w:pPr>
              <w:pStyle w:val="82"/>
              <w:ind w:left="107"/>
              <w:jc w:val="both"/>
              <w:rPr>
                <w:rFonts w:ascii="Times New Roman" w:hAnsi="Times New Roman" w:cs="Times New Roman"/>
                <w:sz w:val="24"/>
                <w:szCs w:val="24"/>
                <w:lang w:val="en-US"/>
              </w:rPr>
            </w:pPr>
            <w:r>
              <w:rPr>
                <w:rFonts w:hint="eastAsia" w:ascii="Times New Roman" w:hAnsi="Times New Roman" w:cs="宋体"/>
                <w:sz w:val="24"/>
                <w:szCs w:val="24"/>
              </w:rPr>
              <w:t>采购人从谈判小组提出的成交候选人中根据符合采购需求、质量和服务相等且评审价最低的原则确定成交供应商。</w:t>
            </w:r>
          </w:p>
        </w:tc>
      </w:tr>
      <w:tr w14:paraId="20A0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6" w:type="dxa"/>
            <w:vAlign w:val="center"/>
          </w:tcPr>
          <w:p w14:paraId="6464B01A">
            <w:pPr>
              <w:jc w:val="center"/>
              <w:rPr>
                <w:kern w:val="0"/>
                <w:sz w:val="24"/>
              </w:rPr>
            </w:pPr>
            <w:r>
              <w:rPr>
                <w:rFonts w:hint="eastAsia"/>
                <w:kern w:val="0"/>
                <w:sz w:val="24"/>
              </w:rPr>
              <w:t>11</w:t>
            </w:r>
          </w:p>
        </w:tc>
        <w:tc>
          <w:tcPr>
            <w:tcW w:w="1277" w:type="dxa"/>
            <w:vAlign w:val="center"/>
          </w:tcPr>
          <w:p w14:paraId="4483E24F">
            <w:pPr>
              <w:pStyle w:val="82"/>
              <w:ind w:left="8"/>
              <w:jc w:val="both"/>
              <w:rPr>
                <w:rFonts w:ascii="Times New Roman" w:hAnsi="Times New Roman" w:cs="Times New Roman"/>
                <w:sz w:val="24"/>
                <w:szCs w:val="24"/>
                <w:lang w:val="en-US"/>
              </w:rPr>
            </w:pPr>
            <w:r>
              <w:rPr>
                <w:rFonts w:hint="eastAsia" w:ascii="Times New Roman" w:hAnsi="Times New Roman" w:cs="宋体"/>
                <w:sz w:val="24"/>
                <w:szCs w:val="24"/>
                <w:lang w:val="en-US"/>
              </w:rPr>
              <w:t>公告媒体</w:t>
            </w:r>
          </w:p>
        </w:tc>
        <w:tc>
          <w:tcPr>
            <w:tcW w:w="6429" w:type="dxa"/>
            <w:vAlign w:val="center"/>
          </w:tcPr>
          <w:p w14:paraId="53AFF9FE">
            <w:pPr>
              <w:pStyle w:val="82"/>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湖北省博物馆官网</w:t>
            </w:r>
          </w:p>
        </w:tc>
      </w:tr>
    </w:tbl>
    <w:p w14:paraId="7B5D0139">
      <w:pPr>
        <w:widowControl/>
        <w:jc w:val="center"/>
        <w:rPr>
          <w:rFonts w:eastAsia="仿宋_GB2312"/>
          <w:bCs/>
          <w:sz w:val="24"/>
        </w:rPr>
      </w:pPr>
      <w:r>
        <w:rPr>
          <w:rFonts w:hint="eastAsia" w:cs="宋体"/>
          <w:sz w:val="30"/>
          <w:szCs w:val="30"/>
        </w:rPr>
        <w:t>二、供应商须知</w:t>
      </w:r>
    </w:p>
    <w:p w14:paraId="52DE1089">
      <w:pPr>
        <w:spacing w:line="440" w:lineRule="exact"/>
        <w:rPr>
          <w:rFonts w:eastAsia="黑体"/>
          <w:bCs/>
          <w:sz w:val="24"/>
        </w:rPr>
      </w:pPr>
    </w:p>
    <w:p w14:paraId="52E292D8">
      <w:pPr>
        <w:spacing w:line="440" w:lineRule="exact"/>
        <w:rPr>
          <w:rFonts w:eastAsia="黑体"/>
          <w:bCs/>
          <w:sz w:val="24"/>
        </w:rPr>
      </w:pPr>
      <w:r>
        <w:rPr>
          <w:rFonts w:eastAsia="黑体"/>
          <w:bCs/>
          <w:sz w:val="24"/>
        </w:rPr>
        <w:t>一、总　则</w:t>
      </w:r>
    </w:p>
    <w:p w14:paraId="0F86D9F9">
      <w:pPr>
        <w:spacing w:line="440" w:lineRule="exact"/>
        <w:ind w:left="420" w:hanging="420"/>
        <w:rPr>
          <w:bCs/>
          <w:sz w:val="24"/>
        </w:rPr>
      </w:pPr>
      <w:r>
        <w:rPr>
          <w:rFonts w:hint="eastAsia"/>
          <w:bCs/>
          <w:sz w:val="24"/>
        </w:rPr>
        <w:t>1.适用范围</w:t>
      </w:r>
    </w:p>
    <w:p w14:paraId="407DC201">
      <w:pPr>
        <w:spacing w:line="440" w:lineRule="exact"/>
        <w:ind w:left="420" w:hanging="420"/>
        <w:rPr>
          <w:bCs/>
          <w:sz w:val="24"/>
        </w:rPr>
      </w:pPr>
      <w:r>
        <w:rPr>
          <w:rFonts w:hint="eastAsia"/>
          <w:bCs/>
          <w:sz w:val="24"/>
        </w:rPr>
        <w:t>1.1本文件仅适用于本文件中所叙述的货物、服务类政府采购项目</w:t>
      </w:r>
      <w:r>
        <w:rPr>
          <w:rFonts w:hint="eastAsia" w:cs="宋体"/>
          <w:sz w:val="24"/>
        </w:rPr>
        <w:t>，具体内容见</w:t>
      </w:r>
      <w:r>
        <w:rPr>
          <w:rFonts w:hint="eastAsia" w:cs="宋体"/>
          <w:b/>
          <w:bCs/>
          <w:sz w:val="24"/>
        </w:rPr>
        <w:t>《供应商须知前附表》</w:t>
      </w:r>
      <w:r>
        <w:rPr>
          <w:rFonts w:hint="eastAsia"/>
          <w:bCs/>
          <w:sz w:val="24"/>
        </w:rPr>
        <w:t>。</w:t>
      </w:r>
    </w:p>
    <w:p w14:paraId="077E72A2">
      <w:pPr>
        <w:spacing w:line="440" w:lineRule="exact"/>
        <w:ind w:left="420" w:hanging="420"/>
        <w:rPr>
          <w:bCs/>
          <w:sz w:val="24"/>
        </w:rPr>
      </w:pPr>
      <w:r>
        <w:rPr>
          <w:rFonts w:hint="eastAsia"/>
          <w:bCs/>
          <w:sz w:val="24"/>
        </w:rPr>
        <w:t>2.定义</w:t>
      </w:r>
    </w:p>
    <w:p w14:paraId="37D16C16">
      <w:pPr>
        <w:spacing w:line="440" w:lineRule="exact"/>
        <w:ind w:left="420" w:hanging="420"/>
        <w:rPr>
          <w:sz w:val="24"/>
        </w:rPr>
      </w:pPr>
      <w:r>
        <w:rPr>
          <w:sz w:val="24"/>
        </w:rPr>
        <w:t>2.1“</w:t>
      </w:r>
      <w:r>
        <w:rPr>
          <w:rFonts w:hint="eastAsia" w:cs="宋体"/>
          <w:sz w:val="24"/>
        </w:rPr>
        <w:t>监管部门</w:t>
      </w:r>
      <w:r>
        <w:rPr>
          <w:sz w:val="24"/>
        </w:rPr>
        <w:t>”</w:t>
      </w:r>
      <w:r>
        <w:rPr>
          <w:rFonts w:hint="eastAsia" w:cs="宋体"/>
          <w:sz w:val="24"/>
        </w:rPr>
        <w:t>是指：详见</w:t>
      </w:r>
      <w:r>
        <w:rPr>
          <w:rFonts w:hint="eastAsia" w:cs="宋体"/>
          <w:b/>
          <w:bCs/>
          <w:sz w:val="24"/>
        </w:rPr>
        <w:t>《供应商须知前附表》</w:t>
      </w:r>
      <w:r>
        <w:rPr>
          <w:rFonts w:hint="eastAsia" w:cs="宋体"/>
          <w:sz w:val="24"/>
        </w:rPr>
        <w:t>。</w:t>
      </w:r>
    </w:p>
    <w:p w14:paraId="1C885580">
      <w:pPr>
        <w:spacing w:line="440" w:lineRule="exact"/>
        <w:ind w:left="420" w:hanging="420"/>
        <w:rPr>
          <w:sz w:val="24"/>
        </w:rPr>
      </w:pPr>
      <w:r>
        <w:rPr>
          <w:sz w:val="24"/>
        </w:rPr>
        <w:t>2.2“</w:t>
      </w:r>
      <w:r>
        <w:rPr>
          <w:rFonts w:hint="eastAsia" w:cs="宋体"/>
          <w:sz w:val="24"/>
        </w:rPr>
        <w:t>采购人</w:t>
      </w:r>
      <w:r>
        <w:rPr>
          <w:sz w:val="24"/>
        </w:rPr>
        <w:t>”</w:t>
      </w:r>
      <w:r>
        <w:rPr>
          <w:rFonts w:hint="eastAsia" w:cs="宋体"/>
          <w:sz w:val="24"/>
        </w:rPr>
        <w:t>是指：详见</w:t>
      </w:r>
      <w:r>
        <w:rPr>
          <w:rFonts w:hint="eastAsia" w:cs="宋体"/>
          <w:b/>
          <w:bCs/>
          <w:sz w:val="24"/>
        </w:rPr>
        <w:t>《供应商须知前附表》</w:t>
      </w:r>
      <w:r>
        <w:rPr>
          <w:rFonts w:hint="eastAsia" w:cs="宋体"/>
          <w:sz w:val="24"/>
        </w:rPr>
        <w:t>。</w:t>
      </w:r>
    </w:p>
    <w:p w14:paraId="064AC311">
      <w:pPr>
        <w:spacing w:line="440" w:lineRule="exact"/>
        <w:ind w:left="420" w:hanging="420"/>
        <w:rPr>
          <w:sz w:val="24"/>
        </w:rPr>
      </w:pPr>
      <w:r>
        <w:rPr>
          <w:sz w:val="24"/>
        </w:rPr>
        <w:t>2.</w:t>
      </w:r>
      <w:r>
        <w:rPr>
          <w:rFonts w:hint="eastAsia"/>
          <w:sz w:val="24"/>
        </w:rPr>
        <w:t>3</w:t>
      </w:r>
      <w:r>
        <w:rPr>
          <w:sz w:val="24"/>
        </w:rPr>
        <w:t>“</w:t>
      </w:r>
      <w:r>
        <w:rPr>
          <w:rFonts w:hint="eastAsia" w:cs="宋体"/>
          <w:sz w:val="24"/>
        </w:rPr>
        <w:t>供应商</w:t>
      </w:r>
      <w:r>
        <w:rPr>
          <w:sz w:val="24"/>
        </w:rPr>
        <w:t>”</w:t>
      </w:r>
      <w:r>
        <w:rPr>
          <w:rFonts w:hint="eastAsia" w:cs="宋体"/>
          <w:sz w:val="24"/>
        </w:rPr>
        <w:t>是指：获得该项目谈判小组确定参加谈判的法人或者其他组织及自然人，确定办法见</w:t>
      </w:r>
      <w:r>
        <w:rPr>
          <w:rFonts w:hint="eastAsia" w:cs="宋体"/>
          <w:b/>
          <w:bCs/>
          <w:sz w:val="24"/>
        </w:rPr>
        <w:t>《供应商须知前附表》</w:t>
      </w:r>
      <w:r>
        <w:rPr>
          <w:rFonts w:hint="eastAsia" w:cs="宋体"/>
          <w:sz w:val="24"/>
        </w:rPr>
        <w:t>。如供应商在本次谈判中成交</w:t>
      </w:r>
      <w:r>
        <w:rPr>
          <w:sz w:val="24"/>
        </w:rPr>
        <w:t>,</w:t>
      </w:r>
      <w:r>
        <w:rPr>
          <w:rFonts w:hint="eastAsia" w:cs="宋体"/>
          <w:sz w:val="24"/>
        </w:rPr>
        <w:t>即成为</w:t>
      </w:r>
      <w:r>
        <w:rPr>
          <w:sz w:val="24"/>
        </w:rPr>
        <w:t>“</w:t>
      </w:r>
      <w:r>
        <w:rPr>
          <w:rFonts w:hint="eastAsia" w:cs="宋体"/>
          <w:sz w:val="24"/>
        </w:rPr>
        <w:t>成交供应商</w:t>
      </w:r>
      <w:r>
        <w:rPr>
          <w:sz w:val="24"/>
        </w:rPr>
        <w:t>”</w:t>
      </w:r>
      <w:r>
        <w:rPr>
          <w:rFonts w:hint="eastAsia" w:cs="宋体"/>
          <w:sz w:val="24"/>
        </w:rPr>
        <w:t>。</w:t>
      </w:r>
    </w:p>
    <w:p w14:paraId="59C08FE0">
      <w:pPr>
        <w:spacing w:line="440" w:lineRule="exact"/>
        <w:ind w:left="420" w:hanging="420"/>
        <w:rPr>
          <w:sz w:val="24"/>
        </w:rPr>
      </w:pPr>
      <w:r>
        <w:rPr>
          <w:sz w:val="24"/>
        </w:rPr>
        <w:t>2.</w:t>
      </w:r>
      <w:r>
        <w:rPr>
          <w:rFonts w:hint="eastAsia"/>
          <w:sz w:val="24"/>
        </w:rPr>
        <w:t>5</w:t>
      </w:r>
      <w:r>
        <w:rPr>
          <w:sz w:val="24"/>
        </w:rPr>
        <w:t>“</w:t>
      </w:r>
      <w:r>
        <w:rPr>
          <w:rFonts w:hint="eastAsia" w:cs="宋体"/>
          <w:sz w:val="24"/>
        </w:rPr>
        <w:t>货物</w:t>
      </w:r>
      <w:r>
        <w:rPr>
          <w:sz w:val="24"/>
        </w:rPr>
        <w:t>”</w:t>
      </w:r>
      <w:r>
        <w:rPr>
          <w:rFonts w:hint="eastAsia" w:cs="宋体"/>
          <w:sz w:val="24"/>
        </w:rPr>
        <w:t>是指：</w:t>
      </w:r>
      <w:r>
        <w:rPr>
          <w:rFonts w:hint="eastAsia"/>
          <w:bCs/>
          <w:sz w:val="24"/>
        </w:rPr>
        <w:t>成交供应商按本文件规定，向采购人提供的一切货物及其相关服务。根据《政府采购法》的相关规定均应是本国货物，另有规定的除外</w:t>
      </w:r>
      <w:r>
        <w:rPr>
          <w:rFonts w:hint="eastAsia" w:cs="宋体"/>
          <w:sz w:val="24"/>
        </w:rPr>
        <w:t>。</w:t>
      </w:r>
    </w:p>
    <w:p w14:paraId="1CC169E5">
      <w:pPr>
        <w:spacing w:line="440" w:lineRule="exact"/>
        <w:ind w:left="420" w:hanging="420"/>
        <w:rPr>
          <w:sz w:val="24"/>
        </w:rPr>
      </w:pPr>
      <w:r>
        <w:rPr>
          <w:sz w:val="24"/>
        </w:rPr>
        <w:t>2.7“</w:t>
      </w:r>
      <w:r>
        <w:rPr>
          <w:rFonts w:hint="eastAsia" w:cs="宋体"/>
          <w:sz w:val="24"/>
        </w:rPr>
        <w:t>服务</w:t>
      </w:r>
      <w:r>
        <w:rPr>
          <w:sz w:val="24"/>
        </w:rPr>
        <w:t>”</w:t>
      </w:r>
      <w:r>
        <w:rPr>
          <w:rFonts w:hint="eastAsia" w:cs="宋体"/>
          <w:sz w:val="24"/>
        </w:rPr>
        <w:t>是指：成交供应商按本文件规定向采购人提供的所有服务。</w:t>
      </w:r>
    </w:p>
    <w:p w14:paraId="5B3E81D6">
      <w:pPr>
        <w:spacing w:line="440" w:lineRule="exact"/>
        <w:ind w:left="420" w:hanging="420"/>
        <w:rPr>
          <w:sz w:val="24"/>
        </w:rPr>
      </w:pPr>
      <w:r>
        <w:rPr>
          <w:sz w:val="24"/>
        </w:rPr>
        <w:t>2.8“</w:t>
      </w:r>
      <w:r>
        <w:rPr>
          <w:rFonts w:hint="eastAsia" w:cs="宋体"/>
          <w:sz w:val="24"/>
        </w:rPr>
        <w:t>响应文件</w:t>
      </w:r>
      <w:r>
        <w:rPr>
          <w:sz w:val="24"/>
        </w:rPr>
        <w:t>”</w:t>
      </w:r>
      <w:r>
        <w:rPr>
          <w:rFonts w:hint="eastAsia" w:cs="宋体"/>
          <w:sz w:val="24"/>
        </w:rPr>
        <w:t>是指：供应商根据本文件要求编制包含价格、技术、服务和合同草案条款等所有内容的文件。</w:t>
      </w:r>
    </w:p>
    <w:p w14:paraId="63C1ACF6">
      <w:pPr>
        <w:spacing w:line="440" w:lineRule="exact"/>
        <w:ind w:left="420" w:hanging="420"/>
        <w:rPr>
          <w:bCs/>
          <w:sz w:val="24"/>
        </w:rPr>
      </w:pPr>
      <w:r>
        <w:rPr>
          <w:sz w:val="24"/>
        </w:rPr>
        <w:t xml:space="preserve">3. </w:t>
      </w:r>
      <w:r>
        <w:rPr>
          <w:rFonts w:hint="eastAsia" w:cs="宋体"/>
          <w:sz w:val="24"/>
        </w:rPr>
        <w:t>供应商的应具备</w:t>
      </w:r>
      <w:r>
        <w:rPr>
          <w:rFonts w:hint="eastAsia" w:cs="宋体"/>
          <w:b/>
          <w:bCs/>
          <w:sz w:val="24"/>
        </w:rPr>
        <w:t>《供应商须知前附表》</w:t>
      </w:r>
      <w:r>
        <w:rPr>
          <w:rFonts w:hint="eastAsia" w:cs="宋体"/>
          <w:sz w:val="24"/>
        </w:rPr>
        <w:t>中所列资格条件</w:t>
      </w:r>
      <w:r>
        <w:rPr>
          <w:sz w:val="24"/>
        </w:rPr>
        <w:t>,</w:t>
      </w:r>
      <w:r>
        <w:rPr>
          <w:rFonts w:hint="eastAsia" w:cs="宋体"/>
          <w:sz w:val="24"/>
        </w:rPr>
        <w:t>并提供相关证明材料</w:t>
      </w:r>
      <w:r>
        <w:rPr>
          <w:sz w:val="24"/>
        </w:rPr>
        <w:t>,</w:t>
      </w:r>
      <w:r>
        <w:rPr>
          <w:rFonts w:hint="eastAsia" w:cs="宋体"/>
          <w:sz w:val="24"/>
        </w:rPr>
        <w:t>对于未提供或提供的材料不符合本文件要求的，谈判小组将拒绝其参加谈判。资格证明文件应真实可靠、不得伪造。响应文件正本中提交的资格证明文件为复印件的，应加盖公章</w:t>
      </w:r>
      <w:r>
        <w:rPr>
          <w:rFonts w:hint="eastAsia"/>
          <w:bCs/>
          <w:sz w:val="24"/>
        </w:rPr>
        <w:t>。</w:t>
      </w:r>
    </w:p>
    <w:p w14:paraId="07ECCF58">
      <w:pPr>
        <w:spacing w:line="440" w:lineRule="exact"/>
        <w:ind w:left="420" w:hanging="420"/>
        <w:rPr>
          <w:bCs/>
          <w:sz w:val="24"/>
        </w:rPr>
      </w:pPr>
      <w:r>
        <w:rPr>
          <w:rFonts w:hint="eastAsia"/>
          <w:bCs/>
          <w:sz w:val="24"/>
        </w:rPr>
        <w:t>4. 费用</w:t>
      </w:r>
    </w:p>
    <w:p w14:paraId="6B037DEF">
      <w:pPr>
        <w:spacing w:line="440" w:lineRule="exact"/>
        <w:ind w:left="420" w:hanging="420"/>
        <w:rPr>
          <w:bCs/>
          <w:sz w:val="24"/>
        </w:rPr>
      </w:pPr>
      <w:r>
        <w:rPr>
          <w:rFonts w:hint="eastAsia"/>
          <w:bCs/>
          <w:sz w:val="24"/>
        </w:rPr>
        <w:t>4.1供应商应自行承担所有与编写和提交响应文件有关的费用，不论谈判结果如何，采购人和集中采购机构在任何情况下无义务和责任承担此类费用。</w:t>
      </w:r>
    </w:p>
    <w:p w14:paraId="05B6B8EA">
      <w:pPr>
        <w:spacing w:line="440" w:lineRule="exact"/>
        <w:ind w:left="420" w:hanging="420"/>
        <w:rPr>
          <w:bCs/>
          <w:sz w:val="24"/>
        </w:rPr>
      </w:pPr>
      <w:r>
        <w:rPr>
          <w:rFonts w:hint="eastAsia"/>
          <w:bCs/>
          <w:sz w:val="24"/>
        </w:rPr>
        <w:t>4.2采购机构不向成交供应商收取服务费</w:t>
      </w:r>
      <w:r>
        <w:rPr>
          <w:bCs/>
          <w:sz w:val="24"/>
        </w:rPr>
        <w:t>。</w:t>
      </w:r>
    </w:p>
    <w:p w14:paraId="5471D659">
      <w:pPr>
        <w:spacing w:line="440" w:lineRule="exact"/>
        <w:ind w:left="420" w:hanging="420"/>
        <w:rPr>
          <w:sz w:val="24"/>
        </w:rPr>
      </w:pPr>
      <w:r>
        <w:rPr>
          <w:sz w:val="24"/>
        </w:rPr>
        <w:t xml:space="preserve">5. </w:t>
      </w:r>
      <w:r>
        <w:rPr>
          <w:rFonts w:hint="eastAsia" w:cs="宋体"/>
          <w:sz w:val="24"/>
        </w:rPr>
        <w:t>保密</w:t>
      </w:r>
    </w:p>
    <w:p w14:paraId="5F52283E">
      <w:pPr>
        <w:spacing w:line="440" w:lineRule="exact"/>
        <w:ind w:left="420" w:hanging="420"/>
        <w:rPr>
          <w:sz w:val="24"/>
        </w:rPr>
      </w:pPr>
      <w:r>
        <w:rPr>
          <w:sz w:val="24"/>
        </w:rPr>
        <w:t>5.1</w:t>
      </w:r>
      <w:r>
        <w:rPr>
          <w:rFonts w:hint="eastAsia" w:cs="宋体"/>
          <w:sz w:val="24"/>
        </w:rPr>
        <w:t>参与谈判活动的各方应对竞争性谈判文件和响应文件中的商业和技术等秘密保密，违者应对此造成的后果承担法律责任。</w:t>
      </w:r>
    </w:p>
    <w:p w14:paraId="2C41DB69">
      <w:pPr>
        <w:spacing w:line="440" w:lineRule="exact"/>
        <w:ind w:left="420" w:hanging="420"/>
        <w:rPr>
          <w:sz w:val="24"/>
        </w:rPr>
      </w:pPr>
      <w:r>
        <w:rPr>
          <w:sz w:val="24"/>
        </w:rPr>
        <w:t xml:space="preserve">6. </w:t>
      </w:r>
      <w:r>
        <w:rPr>
          <w:rFonts w:hint="eastAsia" w:cs="宋体"/>
          <w:sz w:val="24"/>
        </w:rPr>
        <w:t>计量单位</w:t>
      </w:r>
    </w:p>
    <w:p w14:paraId="2C1036E2">
      <w:pPr>
        <w:spacing w:line="440" w:lineRule="exact"/>
        <w:ind w:left="420" w:hanging="420"/>
        <w:rPr>
          <w:sz w:val="24"/>
        </w:rPr>
      </w:pPr>
      <w:r>
        <w:rPr>
          <w:sz w:val="24"/>
        </w:rPr>
        <w:t>6.1</w:t>
      </w:r>
      <w:r>
        <w:rPr>
          <w:rFonts w:hint="eastAsia" w:cs="宋体"/>
          <w:sz w:val="24"/>
        </w:rPr>
        <w:t>所有计量均采用中华人民共和国法定计量单位。</w:t>
      </w:r>
    </w:p>
    <w:p w14:paraId="5859DF88">
      <w:pPr>
        <w:spacing w:line="440" w:lineRule="exact"/>
        <w:ind w:left="420" w:hanging="420"/>
        <w:rPr>
          <w:sz w:val="24"/>
        </w:rPr>
      </w:pPr>
      <w:r>
        <w:rPr>
          <w:rFonts w:hint="eastAsia"/>
          <w:sz w:val="24"/>
        </w:rPr>
        <w:t>7</w:t>
      </w:r>
      <w:r>
        <w:rPr>
          <w:sz w:val="24"/>
        </w:rPr>
        <w:t xml:space="preserve">. </w:t>
      </w:r>
      <w:r>
        <w:rPr>
          <w:rFonts w:hint="eastAsia" w:cs="宋体"/>
          <w:sz w:val="24"/>
        </w:rPr>
        <w:t>其他</w:t>
      </w:r>
    </w:p>
    <w:p w14:paraId="5FA6AA4E">
      <w:pPr>
        <w:spacing w:line="440" w:lineRule="exact"/>
        <w:ind w:left="420" w:hanging="420"/>
        <w:rPr>
          <w:sz w:val="24"/>
        </w:rPr>
      </w:pPr>
      <w:r>
        <w:rPr>
          <w:rFonts w:hint="eastAsia"/>
          <w:sz w:val="24"/>
        </w:rPr>
        <w:t>7</w:t>
      </w:r>
      <w:r>
        <w:rPr>
          <w:sz w:val="24"/>
        </w:rPr>
        <w:t>.1</w:t>
      </w:r>
      <w:r>
        <w:rPr>
          <w:rFonts w:hint="eastAsia" w:cs="宋体"/>
          <w:sz w:val="24"/>
        </w:rPr>
        <w:t>响应文件应完全响应竞争性谈判文件规定的实质性内容和条件。</w:t>
      </w:r>
    </w:p>
    <w:p w14:paraId="4989BE42">
      <w:pPr>
        <w:spacing w:line="440" w:lineRule="exact"/>
        <w:ind w:left="420" w:hanging="420"/>
        <w:rPr>
          <w:sz w:val="24"/>
        </w:rPr>
      </w:pPr>
      <w:r>
        <w:rPr>
          <w:rFonts w:hint="eastAsia"/>
          <w:sz w:val="24"/>
        </w:rPr>
        <w:t>7</w:t>
      </w:r>
      <w:r>
        <w:rPr>
          <w:sz w:val="24"/>
        </w:rPr>
        <w:t>.2</w:t>
      </w:r>
      <w:r>
        <w:rPr>
          <w:rFonts w:hint="eastAsia" w:cs="宋体"/>
          <w:sz w:val="24"/>
        </w:rPr>
        <w:t>竞争性谈判文件中如有描述歧义或前后不一致的地方，谈判小组有权按公平、合理的原则进行评判，但对同一条款的评判适用于每个供应商。</w:t>
      </w:r>
    </w:p>
    <w:p w14:paraId="2F5CFCD7">
      <w:pPr>
        <w:spacing w:line="440" w:lineRule="exact"/>
        <w:ind w:left="420" w:hanging="420"/>
        <w:rPr>
          <w:sz w:val="24"/>
        </w:rPr>
      </w:pPr>
      <w:r>
        <w:rPr>
          <w:rFonts w:hint="eastAsia"/>
          <w:sz w:val="24"/>
        </w:rPr>
        <w:t>7</w:t>
      </w:r>
      <w:r>
        <w:rPr>
          <w:sz w:val="24"/>
        </w:rPr>
        <w:t>.</w:t>
      </w:r>
      <w:r>
        <w:rPr>
          <w:rFonts w:hint="eastAsia"/>
          <w:sz w:val="24"/>
        </w:rPr>
        <w:t>3</w:t>
      </w:r>
      <w:r>
        <w:rPr>
          <w:rFonts w:hint="eastAsia" w:cs="宋体"/>
          <w:sz w:val="24"/>
        </w:rPr>
        <w:t>响应文件的响应内容应当真实、明确、准确。否则，谈判小组将对其作出不利的评审。</w:t>
      </w:r>
    </w:p>
    <w:p w14:paraId="4F824292">
      <w:pPr>
        <w:spacing w:line="440" w:lineRule="exact"/>
        <w:ind w:left="420" w:hanging="420"/>
        <w:rPr>
          <w:sz w:val="24"/>
        </w:rPr>
      </w:pPr>
      <w:r>
        <w:rPr>
          <w:rFonts w:hint="eastAsia"/>
          <w:sz w:val="24"/>
        </w:rPr>
        <w:t>7</w:t>
      </w:r>
      <w:r>
        <w:rPr>
          <w:sz w:val="24"/>
        </w:rPr>
        <w:t>.</w:t>
      </w:r>
      <w:r>
        <w:rPr>
          <w:rFonts w:hint="eastAsia"/>
          <w:sz w:val="24"/>
        </w:rPr>
        <w:t>4</w:t>
      </w:r>
      <w:r>
        <w:rPr>
          <w:rFonts w:hint="eastAsia" w:cs="宋体"/>
          <w:sz w:val="24"/>
        </w:rPr>
        <w:t>供应商须对所提供产品、方案、技术、服务等拥有合法的占有和处置权，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w:t>
      </w:r>
    </w:p>
    <w:p w14:paraId="055E46CB">
      <w:pPr>
        <w:spacing w:line="440" w:lineRule="exact"/>
        <w:ind w:left="420" w:hanging="420"/>
        <w:rPr>
          <w:bCs/>
          <w:sz w:val="24"/>
        </w:rPr>
      </w:pPr>
    </w:p>
    <w:p w14:paraId="33AAE206">
      <w:pPr>
        <w:spacing w:line="440" w:lineRule="exact"/>
        <w:rPr>
          <w:rFonts w:eastAsia="黑体"/>
          <w:bCs/>
          <w:sz w:val="24"/>
        </w:rPr>
      </w:pPr>
      <w:r>
        <w:rPr>
          <w:rFonts w:eastAsia="黑体"/>
          <w:bCs/>
          <w:sz w:val="24"/>
        </w:rPr>
        <w:t>二、响应文件的编制</w:t>
      </w:r>
    </w:p>
    <w:p w14:paraId="32849D23">
      <w:pPr>
        <w:spacing w:line="440" w:lineRule="exact"/>
        <w:ind w:left="363" w:leftChars="1" w:hanging="360" w:hangingChars="150"/>
        <w:rPr>
          <w:sz w:val="24"/>
        </w:rPr>
      </w:pPr>
      <w:r>
        <w:rPr>
          <w:rFonts w:hint="eastAsia"/>
          <w:sz w:val="24"/>
        </w:rPr>
        <w:t>8</w:t>
      </w:r>
      <w:r>
        <w:rPr>
          <w:sz w:val="24"/>
        </w:rPr>
        <w:t xml:space="preserve">. </w:t>
      </w:r>
      <w:r>
        <w:rPr>
          <w:rFonts w:hint="eastAsia" w:cs="宋体"/>
          <w:sz w:val="24"/>
        </w:rPr>
        <w:t>响应文件编制基本要求</w:t>
      </w:r>
    </w:p>
    <w:p w14:paraId="1D610F82">
      <w:pPr>
        <w:spacing w:line="440" w:lineRule="exact"/>
        <w:ind w:left="363" w:leftChars="1" w:hanging="360" w:hangingChars="150"/>
        <w:rPr>
          <w:sz w:val="24"/>
        </w:rPr>
      </w:pPr>
      <w:r>
        <w:rPr>
          <w:rFonts w:hint="eastAsia"/>
          <w:sz w:val="24"/>
        </w:rPr>
        <w:t>8</w:t>
      </w:r>
      <w:r>
        <w:rPr>
          <w:sz w:val="24"/>
        </w:rPr>
        <w:t>.1</w:t>
      </w:r>
      <w:r>
        <w:rPr>
          <w:rFonts w:hint="eastAsia" w:cs="宋体"/>
          <w:sz w:val="24"/>
        </w:rPr>
        <w:t>响应文件以及与集中采购机构和采购人就有关谈判的所有来往函电均应使用简体中文。</w:t>
      </w:r>
    </w:p>
    <w:p w14:paraId="211F9713">
      <w:pPr>
        <w:spacing w:line="440" w:lineRule="exact"/>
        <w:ind w:left="363" w:leftChars="1" w:hanging="360" w:hangingChars="150"/>
        <w:rPr>
          <w:sz w:val="24"/>
        </w:rPr>
      </w:pPr>
      <w:r>
        <w:rPr>
          <w:rFonts w:hint="eastAsia"/>
          <w:sz w:val="24"/>
        </w:rPr>
        <w:t>8</w:t>
      </w:r>
      <w:r>
        <w:rPr>
          <w:sz w:val="24"/>
        </w:rPr>
        <w:t>.2</w:t>
      </w:r>
      <w:r>
        <w:rPr>
          <w:rFonts w:hint="eastAsia" w:cs="宋体"/>
          <w:sz w:val="24"/>
        </w:rPr>
        <w:t>供应商应认真阅读、并充分理解本文件的全部内容（包括所有的补充、修改内容），承诺并履行本文件中各项条款规定及要求。</w:t>
      </w:r>
    </w:p>
    <w:p w14:paraId="6F01F552">
      <w:pPr>
        <w:spacing w:line="440" w:lineRule="exact"/>
        <w:ind w:left="363" w:leftChars="1" w:hanging="360" w:hangingChars="150"/>
        <w:rPr>
          <w:sz w:val="24"/>
        </w:rPr>
      </w:pPr>
      <w:r>
        <w:rPr>
          <w:rFonts w:hint="eastAsia"/>
          <w:sz w:val="24"/>
        </w:rPr>
        <w:t>8</w:t>
      </w:r>
      <w:r>
        <w:rPr>
          <w:sz w:val="24"/>
        </w:rPr>
        <w:t>.3</w:t>
      </w:r>
      <w:r>
        <w:rPr>
          <w:rFonts w:hint="eastAsia" w:cs="宋体"/>
          <w:sz w:val="24"/>
        </w:rPr>
        <w:t>响应文件应按本文件的全部内容，包括所有的补充通知及附件进行编制。供应商受邀参加本文件多个包谈判的，其响应文件的编制应按每包要求分别装订和封装。</w:t>
      </w:r>
    </w:p>
    <w:p w14:paraId="69E0143A">
      <w:pPr>
        <w:spacing w:line="440" w:lineRule="exact"/>
        <w:ind w:left="363" w:leftChars="1" w:hanging="360" w:hangingChars="150"/>
        <w:rPr>
          <w:sz w:val="24"/>
        </w:rPr>
      </w:pPr>
      <w:r>
        <w:rPr>
          <w:rFonts w:hint="eastAsia"/>
          <w:sz w:val="24"/>
        </w:rPr>
        <w:t>8</w:t>
      </w:r>
      <w:r>
        <w:rPr>
          <w:sz w:val="24"/>
        </w:rPr>
        <w:t>.4</w:t>
      </w:r>
      <w:r>
        <w:rPr>
          <w:rFonts w:hint="eastAsia" w:cs="宋体"/>
          <w:sz w:val="24"/>
        </w:rPr>
        <w:t>如因供应商只提供本文件要求的部分内容或附件的，谈判小组有权拒绝其补充和谈判。</w:t>
      </w:r>
    </w:p>
    <w:p w14:paraId="594264E8">
      <w:pPr>
        <w:spacing w:line="440" w:lineRule="exact"/>
        <w:ind w:left="363" w:leftChars="1" w:hanging="360" w:hangingChars="150"/>
        <w:rPr>
          <w:bCs/>
          <w:sz w:val="24"/>
        </w:rPr>
      </w:pPr>
      <w:r>
        <w:rPr>
          <w:rFonts w:hint="eastAsia"/>
          <w:bCs/>
          <w:sz w:val="24"/>
        </w:rPr>
        <w:t>8.5响应文件的组成</w:t>
      </w:r>
    </w:p>
    <w:p w14:paraId="2C325229">
      <w:pPr>
        <w:spacing w:line="440" w:lineRule="exact"/>
        <w:ind w:left="364" w:leftChars="130"/>
        <w:rPr>
          <w:bCs/>
          <w:sz w:val="24"/>
        </w:rPr>
      </w:pPr>
      <w:r>
        <w:rPr>
          <w:rFonts w:hint="eastAsia"/>
          <w:bCs/>
          <w:sz w:val="24"/>
        </w:rPr>
        <w:t>不限于以下内容，如未提供，谈判小组有权拒绝其响应文件：</w:t>
      </w:r>
    </w:p>
    <w:p w14:paraId="64935A9D">
      <w:pPr>
        <w:spacing w:line="440" w:lineRule="exact"/>
        <w:ind w:left="363" w:leftChars="1" w:hanging="360" w:hangingChars="150"/>
        <w:rPr>
          <w:bCs/>
          <w:sz w:val="24"/>
        </w:rPr>
      </w:pPr>
      <w:r>
        <w:rPr>
          <w:rFonts w:hint="eastAsia"/>
          <w:bCs/>
          <w:sz w:val="24"/>
        </w:rPr>
        <w:t>1）谈判书(附件1)；</w:t>
      </w:r>
    </w:p>
    <w:p w14:paraId="183EDEBB">
      <w:pPr>
        <w:spacing w:line="440" w:lineRule="exact"/>
        <w:ind w:left="363" w:leftChars="1" w:hanging="360" w:hangingChars="150"/>
        <w:rPr>
          <w:bCs/>
          <w:sz w:val="24"/>
        </w:rPr>
      </w:pPr>
      <w:r>
        <w:rPr>
          <w:rFonts w:hint="eastAsia"/>
          <w:bCs/>
          <w:sz w:val="24"/>
        </w:rPr>
        <w:t>2）报价组成情况表(附件2)；</w:t>
      </w:r>
    </w:p>
    <w:p w14:paraId="7638002F">
      <w:pPr>
        <w:spacing w:line="440" w:lineRule="exact"/>
        <w:ind w:left="363" w:leftChars="1" w:hanging="360" w:hangingChars="150"/>
        <w:rPr>
          <w:bCs/>
          <w:sz w:val="24"/>
        </w:rPr>
      </w:pPr>
      <w:r>
        <w:rPr>
          <w:rFonts w:hint="eastAsia"/>
          <w:bCs/>
          <w:sz w:val="24"/>
        </w:rPr>
        <w:t>3）货物（服务）清单(附件3)；</w:t>
      </w:r>
    </w:p>
    <w:p w14:paraId="26E6F64F">
      <w:pPr>
        <w:spacing w:line="440" w:lineRule="exact"/>
        <w:ind w:left="363" w:leftChars="1" w:hanging="360" w:hangingChars="150"/>
        <w:rPr>
          <w:bCs/>
          <w:sz w:val="24"/>
        </w:rPr>
      </w:pPr>
      <w:r>
        <w:rPr>
          <w:rFonts w:hint="eastAsia"/>
          <w:bCs/>
          <w:sz w:val="24"/>
        </w:rPr>
        <w:t>4）资格性符合性检查对照表(附件4)；</w:t>
      </w:r>
    </w:p>
    <w:p w14:paraId="781E813D">
      <w:pPr>
        <w:spacing w:line="440" w:lineRule="exact"/>
        <w:ind w:left="363" w:leftChars="1" w:hanging="360" w:hangingChars="150"/>
        <w:rPr>
          <w:bCs/>
          <w:sz w:val="24"/>
        </w:rPr>
      </w:pPr>
      <w:r>
        <w:rPr>
          <w:rFonts w:hint="eastAsia"/>
          <w:bCs/>
          <w:sz w:val="24"/>
        </w:rPr>
        <w:t>5）技术响应、偏离情况说明表(附件5)；</w:t>
      </w:r>
    </w:p>
    <w:p w14:paraId="46E7ED65">
      <w:pPr>
        <w:spacing w:line="440" w:lineRule="exact"/>
        <w:ind w:left="363" w:leftChars="1" w:hanging="360" w:hangingChars="150"/>
        <w:rPr>
          <w:bCs/>
          <w:sz w:val="24"/>
        </w:rPr>
      </w:pPr>
      <w:r>
        <w:rPr>
          <w:rFonts w:hint="eastAsia"/>
          <w:bCs/>
          <w:sz w:val="24"/>
        </w:rPr>
        <w:t>6）合同草案条款响应、偏离情况说明表(附件6)；</w:t>
      </w:r>
    </w:p>
    <w:p w14:paraId="03B93441">
      <w:pPr>
        <w:spacing w:line="440" w:lineRule="exact"/>
        <w:ind w:left="363" w:leftChars="1" w:hanging="360" w:hangingChars="150"/>
        <w:rPr>
          <w:bCs/>
          <w:sz w:val="24"/>
        </w:rPr>
      </w:pPr>
      <w:r>
        <w:rPr>
          <w:rFonts w:hint="eastAsia"/>
          <w:bCs/>
          <w:sz w:val="24"/>
        </w:rPr>
        <w:t>7）法人（负责人）代表授权书(附件7)；</w:t>
      </w:r>
    </w:p>
    <w:p w14:paraId="120823D9">
      <w:pPr>
        <w:spacing w:line="440" w:lineRule="exact"/>
        <w:ind w:left="363" w:leftChars="1" w:hanging="360" w:hangingChars="150"/>
        <w:rPr>
          <w:bCs/>
          <w:sz w:val="24"/>
        </w:rPr>
      </w:pPr>
      <w:r>
        <w:rPr>
          <w:rFonts w:hint="eastAsia"/>
          <w:bCs/>
          <w:sz w:val="24"/>
        </w:rPr>
        <w:t>8）法人或者其他组织的营业执照等证明文件，自然人的身份证明(附件8)；</w:t>
      </w:r>
    </w:p>
    <w:p w14:paraId="4B91607F">
      <w:pPr>
        <w:spacing w:line="440" w:lineRule="exact"/>
        <w:ind w:left="363" w:leftChars="1" w:hanging="360" w:hangingChars="150"/>
        <w:rPr>
          <w:bCs/>
          <w:sz w:val="24"/>
        </w:rPr>
      </w:pPr>
      <w:r>
        <w:rPr>
          <w:rFonts w:hint="eastAsia"/>
          <w:bCs/>
          <w:sz w:val="24"/>
        </w:rPr>
        <w:t>9）具备履行合同所必需的设备和专业技术能力的证明材料(附件10)；</w:t>
      </w:r>
    </w:p>
    <w:p w14:paraId="7F7993A6">
      <w:pPr>
        <w:spacing w:line="440" w:lineRule="exact"/>
        <w:ind w:left="363" w:leftChars="1" w:hanging="360" w:hangingChars="150"/>
        <w:rPr>
          <w:bCs/>
          <w:sz w:val="24"/>
        </w:rPr>
      </w:pPr>
      <w:r>
        <w:rPr>
          <w:rFonts w:hint="eastAsia"/>
          <w:bCs/>
          <w:sz w:val="24"/>
        </w:rPr>
        <w:t>10）供应商认为需要提供的其他资格证明文件及资料。</w:t>
      </w:r>
    </w:p>
    <w:p w14:paraId="5F85B52B">
      <w:pPr>
        <w:spacing w:line="440" w:lineRule="exact"/>
        <w:rPr>
          <w:bCs/>
          <w:sz w:val="24"/>
        </w:rPr>
      </w:pPr>
      <w:r>
        <w:rPr>
          <w:rFonts w:hint="eastAsia"/>
          <w:bCs/>
          <w:sz w:val="24"/>
        </w:rPr>
        <w:t>8.6</w:t>
      </w:r>
      <w:r>
        <w:rPr>
          <w:rFonts w:hint="eastAsia" w:cs="宋体"/>
          <w:sz w:val="24"/>
        </w:rPr>
        <w:t>按</w:t>
      </w:r>
      <w:r>
        <w:rPr>
          <w:rFonts w:hint="eastAsia" w:cs="宋体"/>
          <w:b/>
          <w:bCs/>
          <w:sz w:val="24"/>
        </w:rPr>
        <w:t>《供应商须知前附表》</w:t>
      </w:r>
      <w:r>
        <w:rPr>
          <w:rFonts w:hint="eastAsia" w:cs="宋体"/>
          <w:sz w:val="24"/>
        </w:rPr>
        <w:t>规定需要</w:t>
      </w:r>
      <w:r>
        <w:rPr>
          <w:rFonts w:hint="eastAsia"/>
          <w:bCs/>
          <w:sz w:val="24"/>
        </w:rPr>
        <w:t>提供的其他资格证明文件及资料。</w:t>
      </w:r>
    </w:p>
    <w:p w14:paraId="7C338B30">
      <w:pPr>
        <w:spacing w:line="440" w:lineRule="exact"/>
        <w:rPr>
          <w:bCs/>
          <w:sz w:val="24"/>
        </w:rPr>
      </w:pPr>
    </w:p>
    <w:p w14:paraId="0D9C5FCD">
      <w:pPr>
        <w:spacing w:line="440" w:lineRule="exact"/>
        <w:rPr>
          <w:rFonts w:eastAsia="黑体"/>
          <w:bCs/>
          <w:sz w:val="24"/>
        </w:rPr>
      </w:pPr>
      <w:r>
        <w:rPr>
          <w:rFonts w:eastAsia="黑体"/>
          <w:bCs/>
          <w:sz w:val="24"/>
        </w:rPr>
        <w:t>三、</w:t>
      </w:r>
      <w:r>
        <w:rPr>
          <w:rFonts w:hint="eastAsia" w:eastAsia="黑体"/>
          <w:bCs/>
          <w:sz w:val="24"/>
        </w:rPr>
        <w:t>响应文件</w:t>
      </w:r>
      <w:r>
        <w:rPr>
          <w:rFonts w:eastAsia="黑体"/>
          <w:bCs/>
          <w:sz w:val="24"/>
        </w:rPr>
        <w:t>有效期</w:t>
      </w:r>
    </w:p>
    <w:p w14:paraId="26F3F1A7">
      <w:pPr>
        <w:spacing w:line="440" w:lineRule="exact"/>
        <w:ind w:left="363" w:leftChars="1" w:hanging="360" w:hangingChars="150"/>
        <w:rPr>
          <w:sz w:val="24"/>
        </w:rPr>
      </w:pPr>
      <w:r>
        <w:rPr>
          <w:rFonts w:hint="eastAsia"/>
          <w:sz w:val="24"/>
        </w:rPr>
        <w:t>9</w:t>
      </w:r>
      <w:r>
        <w:rPr>
          <w:sz w:val="24"/>
        </w:rPr>
        <w:t xml:space="preserve">. </w:t>
      </w:r>
      <w:r>
        <w:rPr>
          <w:rFonts w:hint="eastAsia" w:cs="宋体"/>
          <w:sz w:val="24"/>
        </w:rPr>
        <w:t>本项目谈判有效期按</w:t>
      </w:r>
      <w:r>
        <w:rPr>
          <w:rFonts w:hint="eastAsia" w:cs="宋体"/>
          <w:b/>
          <w:bCs/>
          <w:sz w:val="24"/>
        </w:rPr>
        <w:t>《供应商须知前附表》</w:t>
      </w:r>
      <w:r>
        <w:rPr>
          <w:rFonts w:hint="eastAsia" w:cs="宋体"/>
          <w:sz w:val="24"/>
        </w:rPr>
        <w:t>规定的期间内保持有效，在此期间响应文件有效。谈判结束后，在有效期内谈判供应商不得改变谈判报价、服务期及承诺的全部义务。响应文件有效期比本文件规定短的，谈判小组将视响应文件无效予以拒绝。</w:t>
      </w:r>
    </w:p>
    <w:p w14:paraId="6C8D60E6">
      <w:pPr>
        <w:spacing w:line="440" w:lineRule="exact"/>
        <w:ind w:left="363" w:leftChars="1" w:hanging="360" w:hangingChars="150"/>
        <w:rPr>
          <w:sz w:val="24"/>
        </w:rPr>
      </w:pPr>
      <w:r>
        <w:rPr>
          <w:sz w:val="24"/>
        </w:rPr>
        <w:t>1</w:t>
      </w:r>
      <w:r>
        <w:rPr>
          <w:rFonts w:hint="eastAsia"/>
          <w:sz w:val="24"/>
        </w:rPr>
        <w:t>0</w:t>
      </w:r>
      <w:r>
        <w:rPr>
          <w:sz w:val="24"/>
        </w:rPr>
        <w:t xml:space="preserve">. </w:t>
      </w:r>
      <w:r>
        <w:rPr>
          <w:rFonts w:hint="eastAsia" w:cs="宋体"/>
          <w:sz w:val="24"/>
        </w:rPr>
        <w:t>在特殊情况下，在原谈判有效期满之前，集中采购机构可向谈判供应商提出延长谈判有效期的要求。这种要求与答复均应采用书面形式。谈判供应商可以拒绝集中采购机构的要求。同意延长谈判有效期的谈判供应商不允许修改其响应文件。</w:t>
      </w:r>
    </w:p>
    <w:p w14:paraId="4D57601F">
      <w:pPr>
        <w:spacing w:line="440" w:lineRule="exact"/>
        <w:outlineLvl w:val="0"/>
        <w:rPr>
          <w:sz w:val="24"/>
        </w:rPr>
      </w:pPr>
    </w:p>
    <w:p w14:paraId="220473D1">
      <w:pPr>
        <w:spacing w:line="440" w:lineRule="exact"/>
        <w:outlineLvl w:val="0"/>
        <w:rPr>
          <w:rFonts w:eastAsia="黑体"/>
          <w:sz w:val="24"/>
        </w:rPr>
      </w:pPr>
      <w:r>
        <w:rPr>
          <w:rFonts w:eastAsia="黑体"/>
          <w:sz w:val="24"/>
        </w:rPr>
        <w:t>四、报价要求</w:t>
      </w:r>
    </w:p>
    <w:p w14:paraId="45D121B1">
      <w:pPr>
        <w:spacing w:line="440" w:lineRule="exact"/>
        <w:ind w:left="360" w:hanging="360" w:hangingChars="150"/>
        <w:rPr>
          <w:sz w:val="24"/>
        </w:rPr>
      </w:pPr>
      <w:r>
        <w:rPr>
          <w:rFonts w:hint="eastAsia"/>
          <w:sz w:val="24"/>
        </w:rPr>
        <w:t>11</w:t>
      </w:r>
      <w:r>
        <w:rPr>
          <w:sz w:val="24"/>
        </w:rPr>
        <w:t>. 报价以人民币报价。</w:t>
      </w:r>
    </w:p>
    <w:p w14:paraId="6022924E">
      <w:pPr>
        <w:spacing w:line="440" w:lineRule="exact"/>
        <w:ind w:left="363" w:leftChars="1" w:hanging="360" w:hangingChars="150"/>
        <w:rPr>
          <w:sz w:val="24"/>
        </w:rPr>
      </w:pPr>
      <w:r>
        <w:rPr>
          <w:sz w:val="24"/>
        </w:rPr>
        <w:t>1</w:t>
      </w:r>
      <w:r>
        <w:rPr>
          <w:rFonts w:hint="eastAsia"/>
          <w:sz w:val="24"/>
        </w:rPr>
        <w:t>2</w:t>
      </w:r>
      <w:r>
        <w:rPr>
          <w:sz w:val="24"/>
        </w:rPr>
        <w:t>.对于本文件中未列明，供应商认为必需的费用也需列入总报价。在合同实施时，采购人将不予支付成交供应商没有列入的项目费用，并认为此项目的费用已包括在总报价中。</w:t>
      </w:r>
    </w:p>
    <w:p w14:paraId="1790227A">
      <w:pPr>
        <w:spacing w:line="440" w:lineRule="exact"/>
        <w:ind w:left="420" w:hanging="420"/>
        <w:rPr>
          <w:sz w:val="24"/>
        </w:rPr>
      </w:pPr>
      <w:r>
        <w:rPr>
          <w:sz w:val="24"/>
        </w:rPr>
        <w:t>1</w:t>
      </w:r>
      <w:r>
        <w:rPr>
          <w:rFonts w:hint="eastAsia"/>
          <w:sz w:val="24"/>
        </w:rPr>
        <w:t>3</w:t>
      </w:r>
      <w:r>
        <w:rPr>
          <w:sz w:val="24"/>
        </w:rPr>
        <w:t xml:space="preserve">. </w:t>
      </w:r>
      <w:r>
        <w:rPr>
          <w:rFonts w:hint="eastAsia"/>
          <w:sz w:val="24"/>
        </w:rPr>
        <w:t>报价方式见</w:t>
      </w:r>
      <w:r>
        <w:rPr>
          <w:rFonts w:hint="eastAsia" w:cs="宋体"/>
          <w:b/>
          <w:bCs/>
          <w:sz w:val="24"/>
        </w:rPr>
        <w:t>《供应商须知前附表》</w:t>
      </w:r>
      <w:r>
        <w:rPr>
          <w:sz w:val="24"/>
        </w:rPr>
        <w:t>。</w:t>
      </w:r>
    </w:p>
    <w:p w14:paraId="2BF54595">
      <w:pPr>
        <w:spacing w:line="440" w:lineRule="exact"/>
        <w:ind w:left="420" w:hanging="420"/>
        <w:rPr>
          <w:bCs/>
          <w:sz w:val="24"/>
        </w:rPr>
      </w:pPr>
    </w:p>
    <w:p w14:paraId="7352D5FA">
      <w:pPr>
        <w:spacing w:line="440" w:lineRule="exact"/>
        <w:ind w:left="420" w:hanging="420"/>
        <w:rPr>
          <w:rFonts w:eastAsia="黑体"/>
          <w:bCs/>
          <w:sz w:val="24"/>
        </w:rPr>
      </w:pPr>
      <w:r>
        <w:rPr>
          <w:rFonts w:eastAsia="黑体"/>
          <w:bCs/>
          <w:sz w:val="24"/>
        </w:rPr>
        <w:t>五、响应文件的份数、封装和递交</w:t>
      </w:r>
    </w:p>
    <w:p w14:paraId="5408FF8A">
      <w:pPr>
        <w:spacing w:line="440" w:lineRule="exact"/>
        <w:ind w:left="420" w:hanging="420"/>
        <w:rPr>
          <w:sz w:val="24"/>
        </w:rPr>
      </w:pPr>
      <w:r>
        <w:rPr>
          <w:sz w:val="24"/>
        </w:rPr>
        <w:t>1</w:t>
      </w:r>
      <w:r>
        <w:rPr>
          <w:rFonts w:hint="eastAsia"/>
          <w:sz w:val="24"/>
        </w:rPr>
        <w:t>4</w:t>
      </w:r>
      <w:r>
        <w:rPr>
          <w:sz w:val="24"/>
        </w:rPr>
        <w:t xml:space="preserve">. </w:t>
      </w:r>
      <w:r>
        <w:rPr>
          <w:rFonts w:hint="eastAsia" w:cs="宋体"/>
          <w:sz w:val="24"/>
        </w:rPr>
        <w:t>响应文件的份数和封装：详见</w:t>
      </w:r>
      <w:r>
        <w:rPr>
          <w:rFonts w:hint="eastAsia" w:cs="宋体"/>
          <w:b/>
          <w:bCs/>
          <w:sz w:val="24"/>
        </w:rPr>
        <w:t>《供应商须知前附表》</w:t>
      </w:r>
      <w:r>
        <w:rPr>
          <w:rFonts w:hint="eastAsia" w:cs="宋体"/>
          <w:sz w:val="24"/>
        </w:rPr>
        <w:t>。</w:t>
      </w:r>
    </w:p>
    <w:p w14:paraId="20086F10">
      <w:pPr>
        <w:spacing w:line="440" w:lineRule="exact"/>
        <w:rPr>
          <w:sz w:val="24"/>
        </w:rPr>
      </w:pPr>
      <w:r>
        <w:rPr>
          <w:sz w:val="24"/>
        </w:rPr>
        <w:t>1</w:t>
      </w:r>
      <w:r>
        <w:rPr>
          <w:rFonts w:hint="eastAsia"/>
          <w:sz w:val="24"/>
        </w:rPr>
        <w:t>5</w:t>
      </w:r>
      <w:r>
        <w:rPr>
          <w:sz w:val="24"/>
        </w:rPr>
        <w:t xml:space="preserve">. </w:t>
      </w:r>
      <w:r>
        <w:rPr>
          <w:rFonts w:hint="eastAsia" w:cs="宋体"/>
          <w:sz w:val="24"/>
        </w:rPr>
        <w:t>响应文件的递交：详见</w:t>
      </w:r>
      <w:r>
        <w:rPr>
          <w:rFonts w:hint="eastAsia" w:cs="宋体"/>
          <w:b/>
          <w:bCs/>
          <w:sz w:val="24"/>
        </w:rPr>
        <w:t>《供应商须知前附表》</w:t>
      </w:r>
      <w:r>
        <w:rPr>
          <w:rFonts w:hint="eastAsia" w:cs="宋体"/>
          <w:sz w:val="24"/>
        </w:rPr>
        <w:t>。</w:t>
      </w:r>
    </w:p>
    <w:p w14:paraId="46382240">
      <w:pPr>
        <w:spacing w:line="440" w:lineRule="exact"/>
        <w:ind w:left="360" w:hanging="360" w:hangingChars="150"/>
        <w:rPr>
          <w:sz w:val="24"/>
        </w:rPr>
      </w:pPr>
      <w:r>
        <w:rPr>
          <w:rFonts w:hint="eastAsia"/>
          <w:sz w:val="24"/>
        </w:rPr>
        <w:t>16</w:t>
      </w:r>
      <w:r>
        <w:rPr>
          <w:sz w:val="24"/>
        </w:rPr>
        <w:t xml:space="preserve">. </w:t>
      </w:r>
      <w:r>
        <w:rPr>
          <w:rFonts w:hint="eastAsia" w:cs="宋体"/>
          <w:sz w:val="24"/>
        </w:rPr>
        <w:t>谈判时间和地点：详见</w:t>
      </w:r>
      <w:r>
        <w:rPr>
          <w:rFonts w:hint="eastAsia" w:cs="宋体"/>
          <w:b/>
          <w:bCs/>
          <w:sz w:val="24"/>
        </w:rPr>
        <w:t>《供应商须知前附表》</w:t>
      </w:r>
      <w:r>
        <w:rPr>
          <w:rFonts w:hint="eastAsia" w:cs="宋体"/>
          <w:sz w:val="24"/>
        </w:rPr>
        <w:t>。</w:t>
      </w:r>
    </w:p>
    <w:p w14:paraId="296562BD">
      <w:pPr>
        <w:spacing w:line="440" w:lineRule="exact"/>
        <w:ind w:left="401" w:hanging="400" w:hangingChars="167"/>
        <w:rPr>
          <w:sz w:val="24"/>
        </w:rPr>
      </w:pPr>
      <w:r>
        <w:rPr>
          <w:rFonts w:hint="eastAsia"/>
          <w:sz w:val="24"/>
        </w:rPr>
        <w:t>17</w:t>
      </w:r>
      <w:r>
        <w:rPr>
          <w:sz w:val="24"/>
        </w:rPr>
        <w:t xml:space="preserve">. </w:t>
      </w:r>
      <w:r>
        <w:rPr>
          <w:rFonts w:hint="eastAsia" w:cs="宋体"/>
          <w:sz w:val="24"/>
        </w:rPr>
        <w:t>迟交的响应文件：集中采购机构将拒绝或原封退回在其规定的递交响应文件截止时间之后收到的任何响应文件。</w:t>
      </w:r>
    </w:p>
    <w:p w14:paraId="15E4F58B">
      <w:pPr>
        <w:spacing w:line="440" w:lineRule="exact"/>
        <w:rPr>
          <w:bCs/>
          <w:sz w:val="24"/>
        </w:rPr>
      </w:pPr>
    </w:p>
    <w:p w14:paraId="45304A60">
      <w:pPr>
        <w:spacing w:line="440" w:lineRule="exact"/>
        <w:rPr>
          <w:rFonts w:eastAsia="黑体"/>
          <w:bCs/>
          <w:sz w:val="24"/>
        </w:rPr>
      </w:pPr>
      <w:r>
        <w:rPr>
          <w:rFonts w:eastAsia="黑体"/>
          <w:bCs/>
          <w:sz w:val="24"/>
        </w:rPr>
        <w:t>六、谈判小组的组成</w:t>
      </w:r>
    </w:p>
    <w:p w14:paraId="1939B006">
      <w:pPr>
        <w:spacing w:line="440" w:lineRule="exact"/>
        <w:ind w:left="420" w:hanging="420"/>
        <w:rPr>
          <w:sz w:val="24"/>
        </w:rPr>
      </w:pPr>
      <w:r>
        <w:rPr>
          <w:rFonts w:hint="eastAsia"/>
          <w:sz w:val="24"/>
        </w:rPr>
        <w:t>18</w:t>
      </w:r>
      <w:r>
        <w:rPr>
          <w:sz w:val="24"/>
        </w:rPr>
        <w:t xml:space="preserve">. </w:t>
      </w:r>
      <w:r>
        <w:rPr>
          <w:rFonts w:hint="eastAsia" w:cs="宋体"/>
          <w:sz w:val="24"/>
        </w:rPr>
        <w:t>本次谈判由湖北省博物馆依法组建的谈判小组进行，谈判小组负责制定谈判文件、确定谈判供应商名单、响应文件的评审、谈判、根据谈判情况编写评审报告，协助处理质疑等工作。</w:t>
      </w:r>
    </w:p>
    <w:p w14:paraId="5F5F6F86">
      <w:pPr>
        <w:spacing w:line="440" w:lineRule="exact"/>
        <w:ind w:left="360" w:hanging="360" w:hangingChars="150"/>
        <w:rPr>
          <w:bCs/>
          <w:sz w:val="24"/>
        </w:rPr>
      </w:pPr>
      <w:r>
        <w:rPr>
          <w:rFonts w:hint="eastAsia"/>
          <w:sz w:val="24"/>
        </w:rPr>
        <w:t>19</w:t>
      </w:r>
      <w:r>
        <w:rPr>
          <w:sz w:val="24"/>
        </w:rPr>
        <w:t xml:space="preserve">. </w:t>
      </w:r>
      <w:r>
        <w:rPr>
          <w:rFonts w:hint="eastAsia" w:cs="宋体"/>
          <w:sz w:val="24"/>
        </w:rPr>
        <w:t>谈判小组组成见</w:t>
      </w:r>
      <w:r>
        <w:rPr>
          <w:rFonts w:hint="eastAsia" w:cs="宋体"/>
          <w:b/>
          <w:bCs/>
          <w:sz w:val="24"/>
        </w:rPr>
        <w:t>《供应商须知前附表》</w:t>
      </w:r>
      <w:r>
        <w:rPr>
          <w:bCs/>
          <w:sz w:val="24"/>
        </w:rPr>
        <w:t>。</w:t>
      </w:r>
    </w:p>
    <w:p w14:paraId="48F2E9D9">
      <w:pPr>
        <w:spacing w:line="440" w:lineRule="exact"/>
        <w:rPr>
          <w:bCs/>
          <w:sz w:val="24"/>
        </w:rPr>
      </w:pPr>
    </w:p>
    <w:p w14:paraId="70B96B83">
      <w:pPr>
        <w:spacing w:line="440" w:lineRule="exact"/>
        <w:rPr>
          <w:rFonts w:eastAsia="黑体"/>
          <w:bCs/>
          <w:sz w:val="24"/>
        </w:rPr>
      </w:pPr>
      <w:r>
        <w:rPr>
          <w:rFonts w:eastAsia="黑体"/>
          <w:bCs/>
          <w:sz w:val="24"/>
        </w:rPr>
        <w:t>七、谈判的步骤</w:t>
      </w:r>
    </w:p>
    <w:p w14:paraId="626F1173">
      <w:pPr>
        <w:spacing w:line="440" w:lineRule="exact"/>
        <w:ind w:left="420" w:hanging="420"/>
        <w:rPr>
          <w:sz w:val="24"/>
        </w:rPr>
      </w:pPr>
      <w:r>
        <w:rPr>
          <w:sz w:val="24"/>
        </w:rPr>
        <w:t>2</w:t>
      </w:r>
      <w:r>
        <w:rPr>
          <w:rFonts w:hint="eastAsia"/>
          <w:sz w:val="24"/>
        </w:rPr>
        <w:t>0</w:t>
      </w:r>
      <w:r>
        <w:rPr>
          <w:sz w:val="24"/>
        </w:rPr>
        <w:t xml:space="preserve">. </w:t>
      </w:r>
      <w:r>
        <w:rPr>
          <w:rFonts w:hint="eastAsia" w:cs="宋体"/>
          <w:sz w:val="24"/>
        </w:rPr>
        <w:t>谈判供应商授权代表及其商务技术人员按要求参加本项目谈判过程。</w:t>
      </w:r>
    </w:p>
    <w:p w14:paraId="0DC0E51A">
      <w:pPr>
        <w:spacing w:line="440" w:lineRule="exact"/>
        <w:ind w:left="360" w:hanging="360" w:hangingChars="150"/>
        <w:rPr>
          <w:sz w:val="24"/>
        </w:rPr>
      </w:pPr>
      <w:r>
        <w:rPr>
          <w:sz w:val="24"/>
        </w:rPr>
        <w:t>2</w:t>
      </w:r>
      <w:r>
        <w:rPr>
          <w:rFonts w:hint="eastAsia"/>
          <w:sz w:val="24"/>
        </w:rPr>
        <w:t>1</w:t>
      </w:r>
      <w:r>
        <w:rPr>
          <w:sz w:val="24"/>
        </w:rPr>
        <w:t xml:space="preserve">. </w:t>
      </w:r>
      <w:r>
        <w:rPr>
          <w:rFonts w:hint="eastAsia" w:cs="宋体"/>
          <w:sz w:val="24"/>
        </w:rPr>
        <w:t>资格性评审</w:t>
      </w:r>
    </w:p>
    <w:p w14:paraId="1460D447">
      <w:pPr>
        <w:spacing w:line="440" w:lineRule="exact"/>
        <w:ind w:left="363" w:leftChars="1" w:hanging="360" w:hangingChars="150"/>
        <w:rPr>
          <w:sz w:val="24"/>
        </w:rPr>
      </w:pPr>
      <w:r>
        <w:rPr>
          <w:sz w:val="24"/>
        </w:rPr>
        <w:t>2</w:t>
      </w:r>
      <w:r>
        <w:rPr>
          <w:rFonts w:hint="eastAsia"/>
          <w:sz w:val="24"/>
        </w:rPr>
        <w:t>1</w:t>
      </w:r>
      <w:r>
        <w:rPr>
          <w:sz w:val="24"/>
        </w:rPr>
        <w:t>.1</w:t>
      </w:r>
      <w:r>
        <w:rPr>
          <w:rFonts w:hint="eastAsia" w:cs="宋体"/>
          <w:sz w:val="24"/>
        </w:rPr>
        <w:t>谈判小组验证各供应商法人（负责人）或委托授权人的身份。供应商法人（负责人）或委托授权人身份与响应文件不符的、响应文件未按要求加盖印章和签字的，谈判小组将拒绝该供应商参加谈判。</w:t>
      </w:r>
    </w:p>
    <w:p w14:paraId="58879371">
      <w:pPr>
        <w:spacing w:line="440" w:lineRule="exact"/>
        <w:ind w:left="360" w:hanging="360" w:hangingChars="150"/>
        <w:rPr>
          <w:sz w:val="24"/>
        </w:rPr>
      </w:pPr>
      <w:r>
        <w:rPr>
          <w:sz w:val="24"/>
        </w:rPr>
        <w:t>2</w:t>
      </w:r>
      <w:r>
        <w:rPr>
          <w:rFonts w:hint="eastAsia"/>
          <w:sz w:val="24"/>
        </w:rPr>
        <w:t>1</w:t>
      </w:r>
      <w:r>
        <w:rPr>
          <w:sz w:val="24"/>
        </w:rPr>
        <w:t>.2</w:t>
      </w:r>
      <w:r>
        <w:rPr>
          <w:rFonts w:hint="eastAsia" w:cs="宋体"/>
          <w:sz w:val="24"/>
        </w:rPr>
        <w:t>谈判小组根据谈判文件规定的供应商资格条件、评定成交的标准等事项对供应商提交的响应文件进行评审，资格性评审不符合谈判文件要求的响应文件按无效文件处理，不进入谈判，并告知有关供应商。</w:t>
      </w:r>
    </w:p>
    <w:p w14:paraId="51AF854F">
      <w:pPr>
        <w:spacing w:line="440" w:lineRule="exact"/>
        <w:ind w:left="420" w:hanging="420"/>
        <w:rPr>
          <w:sz w:val="24"/>
        </w:rPr>
      </w:pPr>
      <w:r>
        <w:rPr>
          <w:sz w:val="24"/>
        </w:rPr>
        <w:t>2</w:t>
      </w:r>
      <w:r>
        <w:rPr>
          <w:rFonts w:hint="eastAsia"/>
          <w:sz w:val="24"/>
        </w:rPr>
        <w:t>2</w:t>
      </w:r>
      <w:r>
        <w:rPr>
          <w:sz w:val="24"/>
        </w:rPr>
        <w:t xml:space="preserve">. </w:t>
      </w:r>
      <w:r>
        <w:rPr>
          <w:rFonts w:hint="eastAsia" w:cs="宋体"/>
          <w:sz w:val="24"/>
        </w:rPr>
        <w:t>第一轮谈判</w:t>
      </w:r>
    </w:p>
    <w:p w14:paraId="22C39BD7">
      <w:pPr>
        <w:spacing w:line="440" w:lineRule="exact"/>
        <w:ind w:left="360" w:hanging="360" w:hangingChars="150"/>
        <w:rPr>
          <w:sz w:val="24"/>
        </w:rPr>
      </w:pPr>
      <w:r>
        <w:rPr>
          <w:sz w:val="24"/>
        </w:rPr>
        <w:t>2</w:t>
      </w:r>
      <w:r>
        <w:rPr>
          <w:rFonts w:hint="eastAsia"/>
          <w:sz w:val="24"/>
        </w:rPr>
        <w:t>2</w:t>
      </w:r>
      <w:r>
        <w:rPr>
          <w:sz w:val="24"/>
        </w:rPr>
        <w:t>.1</w:t>
      </w:r>
      <w:r>
        <w:rPr>
          <w:rFonts w:hint="eastAsia" w:cs="宋体"/>
          <w:sz w:val="24"/>
        </w:rPr>
        <w:t>谈判小组将按照随机抽签的顺序决定谈判供应商的谈判顺序，并与单一谈判供应商分别进行谈判。</w:t>
      </w:r>
    </w:p>
    <w:p w14:paraId="35B11CCF">
      <w:pPr>
        <w:spacing w:line="440" w:lineRule="exact"/>
        <w:ind w:left="360" w:hanging="360" w:hangingChars="150"/>
        <w:rPr>
          <w:sz w:val="24"/>
        </w:rPr>
      </w:pPr>
      <w:r>
        <w:rPr>
          <w:rFonts w:hint="eastAsia"/>
          <w:sz w:val="24"/>
        </w:rPr>
        <w:t>22</w:t>
      </w:r>
      <w:r>
        <w:rPr>
          <w:sz w:val="24"/>
        </w:rPr>
        <w:t>.2</w:t>
      </w:r>
      <w:r>
        <w:rPr>
          <w:rFonts w:hint="eastAsia" w:cs="宋体"/>
          <w:sz w:val="24"/>
        </w:rPr>
        <w:t>谈判小组对照谈判文件与供应商的响应文件分别就采购需求、质量和服务等进行谈判，并了解其报价组成情况。谈判中，谈判的任何一方不得透露与谈判有关的其他供应商的技术资料、价格和其他信息。</w:t>
      </w:r>
    </w:p>
    <w:p w14:paraId="3957DC31">
      <w:pPr>
        <w:spacing w:line="440" w:lineRule="exact"/>
        <w:ind w:left="420" w:hanging="420"/>
        <w:rPr>
          <w:sz w:val="24"/>
        </w:rPr>
      </w:pPr>
      <w:r>
        <w:rPr>
          <w:sz w:val="24"/>
        </w:rPr>
        <w:t>2</w:t>
      </w:r>
      <w:r>
        <w:rPr>
          <w:rFonts w:hint="eastAsia"/>
          <w:sz w:val="24"/>
        </w:rPr>
        <w:t>2</w:t>
      </w:r>
      <w:r>
        <w:rPr>
          <w:sz w:val="24"/>
        </w:rPr>
        <w:t>.3</w:t>
      </w:r>
      <w:r>
        <w:rPr>
          <w:rFonts w:hint="eastAsia" w:cs="宋体"/>
          <w:sz w:val="24"/>
        </w:rPr>
        <w:t>响应文件的澄清和说明</w:t>
      </w:r>
    </w:p>
    <w:p w14:paraId="3932D65C">
      <w:pPr>
        <w:spacing w:line="440" w:lineRule="exact"/>
        <w:ind w:left="360" w:hanging="360" w:hangingChars="150"/>
        <w:rPr>
          <w:sz w:val="24"/>
        </w:rPr>
      </w:pPr>
      <w:r>
        <w:rPr>
          <w:sz w:val="24"/>
        </w:rPr>
        <w:t>1</w:t>
      </w:r>
      <w:r>
        <w:rPr>
          <w:rFonts w:hint="eastAsia" w:cs="宋体"/>
          <w:sz w:val="24"/>
        </w:rPr>
        <w:t>）谈判小组可要求供应商对响应文件中含义不明确、同类问题表述不一致或者有明显文字和计算错误的等内容作出必要的澄清、说明或者更正。供应商的澄清、说明或者更正不得超出响应文件的范围或者改变响应文件的实质性内容。</w:t>
      </w:r>
    </w:p>
    <w:p w14:paraId="3CF59167">
      <w:pPr>
        <w:spacing w:line="440" w:lineRule="exact"/>
        <w:ind w:left="360" w:hanging="360" w:hangingChars="150"/>
        <w:rPr>
          <w:sz w:val="24"/>
        </w:rPr>
      </w:pPr>
      <w:r>
        <w:rPr>
          <w:sz w:val="24"/>
        </w:rPr>
        <w:t>2</w:t>
      </w:r>
      <w:r>
        <w:rPr>
          <w:rFonts w:hint="eastAsia" w:cs="宋体"/>
          <w:sz w:val="24"/>
        </w:rPr>
        <w:t>）谈判小组要求供应商澄清、说明或者更正响应文件应以书面形式作出。供应商的澄清、说明或者更正应当由法定代表人（负责人）或其授权代表签字或者加盖印章。</w:t>
      </w:r>
    </w:p>
    <w:p w14:paraId="512E2995">
      <w:pPr>
        <w:spacing w:line="440" w:lineRule="exact"/>
        <w:ind w:left="360" w:hanging="360" w:hangingChars="150"/>
        <w:rPr>
          <w:sz w:val="24"/>
        </w:rPr>
      </w:pPr>
      <w:r>
        <w:rPr>
          <w:sz w:val="24"/>
        </w:rPr>
        <w:t>3</w:t>
      </w:r>
      <w:r>
        <w:rPr>
          <w:rFonts w:hint="eastAsia" w:cs="宋体"/>
          <w:sz w:val="24"/>
        </w:rPr>
        <w:t>）供应商可以对参加谈判项目的采购需求提出优化建议，并以书面提交谈判小组。</w:t>
      </w:r>
    </w:p>
    <w:p w14:paraId="6A3E4DB2">
      <w:pPr>
        <w:spacing w:line="440" w:lineRule="exact"/>
        <w:ind w:left="360" w:hanging="360" w:hangingChars="150"/>
        <w:rPr>
          <w:sz w:val="24"/>
        </w:rPr>
      </w:pPr>
      <w:r>
        <w:rPr>
          <w:sz w:val="24"/>
        </w:rPr>
        <w:t>2</w:t>
      </w:r>
      <w:r>
        <w:rPr>
          <w:rFonts w:hint="eastAsia"/>
          <w:sz w:val="24"/>
        </w:rPr>
        <w:t>2</w:t>
      </w:r>
      <w:r>
        <w:rPr>
          <w:sz w:val="24"/>
        </w:rPr>
        <w:t>.4</w:t>
      </w:r>
      <w:r>
        <w:rPr>
          <w:rFonts w:hint="eastAsia" w:cs="宋体"/>
          <w:sz w:val="24"/>
        </w:rPr>
        <w:t>谈判小组按谈判文件设定的方法和标准确定谈判供应商符合谈判文件要求的，该谈判供应商即为合格的供应商。</w:t>
      </w:r>
    </w:p>
    <w:p w14:paraId="51E211DD">
      <w:pPr>
        <w:spacing w:line="440" w:lineRule="exact"/>
        <w:ind w:left="363" w:leftChars="1" w:hanging="360" w:hangingChars="150"/>
        <w:rPr>
          <w:sz w:val="24"/>
        </w:rPr>
      </w:pPr>
      <w:r>
        <w:rPr>
          <w:sz w:val="24"/>
        </w:rPr>
        <w:t>2</w:t>
      </w:r>
      <w:r>
        <w:rPr>
          <w:rFonts w:hint="eastAsia"/>
          <w:sz w:val="24"/>
        </w:rPr>
        <w:t>2</w:t>
      </w:r>
      <w:r>
        <w:rPr>
          <w:sz w:val="24"/>
        </w:rPr>
        <w:t>.5</w:t>
      </w:r>
      <w:r>
        <w:rPr>
          <w:rFonts w:hint="eastAsia" w:cs="宋体"/>
          <w:sz w:val="24"/>
        </w:rPr>
        <w:t>第一轮谈判后，合格的供应商超过三家的，谈判小组可根据采购项目的特点、采购人的实际需求及与各供应商的谈判情况对谈判文件作出实质性变动，并进行下一轮谈判，或直接进入最后报价。变动后的谈判文件至少有</w:t>
      </w:r>
      <w:r>
        <w:rPr>
          <w:sz w:val="24"/>
        </w:rPr>
        <w:t>3</w:t>
      </w:r>
      <w:r>
        <w:rPr>
          <w:rFonts w:hint="eastAsia" w:cs="宋体"/>
          <w:sz w:val="24"/>
        </w:rPr>
        <w:t>家供应商满足。</w:t>
      </w:r>
    </w:p>
    <w:p w14:paraId="21CF16FE">
      <w:pPr>
        <w:spacing w:line="440" w:lineRule="exact"/>
        <w:ind w:left="363" w:leftChars="1" w:hanging="360" w:hangingChars="150"/>
        <w:rPr>
          <w:sz w:val="24"/>
        </w:rPr>
      </w:pPr>
      <w:r>
        <w:rPr>
          <w:sz w:val="24"/>
        </w:rPr>
        <w:t>2</w:t>
      </w:r>
      <w:r>
        <w:rPr>
          <w:rFonts w:hint="eastAsia"/>
          <w:sz w:val="24"/>
        </w:rPr>
        <w:t>2</w:t>
      </w:r>
      <w:r>
        <w:rPr>
          <w:sz w:val="24"/>
        </w:rPr>
        <w:t>.6</w:t>
      </w:r>
      <w:r>
        <w:rPr>
          <w:rFonts w:hint="eastAsia" w:cs="宋体"/>
          <w:sz w:val="24"/>
        </w:rPr>
        <w:t>合格的供应商不足</w:t>
      </w:r>
      <w:r>
        <w:rPr>
          <w:sz w:val="24"/>
        </w:rPr>
        <w:t>3</w:t>
      </w:r>
      <w:r>
        <w:rPr>
          <w:rFonts w:hint="eastAsia" w:cs="宋体"/>
          <w:sz w:val="24"/>
        </w:rPr>
        <w:t>家的，谈判小组、采购人在降低采购需求中的技术、服务要求以及合同草案条款后进行下一轮谈判。否则，本次谈判终止，重新开展采购活动。</w:t>
      </w:r>
    </w:p>
    <w:p w14:paraId="7CCFFBD7">
      <w:pPr>
        <w:spacing w:line="440" w:lineRule="exact"/>
        <w:rPr>
          <w:sz w:val="24"/>
        </w:rPr>
      </w:pPr>
      <w:r>
        <w:rPr>
          <w:sz w:val="24"/>
        </w:rPr>
        <w:t>2</w:t>
      </w:r>
      <w:r>
        <w:rPr>
          <w:rFonts w:hint="eastAsia"/>
          <w:sz w:val="24"/>
        </w:rPr>
        <w:t>3</w:t>
      </w:r>
      <w:r>
        <w:rPr>
          <w:sz w:val="24"/>
        </w:rPr>
        <w:t xml:space="preserve">. </w:t>
      </w:r>
      <w:r>
        <w:rPr>
          <w:rFonts w:hint="eastAsia" w:cs="宋体"/>
          <w:sz w:val="24"/>
        </w:rPr>
        <w:t>谈判文件修正</w:t>
      </w:r>
    </w:p>
    <w:p w14:paraId="0AF47BC6">
      <w:pPr>
        <w:spacing w:line="440" w:lineRule="exact"/>
        <w:ind w:left="363" w:leftChars="1" w:hanging="360" w:hangingChars="150"/>
        <w:rPr>
          <w:sz w:val="24"/>
        </w:rPr>
      </w:pPr>
      <w:r>
        <w:rPr>
          <w:sz w:val="24"/>
        </w:rPr>
        <w:t>2</w:t>
      </w:r>
      <w:r>
        <w:rPr>
          <w:rFonts w:hint="eastAsia"/>
          <w:sz w:val="24"/>
        </w:rPr>
        <w:t>3</w:t>
      </w:r>
      <w:r>
        <w:rPr>
          <w:sz w:val="24"/>
        </w:rPr>
        <w:t>.1</w:t>
      </w:r>
      <w:r>
        <w:rPr>
          <w:rFonts w:hint="eastAsia" w:cs="宋体"/>
          <w:sz w:val="24"/>
        </w:rPr>
        <w:t>谈判小组可根据谈判文件和谈判情况实质性变动采购需求中的技术、服务要求以及合同草案条款，但不得变动谈判文件中的其他内容。对谈判文件作出的实质性变动是谈判文件的有效组成部分。</w:t>
      </w:r>
    </w:p>
    <w:p w14:paraId="07E94366">
      <w:pPr>
        <w:spacing w:line="440" w:lineRule="exact"/>
        <w:rPr>
          <w:sz w:val="24"/>
        </w:rPr>
      </w:pPr>
      <w:r>
        <w:rPr>
          <w:sz w:val="24"/>
        </w:rPr>
        <w:t>2</w:t>
      </w:r>
      <w:r>
        <w:rPr>
          <w:rFonts w:hint="eastAsia"/>
          <w:sz w:val="24"/>
        </w:rPr>
        <w:t>3</w:t>
      </w:r>
      <w:r>
        <w:rPr>
          <w:sz w:val="24"/>
        </w:rPr>
        <w:t>.2</w:t>
      </w:r>
      <w:r>
        <w:rPr>
          <w:rFonts w:hint="eastAsia" w:cs="宋体"/>
          <w:sz w:val="24"/>
        </w:rPr>
        <w:t>谈判小组将谈判文件的修改结果以书面形式通知参加谈判的供应商。</w:t>
      </w:r>
    </w:p>
    <w:p w14:paraId="1B3687C5">
      <w:pPr>
        <w:spacing w:line="440" w:lineRule="exact"/>
        <w:ind w:left="363" w:leftChars="1" w:hanging="360" w:hangingChars="150"/>
        <w:rPr>
          <w:sz w:val="24"/>
        </w:rPr>
      </w:pPr>
      <w:r>
        <w:rPr>
          <w:sz w:val="24"/>
        </w:rPr>
        <w:t>2</w:t>
      </w:r>
      <w:r>
        <w:rPr>
          <w:rFonts w:hint="eastAsia"/>
          <w:sz w:val="24"/>
        </w:rPr>
        <w:t>3</w:t>
      </w:r>
      <w:r>
        <w:rPr>
          <w:sz w:val="24"/>
        </w:rPr>
        <w:t>.3</w:t>
      </w:r>
      <w:r>
        <w:rPr>
          <w:rFonts w:hint="eastAsia" w:cs="宋体"/>
          <w:sz w:val="24"/>
        </w:rPr>
        <w:t>谈判供应商根据第一轮谈判情况和谈判文件修改书面通知，对原响应文件进行修正，并将修正文件签字（或盖章）后密封送交谈判小组。逾时不交的，视同放弃谈判。修正文件与响应文件同具法律效应。</w:t>
      </w:r>
    </w:p>
    <w:p w14:paraId="266CF368">
      <w:pPr>
        <w:spacing w:line="440" w:lineRule="exact"/>
        <w:ind w:left="363" w:leftChars="1" w:hanging="360" w:hangingChars="150"/>
        <w:rPr>
          <w:sz w:val="24"/>
        </w:rPr>
      </w:pPr>
      <w:r>
        <w:rPr>
          <w:sz w:val="24"/>
        </w:rPr>
        <w:t>2</w:t>
      </w:r>
      <w:r>
        <w:rPr>
          <w:rFonts w:hint="eastAsia"/>
          <w:sz w:val="24"/>
        </w:rPr>
        <w:t>3</w:t>
      </w:r>
      <w:r>
        <w:rPr>
          <w:sz w:val="24"/>
        </w:rPr>
        <w:t>.4</w:t>
      </w:r>
      <w:r>
        <w:rPr>
          <w:rFonts w:hint="eastAsia" w:cs="宋体"/>
          <w:sz w:val="24"/>
        </w:rPr>
        <w:t>对无法详细描述需求，需要供应商提供设计或者解决方案的项目，谈判小组可以根据采购人对需求确认情况，进行多轮谈判，直至采购人代表最终确认采购需求为止。</w:t>
      </w:r>
    </w:p>
    <w:p w14:paraId="04454F86">
      <w:pPr>
        <w:spacing w:line="440" w:lineRule="exact"/>
        <w:rPr>
          <w:sz w:val="24"/>
        </w:rPr>
      </w:pPr>
      <w:r>
        <w:rPr>
          <w:sz w:val="24"/>
        </w:rPr>
        <w:t>2</w:t>
      </w:r>
      <w:r>
        <w:rPr>
          <w:rFonts w:hint="eastAsia"/>
          <w:sz w:val="24"/>
        </w:rPr>
        <w:t>4</w:t>
      </w:r>
      <w:r>
        <w:rPr>
          <w:sz w:val="24"/>
        </w:rPr>
        <w:t xml:space="preserve">. </w:t>
      </w:r>
      <w:r>
        <w:rPr>
          <w:rFonts w:hint="eastAsia" w:cs="宋体"/>
          <w:sz w:val="24"/>
        </w:rPr>
        <w:t>第二轮谈判</w:t>
      </w:r>
    </w:p>
    <w:p w14:paraId="017F6B2C">
      <w:pPr>
        <w:spacing w:line="440" w:lineRule="exact"/>
        <w:rPr>
          <w:sz w:val="24"/>
        </w:rPr>
      </w:pPr>
      <w:r>
        <w:rPr>
          <w:sz w:val="24"/>
        </w:rPr>
        <w:t>2</w:t>
      </w:r>
      <w:r>
        <w:rPr>
          <w:rFonts w:hint="eastAsia"/>
          <w:sz w:val="24"/>
        </w:rPr>
        <w:t>4</w:t>
      </w:r>
      <w:r>
        <w:rPr>
          <w:sz w:val="24"/>
        </w:rPr>
        <w:t>.1</w:t>
      </w:r>
      <w:r>
        <w:rPr>
          <w:rFonts w:hint="eastAsia" w:cs="宋体"/>
          <w:sz w:val="24"/>
        </w:rPr>
        <w:t>谈判小组就修正后的谈判文件与谈判供应商分别进行谈判。</w:t>
      </w:r>
    </w:p>
    <w:p w14:paraId="7D135293">
      <w:pPr>
        <w:spacing w:line="440" w:lineRule="exact"/>
        <w:ind w:left="363" w:leftChars="1" w:hanging="360" w:hangingChars="150"/>
        <w:rPr>
          <w:sz w:val="24"/>
        </w:rPr>
      </w:pPr>
      <w:r>
        <w:rPr>
          <w:sz w:val="24"/>
        </w:rPr>
        <w:t>2</w:t>
      </w:r>
      <w:r>
        <w:rPr>
          <w:rFonts w:hint="eastAsia"/>
          <w:sz w:val="24"/>
        </w:rPr>
        <w:t>4</w:t>
      </w:r>
      <w:r>
        <w:rPr>
          <w:sz w:val="24"/>
        </w:rPr>
        <w:t>.2</w:t>
      </w:r>
      <w:r>
        <w:rPr>
          <w:rFonts w:hint="eastAsia" w:cs="宋体"/>
          <w:sz w:val="24"/>
        </w:rPr>
        <w:t>第二轮谈判结束后，实质性响应谈判文件及变动后谈判文件要求的供应商超过或不足</w:t>
      </w:r>
      <w:r>
        <w:rPr>
          <w:sz w:val="24"/>
        </w:rPr>
        <w:t>3</w:t>
      </w:r>
      <w:r>
        <w:rPr>
          <w:rFonts w:hint="eastAsia" w:cs="宋体"/>
          <w:sz w:val="24"/>
        </w:rPr>
        <w:t>家的，按照上一轮谈判程序办理，以此类推。</w:t>
      </w:r>
    </w:p>
    <w:p w14:paraId="56EDBD63">
      <w:pPr>
        <w:spacing w:line="440" w:lineRule="exact"/>
        <w:rPr>
          <w:sz w:val="24"/>
        </w:rPr>
      </w:pPr>
      <w:r>
        <w:rPr>
          <w:sz w:val="24"/>
        </w:rPr>
        <w:t>2</w:t>
      </w:r>
      <w:r>
        <w:rPr>
          <w:rFonts w:hint="eastAsia"/>
          <w:sz w:val="24"/>
        </w:rPr>
        <w:t>5</w:t>
      </w:r>
      <w:r>
        <w:rPr>
          <w:sz w:val="24"/>
        </w:rPr>
        <w:t xml:space="preserve">. </w:t>
      </w:r>
      <w:r>
        <w:rPr>
          <w:rFonts w:hint="eastAsia" w:cs="宋体"/>
          <w:sz w:val="24"/>
        </w:rPr>
        <w:t>最后报价</w:t>
      </w:r>
    </w:p>
    <w:p w14:paraId="4EDDC11F">
      <w:pPr>
        <w:spacing w:line="440" w:lineRule="exact"/>
        <w:ind w:left="363" w:leftChars="1" w:hanging="360" w:hangingChars="150"/>
        <w:rPr>
          <w:sz w:val="24"/>
        </w:rPr>
      </w:pPr>
      <w:r>
        <w:rPr>
          <w:sz w:val="24"/>
        </w:rPr>
        <w:t>2</w:t>
      </w:r>
      <w:r>
        <w:rPr>
          <w:rFonts w:hint="eastAsia"/>
          <w:sz w:val="24"/>
        </w:rPr>
        <w:t>5</w:t>
      </w:r>
      <w:r>
        <w:rPr>
          <w:sz w:val="24"/>
        </w:rPr>
        <w:t>.1</w:t>
      </w:r>
      <w:r>
        <w:rPr>
          <w:rFonts w:hint="eastAsia" w:cs="宋体"/>
          <w:sz w:val="24"/>
        </w:rPr>
        <w:t>谈判小组对谈判文件中能够详细列明采购标的的技术、服务要求的，在谈判结束后，所有继续参加谈判合格的供应商应在规定时间内提交最后报价。</w:t>
      </w:r>
    </w:p>
    <w:p w14:paraId="0A11AA76">
      <w:pPr>
        <w:spacing w:line="440" w:lineRule="exact"/>
        <w:ind w:left="363" w:leftChars="1" w:hanging="360" w:hangingChars="150"/>
        <w:rPr>
          <w:sz w:val="24"/>
        </w:rPr>
      </w:pPr>
      <w:r>
        <w:rPr>
          <w:sz w:val="24"/>
        </w:rPr>
        <w:t>2</w:t>
      </w:r>
      <w:r>
        <w:rPr>
          <w:rFonts w:hint="eastAsia"/>
          <w:sz w:val="24"/>
        </w:rPr>
        <w:t>5</w:t>
      </w:r>
      <w:r>
        <w:rPr>
          <w:sz w:val="24"/>
        </w:rPr>
        <w:t>.2</w:t>
      </w:r>
      <w:r>
        <w:rPr>
          <w:rFonts w:hint="eastAsia" w:cs="宋体"/>
          <w:sz w:val="24"/>
        </w:rPr>
        <w:t>谈判小组对谈判文件中不能详细描述和列明采购标的的技术、服务要求，需通过谈判由供应商提供最终设计方案或解决方案的，在谈判结束后，谈判小组按照少数服从多数的原则投票推荐</w:t>
      </w:r>
      <w:r>
        <w:rPr>
          <w:sz w:val="24"/>
        </w:rPr>
        <w:t>3</w:t>
      </w:r>
      <w:r>
        <w:rPr>
          <w:rFonts w:hint="eastAsia" w:cs="宋体"/>
          <w:sz w:val="24"/>
        </w:rPr>
        <w:t>家以上合格供应商的设计方案或者解决方案，并要求其在规定时间内提交最后报价。</w:t>
      </w:r>
    </w:p>
    <w:p w14:paraId="590AD1C7">
      <w:pPr>
        <w:spacing w:line="440" w:lineRule="exact"/>
        <w:ind w:left="363" w:leftChars="1" w:hanging="360" w:hangingChars="150"/>
        <w:rPr>
          <w:sz w:val="24"/>
        </w:rPr>
      </w:pPr>
      <w:r>
        <w:rPr>
          <w:sz w:val="24"/>
        </w:rPr>
        <w:t>2</w:t>
      </w:r>
      <w:r>
        <w:rPr>
          <w:rFonts w:hint="eastAsia"/>
          <w:sz w:val="24"/>
        </w:rPr>
        <w:t>5</w:t>
      </w:r>
      <w:r>
        <w:rPr>
          <w:sz w:val="24"/>
        </w:rPr>
        <w:t>.3</w:t>
      </w:r>
      <w:r>
        <w:rPr>
          <w:rFonts w:hint="eastAsia" w:cs="宋体"/>
          <w:sz w:val="24"/>
        </w:rPr>
        <w:t>如果出现相同最低报价，谈判小组将要求相同最低报价的谈判供应商再次报价，直至确定只有一个最低报价为止。</w:t>
      </w:r>
    </w:p>
    <w:p w14:paraId="15F9943C">
      <w:pPr>
        <w:spacing w:line="440" w:lineRule="exact"/>
        <w:ind w:left="363" w:leftChars="1" w:hanging="360" w:hangingChars="150"/>
        <w:rPr>
          <w:sz w:val="24"/>
        </w:rPr>
      </w:pPr>
      <w:r>
        <w:rPr>
          <w:sz w:val="24"/>
        </w:rPr>
        <w:t>2</w:t>
      </w:r>
      <w:r>
        <w:rPr>
          <w:rFonts w:hint="eastAsia"/>
          <w:sz w:val="24"/>
        </w:rPr>
        <w:t>5</w:t>
      </w:r>
      <w:r>
        <w:rPr>
          <w:sz w:val="24"/>
        </w:rPr>
        <w:t>.4</w:t>
      </w:r>
      <w:r>
        <w:rPr>
          <w:rFonts w:hint="eastAsia" w:cs="宋体"/>
          <w:sz w:val="24"/>
        </w:rPr>
        <w:t>谈判供应商的报价均超过了政府采购预算或报价未超过采购预算的供应商不足三家的，谈判活动终止。</w:t>
      </w:r>
    </w:p>
    <w:p w14:paraId="7E689A08">
      <w:pPr>
        <w:spacing w:line="440" w:lineRule="exact"/>
        <w:ind w:left="363" w:leftChars="1" w:hanging="360" w:hangingChars="150"/>
        <w:rPr>
          <w:sz w:val="24"/>
        </w:rPr>
      </w:pPr>
      <w:r>
        <w:rPr>
          <w:sz w:val="24"/>
        </w:rPr>
        <w:t>2</w:t>
      </w:r>
      <w:r>
        <w:rPr>
          <w:rFonts w:hint="eastAsia"/>
          <w:sz w:val="24"/>
        </w:rPr>
        <w:t>5</w:t>
      </w:r>
      <w:r>
        <w:rPr>
          <w:sz w:val="24"/>
        </w:rPr>
        <w:t>.5</w:t>
      </w:r>
      <w:r>
        <w:rPr>
          <w:rFonts w:hint="eastAsia" w:cs="宋体"/>
          <w:sz w:val="24"/>
        </w:rPr>
        <w:t>最后报价文件应密封，并在规定的同一时间内提交。最后报价是供应商响应文件的有效组成部分。</w:t>
      </w:r>
    </w:p>
    <w:p w14:paraId="32761CD1">
      <w:pPr>
        <w:spacing w:line="440" w:lineRule="exact"/>
        <w:rPr>
          <w:rFonts w:eastAsia="黑体"/>
          <w:sz w:val="24"/>
        </w:rPr>
      </w:pPr>
    </w:p>
    <w:p w14:paraId="62836E98">
      <w:pPr>
        <w:spacing w:line="440" w:lineRule="exact"/>
        <w:rPr>
          <w:rFonts w:eastAsia="黑体"/>
          <w:sz w:val="24"/>
        </w:rPr>
      </w:pPr>
      <w:r>
        <w:rPr>
          <w:rFonts w:hint="eastAsia" w:eastAsia="黑体" w:cs="黑体"/>
          <w:sz w:val="24"/>
        </w:rPr>
        <w:t>八、确定成交供应商</w:t>
      </w:r>
    </w:p>
    <w:p w14:paraId="5C52F8BF">
      <w:pPr>
        <w:spacing w:line="440" w:lineRule="exact"/>
        <w:ind w:left="363" w:leftChars="1" w:hanging="360" w:hangingChars="150"/>
        <w:rPr>
          <w:sz w:val="24"/>
        </w:rPr>
      </w:pPr>
      <w:r>
        <w:rPr>
          <w:rFonts w:hint="eastAsia"/>
          <w:sz w:val="24"/>
        </w:rPr>
        <w:t>26</w:t>
      </w:r>
      <w:r>
        <w:rPr>
          <w:sz w:val="24"/>
        </w:rPr>
        <w:t xml:space="preserve">. </w:t>
      </w:r>
      <w:r>
        <w:rPr>
          <w:rFonts w:hint="eastAsia" w:cs="宋体"/>
          <w:sz w:val="24"/>
        </w:rPr>
        <w:t>谈判小组从质量和服务均能满足本文件实质性要求的供应商中，按照评审价或报价由低到高的顺序提出</w:t>
      </w:r>
      <w:r>
        <w:rPr>
          <w:sz w:val="24"/>
        </w:rPr>
        <w:t>3</w:t>
      </w:r>
      <w:r>
        <w:rPr>
          <w:rFonts w:hint="eastAsia" w:cs="宋体"/>
          <w:sz w:val="24"/>
        </w:rPr>
        <w:t>名以上成交候选人，也可按事先授权直接确定成交供应商，并编写评审报告。当出现两个及以上相同最低评审价时，谈判小组按报价由低到高确定评审结果排序。</w:t>
      </w:r>
    </w:p>
    <w:p w14:paraId="5545FBF8">
      <w:pPr>
        <w:spacing w:line="440" w:lineRule="exact"/>
        <w:ind w:left="363" w:leftChars="1" w:hanging="360" w:hangingChars="150"/>
        <w:rPr>
          <w:sz w:val="24"/>
        </w:rPr>
      </w:pPr>
      <w:r>
        <w:rPr>
          <w:rFonts w:hint="eastAsia"/>
          <w:sz w:val="24"/>
        </w:rPr>
        <w:t>27</w:t>
      </w:r>
      <w:r>
        <w:rPr>
          <w:sz w:val="24"/>
        </w:rPr>
        <w:t xml:space="preserve">. </w:t>
      </w:r>
      <w:r>
        <w:rPr>
          <w:rFonts w:hint="eastAsia" w:cs="宋体"/>
          <w:sz w:val="24"/>
        </w:rPr>
        <w:t>评审办法见</w:t>
      </w:r>
      <w:r>
        <w:rPr>
          <w:rFonts w:hint="eastAsia" w:cs="宋体"/>
          <w:b/>
          <w:bCs/>
          <w:sz w:val="24"/>
        </w:rPr>
        <w:t>《供应商须知前附表》</w:t>
      </w:r>
      <w:r>
        <w:rPr>
          <w:rFonts w:hint="eastAsia" w:cs="宋体"/>
          <w:sz w:val="24"/>
        </w:rPr>
        <w:t>。</w:t>
      </w:r>
    </w:p>
    <w:p w14:paraId="3910B5EE">
      <w:pPr>
        <w:spacing w:line="440" w:lineRule="exact"/>
        <w:ind w:left="363" w:leftChars="1" w:hanging="360" w:hangingChars="150"/>
        <w:rPr>
          <w:sz w:val="24"/>
        </w:rPr>
      </w:pPr>
      <w:r>
        <w:rPr>
          <w:rFonts w:hint="eastAsia"/>
          <w:sz w:val="24"/>
        </w:rPr>
        <w:t>28</w:t>
      </w:r>
      <w:r>
        <w:rPr>
          <w:sz w:val="24"/>
        </w:rPr>
        <w:t xml:space="preserve">. </w:t>
      </w:r>
      <w:r>
        <w:rPr>
          <w:rFonts w:hint="eastAsia" w:cs="宋体"/>
          <w:sz w:val="24"/>
        </w:rPr>
        <w:t>成交候选供应商因特殊原因放弃或因不可抗力提出不能履行合同，才可依据谈判小组评审结果次序依次递补。</w:t>
      </w:r>
    </w:p>
    <w:p w14:paraId="76466D06">
      <w:pPr>
        <w:spacing w:line="440" w:lineRule="exact"/>
        <w:ind w:left="360" w:hanging="360" w:hangingChars="150"/>
        <w:rPr>
          <w:sz w:val="24"/>
        </w:rPr>
      </w:pPr>
    </w:p>
    <w:p w14:paraId="220BECD2">
      <w:pPr>
        <w:spacing w:line="440" w:lineRule="exact"/>
        <w:rPr>
          <w:rFonts w:eastAsia="黑体"/>
          <w:sz w:val="24"/>
        </w:rPr>
      </w:pPr>
      <w:r>
        <w:rPr>
          <w:rFonts w:hint="eastAsia" w:eastAsia="黑体" w:cs="黑体"/>
          <w:sz w:val="24"/>
        </w:rPr>
        <w:t>九、发布成交公告</w:t>
      </w:r>
    </w:p>
    <w:p w14:paraId="476937E6">
      <w:pPr>
        <w:spacing w:line="440" w:lineRule="exact"/>
        <w:ind w:left="363" w:leftChars="1" w:hanging="360" w:hangingChars="150"/>
        <w:rPr>
          <w:sz w:val="24"/>
        </w:rPr>
      </w:pPr>
      <w:r>
        <w:rPr>
          <w:rFonts w:hint="eastAsia"/>
          <w:sz w:val="24"/>
        </w:rPr>
        <w:t>29</w:t>
      </w:r>
      <w:r>
        <w:rPr>
          <w:sz w:val="24"/>
        </w:rPr>
        <w:t xml:space="preserve">. </w:t>
      </w:r>
      <w:r>
        <w:rPr>
          <w:rFonts w:hint="eastAsia" w:cs="宋体"/>
          <w:sz w:val="24"/>
        </w:rPr>
        <w:t>公告媒体。采购人确定成交供应商后，采购机构按</w:t>
      </w:r>
      <w:r>
        <w:rPr>
          <w:rFonts w:hint="eastAsia" w:cs="宋体"/>
          <w:b/>
          <w:bCs/>
          <w:sz w:val="24"/>
        </w:rPr>
        <w:t>《供应商须知前附表》</w:t>
      </w:r>
      <w:r>
        <w:rPr>
          <w:rFonts w:hint="eastAsia" w:cs="宋体"/>
          <w:sz w:val="24"/>
        </w:rPr>
        <w:t>规定的媒体上公告成交结果，同时向成交供应商发出成交通知书。公告期为一个工作日。</w:t>
      </w:r>
    </w:p>
    <w:p w14:paraId="13ABC44A">
      <w:pPr>
        <w:spacing w:line="440" w:lineRule="exact"/>
        <w:ind w:left="363" w:leftChars="1" w:hanging="360" w:hangingChars="150"/>
        <w:rPr>
          <w:sz w:val="24"/>
        </w:rPr>
      </w:pPr>
      <w:r>
        <w:rPr>
          <w:rFonts w:hint="eastAsia"/>
          <w:sz w:val="24"/>
        </w:rPr>
        <w:t>30</w:t>
      </w:r>
      <w:r>
        <w:rPr>
          <w:sz w:val="24"/>
        </w:rPr>
        <w:t xml:space="preserve">. </w:t>
      </w:r>
      <w:r>
        <w:rPr>
          <w:rFonts w:hint="eastAsia" w:cs="宋体"/>
          <w:sz w:val="24"/>
        </w:rPr>
        <w:t>质疑和回复见</w:t>
      </w:r>
      <w:r>
        <w:rPr>
          <w:rFonts w:hint="eastAsia" w:cs="宋体"/>
          <w:b/>
          <w:bCs/>
          <w:sz w:val="24"/>
        </w:rPr>
        <w:t>《供应商须知前附表》</w:t>
      </w:r>
      <w:r>
        <w:rPr>
          <w:rFonts w:hint="eastAsia" w:cs="宋体"/>
          <w:sz w:val="24"/>
        </w:rPr>
        <w:t>。</w:t>
      </w:r>
    </w:p>
    <w:p w14:paraId="2217DFD9">
      <w:pPr>
        <w:spacing w:line="440" w:lineRule="exact"/>
        <w:rPr>
          <w:rFonts w:eastAsia="黑体"/>
          <w:sz w:val="24"/>
        </w:rPr>
      </w:pPr>
    </w:p>
    <w:p w14:paraId="672F684A">
      <w:pPr>
        <w:spacing w:line="440" w:lineRule="exact"/>
        <w:rPr>
          <w:rFonts w:eastAsia="黑体"/>
          <w:sz w:val="24"/>
        </w:rPr>
      </w:pPr>
      <w:r>
        <w:rPr>
          <w:rFonts w:hint="eastAsia" w:eastAsia="黑体" w:cs="黑体"/>
          <w:sz w:val="24"/>
        </w:rPr>
        <w:t>十、签订合同</w:t>
      </w:r>
    </w:p>
    <w:p w14:paraId="0F9146F4">
      <w:pPr>
        <w:spacing w:line="440" w:lineRule="exact"/>
        <w:ind w:left="420" w:hanging="420"/>
        <w:rPr>
          <w:sz w:val="24"/>
        </w:rPr>
      </w:pPr>
      <w:r>
        <w:rPr>
          <w:sz w:val="24"/>
        </w:rPr>
        <w:t>3</w:t>
      </w:r>
      <w:r>
        <w:rPr>
          <w:rFonts w:hint="eastAsia"/>
          <w:sz w:val="24"/>
        </w:rPr>
        <w:t>1</w:t>
      </w:r>
      <w:r>
        <w:rPr>
          <w:sz w:val="24"/>
        </w:rPr>
        <w:t xml:space="preserve">. </w:t>
      </w:r>
      <w:r>
        <w:rPr>
          <w:rFonts w:hint="eastAsia" w:cs="宋体"/>
          <w:sz w:val="24"/>
        </w:rPr>
        <w:t>成交供应商在收到成交通知书后，三十日内与采购人签订供货服务合同。</w:t>
      </w:r>
    </w:p>
    <w:p w14:paraId="55EC974F">
      <w:pPr>
        <w:spacing w:line="440" w:lineRule="exact"/>
        <w:rPr>
          <w:sz w:val="24"/>
        </w:rPr>
      </w:pPr>
    </w:p>
    <w:p w14:paraId="224195D8">
      <w:pPr>
        <w:spacing w:line="440" w:lineRule="exact"/>
        <w:rPr>
          <w:rFonts w:eastAsia="黑体"/>
          <w:sz w:val="24"/>
        </w:rPr>
      </w:pPr>
      <w:r>
        <w:rPr>
          <w:rFonts w:hint="eastAsia" w:eastAsia="黑体" w:cs="黑体"/>
          <w:sz w:val="24"/>
        </w:rPr>
        <w:t>十一、适用法律</w:t>
      </w:r>
    </w:p>
    <w:p w14:paraId="12D27784">
      <w:pPr>
        <w:spacing w:line="440" w:lineRule="exact"/>
        <w:ind w:left="420" w:hanging="420"/>
        <w:rPr>
          <w:sz w:val="24"/>
        </w:rPr>
      </w:pPr>
      <w:r>
        <w:rPr>
          <w:rFonts w:hint="eastAsia"/>
          <w:sz w:val="24"/>
        </w:rPr>
        <w:t>33</w:t>
      </w:r>
      <w:r>
        <w:rPr>
          <w:sz w:val="24"/>
        </w:rPr>
        <w:t xml:space="preserve">. </w:t>
      </w:r>
      <w:r>
        <w:rPr>
          <w:rFonts w:hint="eastAsia"/>
          <w:sz w:val="24"/>
        </w:rPr>
        <w:t>采购当事人的一切活动均适用于《中华人民共和国政府采购法》、《中华人民共和国政府采购法实施条例》、《政府采购非招标采购方式管理办法》及相关法规。</w:t>
      </w:r>
    </w:p>
    <w:p w14:paraId="74720397">
      <w:pPr>
        <w:spacing w:line="500" w:lineRule="exact"/>
        <w:jc w:val="center"/>
        <w:rPr>
          <w:sz w:val="36"/>
          <w:szCs w:val="36"/>
        </w:rPr>
        <w:sectPr>
          <w:headerReference r:id="rId10" w:type="default"/>
          <w:pgSz w:w="11906" w:h="16838"/>
          <w:pgMar w:top="1440" w:right="1800" w:bottom="1440" w:left="1800" w:header="851" w:footer="992" w:gutter="0"/>
          <w:cols w:space="720" w:num="1"/>
          <w:docGrid w:type="lines" w:linePitch="312" w:charSpace="0"/>
        </w:sectPr>
      </w:pPr>
    </w:p>
    <w:p w14:paraId="78D75A8F">
      <w:pPr>
        <w:spacing w:line="500" w:lineRule="exact"/>
        <w:jc w:val="center"/>
        <w:rPr>
          <w:color w:val="000000" w:themeColor="text1"/>
          <w:sz w:val="36"/>
          <w:szCs w:val="36"/>
        </w:rPr>
      </w:pPr>
      <w:r>
        <w:rPr>
          <w:color w:val="000000" w:themeColor="text1"/>
          <w:sz w:val="36"/>
          <w:szCs w:val="36"/>
        </w:rPr>
        <w:t>第三章</w:t>
      </w:r>
      <w:r>
        <w:rPr>
          <w:rFonts w:hint="eastAsia"/>
          <w:color w:val="000000" w:themeColor="text1"/>
          <w:sz w:val="36"/>
          <w:szCs w:val="36"/>
        </w:rPr>
        <w:t xml:space="preserve">  </w:t>
      </w:r>
      <w:r>
        <w:rPr>
          <w:color w:val="000000" w:themeColor="text1"/>
          <w:sz w:val="36"/>
          <w:szCs w:val="36"/>
        </w:rPr>
        <w:t>采购货物（服务）技术规格、参数及要求</w:t>
      </w:r>
    </w:p>
    <w:p w14:paraId="3A112AF1">
      <w:pPr>
        <w:spacing w:before="240" w:after="60"/>
        <w:jc w:val="left"/>
        <w:outlineLvl w:val="0"/>
        <w:rPr>
          <w:sz w:val="24"/>
        </w:rPr>
      </w:pPr>
      <w:r>
        <w:rPr>
          <w:sz w:val="24"/>
        </w:rPr>
        <w:t>一、采购货物具体技术参数及要求</w:t>
      </w:r>
    </w:p>
    <w:tbl>
      <w:tblPr>
        <w:tblStyle w:val="27"/>
        <w:tblW w:w="84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2551"/>
        <w:gridCol w:w="2126"/>
        <w:gridCol w:w="2779"/>
      </w:tblGrid>
      <w:tr w14:paraId="0D3A2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93" w:type="dxa"/>
            <w:shd w:val="clear" w:color="auto" w:fill="D6DCE5"/>
            <w:vAlign w:val="center"/>
          </w:tcPr>
          <w:p w14:paraId="7AF38782">
            <w:pPr>
              <w:jc w:val="center"/>
              <w:rPr>
                <w:sz w:val="24"/>
              </w:rPr>
            </w:pPr>
            <w:r>
              <w:rPr>
                <w:sz w:val="24"/>
              </w:rPr>
              <w:t>序号</w:t>
            </w:r>
          </w:p>
        </w:tc>
        <w:tc>
          <w:tcPr>
            <w:tcW w:w="2551" w:type="dxa"/>
            <w:shd w:val="clear" w:color="auto" w:fill="D6DCE5"/>
            <w:vAlign w:val="center"/>
          </w:tcPr>
          <w:p w14:paraId="08011B79">
            <w:pPr>
              <w:jc w:val="center"/>
              <w:rPr>
                <w:sz w:val="24"/>
              </w:rPr>
            </w:pPr>
            <w:r>
              <w:rPr>
                <w:sz w:val="24"/>
              </w:rPr>
              <w:t>货物名称</w:t>
            </w:r>
          </w:p>
        </w:tc>
        <w:tc>
          <w:tcPr>
            <w:tcW w:w="2126" w:type="dxa"/>
            <w:shd w:val="clear" w:color="auto" w:fill="D6DCE5"/>
            <w:vAlign w:val="center"/>
          </w:tcPr>
          <w:p w14:paraId="671C7FF7">
            <w:pPr>
              <w:jc w:val="center"/>
              <w:rPr>
                <w:sz w:val="24"/>
              </w:rPr>
            </w:pPr>
            <w:r>
              <w:rPr>
                <w:sz w:val="24"/>
              </w:rPr>
              <w:t>采购数量</w:t>
            </w:r>
          </w:p>
        </w:tc>
        <w:tc>
          <w:tcPr>
            <w:tcW w:w="2779" w:type="dxa"/>
            <w:shd w:val="clear" w:color="auto" w:fill="D6DCE5"/>
            <w:vAlign w:val="center"/>
          </w:tcPr>
          <w:p w14:paraId="424AFA97">
            <w:pPr>
              <w:jc w:val="center"/>
              <w:rPr>
                <w:sz w:val="24"/>
              </w:rPr>
            </w:pPr>
            <w:r>
              <w:rPr>
                <w:sz w:val="24"/>
              </w:rPr>
              <w:t>参数或指标需求</w:t>
            </w:r>
          </w:p>
        </w:tc>
      </w:tr>
      <w:tr w14:paraId="745F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993" w:type="dxa"/>
            <w:vAlign w:val="center"/>
          </w:tcPr>
          <w:p w14:paraId="56F87D41">
            <w:pPr>
              <w:jc w:val="center"/>
              <w:rPr>
                <w:caps/>
                <w:sz w:val="24"/>
              </w:rPr>
            </w:pPr>
            <w:r>
              <w:rPr>
                <w:caps/>
                <w:sz w:val="24"/>
              </w:rPr>
              <w:t>1</w:t>
            </w:r>
          </w:p>
        </w:tc>
        <w:tc>
          <w:tcPr>
            <w:tcW w:w="2551" w:type="dxa"/>
            <w:vAlign w:val="center"/>
          </w:tcPr>
          <w:p w14:paraId="5725F784">
            <w:pPr>
              <w:jc w:val="center"/>
              <w:rPr>
                <w:caps/>
                <w:sz w:val="24"/>
              </w:rPr>
            </w:pPr>
            <w:r>
              <w:rPr>
                <w:kern w:val="0"/>
                <w:sz w:val="24"/>
              </w:rPr>
              <w:t>工业级内窥镜</w:t>
            </w:r>
          </w:p>
        </w:tc>
        <w:tc>
          <w:tcPr>
            <w:tcW w:w="2126" w:type="dxa"/>
            <w:vAlign w:val="center"/>
          </w:tcPr>
          <w:p w14:paraId="13E922B2">
            <w:pPr>
              <w:jc w:val="center"/>
              <w:rPr>
                <w:caps/>
                <w:sz w:val="24"/>
              </w:rPr>
            </w:pPr>
            <w:r>
              <w:rPr>
                <w:caps/>
                <w:sz w:val="24"/>
              </w:rPr>
              <w:t>1台</w:t>
            </w:r>
          </w:p>
        </w:tc>
        <w:tc>
          <w:tcPr>
            <w:tcW w:w="2779" w:type="dxa"/>
            <w:vAlign w:val="center"/>
          </w:tcPr>
          <w:p w14:paraId="76E50F11">
            <w:pPr>
              <w:jc w:val="center"/>
              <w:rPr>
                <w:caps/>
                <w:sz w:val="24"/>
              </w:rPr>
            </w:pPr>
            <w:r>
              <w:rPr>
                <w:caps/>
                <w:sz w:val="24"/>
              </w:rPr>
              <w:t>附后</w:t>
            </w:r>
          </w:p>
        </w:tc>
      </w:tr>
    </w:tbl>
    <w:p w14:paraId="65770930">
      <w:pPr>
        <w:spacing w:line="440" w:lineRule="exact"/>
        <w:rPr>
          <w:rFonts w:hint="eastAsia" w:ascii="宋体" w:hAnsi="宋体"/>
          <w:sz w:val="24"/>
          <w:szCs w:val="22"/>
        </w:rPr>
      </w:pPr>
    </w:p>
    <w:p w14:paraId="4C7AC8AD">
      <w:pPr>
        <w:spacing w:line="440" w:lineRule="exact"/>
        <w:rPr>
          <w:rFonts w:hint="eastAsia" w:ascii="宋体" w:hAnsi="宋体"/>
          <w:b/>
          <w:bCs/>
          <w:sz w:val="24"/>
          <w:szCs w:val="22"/>
        </w:rPr>
      </w:pPr>
      <w:bookmarkStart w:id="3" w:name="heading_0"/>
      <w:bookmarkStart w:id="4" w:name="OLE_LINK11"/>
      <w:r>
        <w:rPr>
          <w:rFonts w:ascii="宋体" w:hAnsi="宋体"/>
          <w:b/>
          <w:bCs/>
          <w:sz w:val="24"/>
          <w:szCs w:val="22"/>
        </w:rPr>
        <w:t>总体要求</w:t>
      </w:r>
      <w:bookmarkEnd w:id="3"/>
    </w:p>
    <w:p w14:paraId="1D716878">
      <w:pPr>
        <w:spacing w:before="120" w:after="120" w:line="440" w:lineRule="exact"/>
        <w:ind w:firstLine="420"/>
        <w:rPr>
          <w:rFonts w:hint="eastAsia" w:ascii="宋体" w:hAnsi="宋体"/>
          <w:sz w:val="24"/>
          <w:szCs w:val="22"/>
        </w:rPr>
      </w:pPr>
      <w:r>
        <w:rPr>
          <w:rFonts w:ascii="宋体" w:hAnsi="宋体"/>
          <w:sz w:val="24"/>
          <w:szCs w:val="22"/>
        </w:rPr>
        <w:t>本项目</w:t>
      </w:r>
      <w:r>
        <w:rPr>
          <w:rFonts w:hint="eastAsia" w:ascii="宋体" w:hAnsi="宋体"/>
          <w:sz w:val="24"/>
          <w:szCs w:val="22"/>
        </w:rPr>
        <w:t>拟</w:t>
      </w:r>
      <w:r>
        <w:rPr>
          <w:rFonts w:ascii="宋体" w:hAnsi="宋体"/>
          <w:sz w:val="24"/>
          <w:szCs w:val="22"/>
        </w:rPr>
        <w:t>采购1台</w:t>
      </w:r>
      <w:r>
        <w:rPr>
          <w:rFonts w:hint="eastAsia" w:ascii="宋体" w:hAnsi="宋体"/>
          <w:sz w:val="24"/>
          <w:szCs w:val="22"/>
        </w:rPr>
        <w:t>国产</w:t>
      </w:r>
      <w:r>
        <w:rPr>
          <w:rFonts w:ascii="宋体" w:hAnsi="宋体"/>
          <w:sz w:val="24"/>
          <w:szCs w:val="22"/>
        </w:rPr>
        <w:t>一体化便携式工业级内窥镜，用于文物内部检测工作</w:t>
      </w:r>
      <w:r>
        <w:rPr>
          <w:rFonts w:hint="eastAsia" w:ascii="宋体" w:hAnsi="宋体"/>
          <w:sz w:val="24"/>
          <w:szCs w:val="22"/>
        </w:rPr>
        <w:t>。标注“</w:t>
      </w:r>
      <w:r>
        <w:rPr>
          <w:rFonts w:ascii="宋体" w:hAnsi="宋体"/>
          <w:sz w:val="24"/>
          <w:szCs w:val="22"/>
        </w:rPr>
        <w:t>★</w:t>
      </w:r>
      <w:r>
        <w:rPr>
          <w:rFonts w:hint="eastAsia" w:ascii="宋体" w:hAnsi="宋体"/>
          <w:sz w:val="24"/>
          <w:szCs w:val="22"/>
        </w:rPr>
        <w:t>”的条款</w:t>
      </w:r>
      <w:r>
        <w:rPr>
          <w:rFonts w:ascii="宋体" w:hAnsi="宋体"/>
          <w:sz w:val="24"/>
          <w:szCs w:val="22"/>
        </w:rPr>
        <w:t>为</w:t>
      </w:r>
      <w:r>
        <w:rPr>
          <w:rFonts w:hint="eastAsia" w:ascii="宋体" w:hAnsi="宋体"/>
          <w:sz w:val="24"/>
          <w:szCs w:val="22"/>
        </w:rPr>
        <w:t>强制性条款</w:t>
      </w:r>
      <w:r>
        <w:rPr>
          <w:rFonts w:ascii="宋体" w:hAnsi="宋体"/>
          <w:sz w:val="24"/>
          <w:szCs w:val="22"/>
        </w:rPr>
        <w:t>，</w:t>
      </w:r>
      <w:r>
        <w:rPr>
          <w:rFonts w:hint="eastAsia" w:ascii="宋体" w:hAnsi="宋体"/>
          <w:sz w:val="24"/>
          <w:szCs w:val="22"/>
        </w:rPr>
        <w:t>任何</w:t>
      </w:r>
      <w:r>
        <w:rPr>
          <w:rFonts w:ascii="宋体" w:hAnsi="宋体"/>
          <w:sz w:val="24"/>
          <w:szCs w:val="22"/>
        </w:rPr>
        <w:t>偏离或不满足将导致投标无效，</w:t>
      </w:r>
      <w:r>
        <w:rPr>
          <w:rFonts w:hint="eastAsia" w:ascii="宋体" w:hAnsi="宋体"/>
          <w:sz w:val="24"/>
          <w:szCs w:val="22"/>
        </w:rPr>
        <w:t>投标人应提供制造商盖章的技术指标证明材料或制造商提供的含技术指标的产品宣传彩页或者制造商官网的相应技术指标的网页(带网址信息，可复查)截图或所投产品取得国家认可的相关检测资质的第三方机构出具的含相应技术指标的检测报告(另有要求的，从其要求)作为技术资料投标人提供的所有证明材料(技术资料)须加盖投标人公章：证明材料(技术资料)未提及的指标视作投标人所投设备的该项指标不满足采购文件要求，未提供技术指标证明材料(技术资料)或提供的技术指标证明材料(技术资料)不清或不满足(满足即:若招标文件中对相关技术指标设置了上限值的，投标人拟投设备的指标应不超过上限值;若招标文件中对相关技术指标设置了下限值的，投标人拟投设备的指标应不低于下限值:若招标文件中对相关技术指标仅为功能性质的描述投标人对该指标响应满足情况的认定以评标委员会评审意见为准)要求的，均视为不满足相关要求。</w:t>
      </w:r>
    </w:p>
    <w:p w14:paraId="77181022">
      <w:pPr>
        <w:spacing w:before="320" w:after="120" w:line="440" w:lineRule="exact"/>
        <w:outlineLvl w:val="1"/>
        <w:rPr>
          <w:rFonts w:hint="eastAsia" w:ascii="宋体" w:hAnsi="宋体"/>
          <w:b/>
          <w:bCs/>
          <w:sz w:val="24"/>
          <w:szCs w:val="22"/>
        </w:rPr>
      </w:pPr>
      <w:bookmarkStart w:id="5" w:name="heading_1"/>
      <w:r>
        <w:rPr>
          <w:rFonts w:ascii="宋体" w:hAnsi="宋体"/>
          <w:b/>
          <w:bCs/>
          <w:sz w:val="24"/>
          <w:szCs w:val="22"/>
        </w:rPr>
        <w:t>技术参数要求</w:t>
      </w:r>
      <w:bookmarkEnd w:id="5"/>
    </w:p>
    <w:p w14:paraId="712FE435">
      <w:pPr>
        <w:spacing w:before="300" w:after="120" w:line="440" w:lineRule="exact"/>
        <w:outlineLvl w:val="2"/>
        <w:rPr>
          <w:rFonts w:hint="eastAsia" w:ascii="宋体" w:hAnsi="宋体"/>
          <w:sz w:val="24"/>
          <w:szCs w:val="22"/>
        </w:rPr>
      </w:pPr>
      <w:bookmarkStart w:id="6" w:name="heading_2"/>
      <w:r>
        <w:rPr>
          <w:rFonts w:ascii="宋体" w:hAnsi="宋体"/>
          <w:sz w:val="24"/>
          <w:szCs w:val="22"/>
        </w:rPr>
        <w:t>（一）</w:t>
      </w:r>
      <w:bookmarkEnd w:id="6"/>
      <w:r>
        <w:rPr>
          <w:rFonts w:hint="eastAsia" w:ascii="宋体" w:hAnsi="宋体"/>
          <w:sz w:val="24"/>
          <w:szCs w:val="22"/>
        </w:rPr>
        <w:t>整机与主机配置</w:t>
      </w:r>
    </w:p>
    <w:p w14:paraId="5552A8D5">
      <w:pPr>
        <w:spacing w:line="440" w:lineRule="exact"/>
        <w:ind w:left="240" w:hanging="240" w:hangingChars="100"/>
        <w:rPr>
          <w:rFonts w:hint="eastAsia" w:ascii="宋体" w:hAnsi="宋体"/>
          <w:sz w:val="24"/>
          <w:szCs w:val="22"/>
        </w:rPr>
      </w:pPr>
      <w:r>
        <w:rPr>
          <w:rFonts w:ascii="宋体" w:hAnsi="宋体"/>
          <w:sz w:val="24"/>
          <w:szCs w:val="22"/>
        </w:rPr>
        <w:t xml:space="preserve">★1.1 </w:t>
      </w:r>
      <w:r>
        <w:rPr>
          <w:rFonts w:hint="eastAsia" w:ascii="宋体" w:hAnsi="宋体"/>
          <w:sz w:val="24"/>
          <w:szCs w:val="22"/>
        </w:rPr>
        <w:t>设备为</w:t>
      </w:r>
      <w:r>
        <w:rPr>
          <w:rFonts w:ascii="宋体" w:hAnsi="宋体"/>
          <w:sz w:val="24"/>
          <w:szCs w:val="22"/>
        </w:rPr>
        <w:t>一体化整机</w:t>
      </w:r>
      <w:r>
        <w:rPr>
          <w:rFonts w:hint="eastAsia" w:ascii="宋体" w:hAnsi="宋体"/>
          <w:sz w:val="24"/>
          <w:szCs w:val="22"/>
        </w:rPr>
        <w:t>结构，主机</w:t>
      </w:r>
      <w:r>
        <w:rPr>
          <w:rFonts w:ascii="宋体" w:hAnsi="宋体"/>
          <w:sz w:val="24"/>
          <w:szCs w:val="22"/>
        </w:rPr>
        <w:t>采用航空铝合金</w:t>
      </w:r>
      <w:r>
        <w:rPr>
          <w:rFonts w:hint="eastAsia" w:ascii="宋体" w:hAnsi="宋体"/>
          <w:sz w:val="24"/>
          <w:szCs w:val="22"/>
        </w:rPr>
        <w:t>材质</w:t>
      </w:r>
      <w:r>
        <w:rPr>
          <w:rFonts w:ascii="宋体" w:hAnsi="宋体"/>
          <w:sz w:val="24"/>
          <w:szCs w:val="22"/>
        </w:rPr>
        <w:t>，</w:t>
      </w:r>
      <w:r>
        <w:rPr>
          <w:rFonts w:hint="eastAsia" w:ascii="宋体" w:hAnsi="宋体"/>
          <w:sz w:val="24"/>
          <w:szCs w:val="22"/>
        </w:rPr>
        <w:t>重量（含电池）</w:t>
      </w:r>
      <w:r>
        <w:rPr>
          <w:rFonts w:ascii="宋体" w:hAnsi="宋体"/>
          <w:sz w:val="24"/>
          <w:szCs w:val="22"/>
        </w:rPr>
        <w:t>≤1.35</w:t>
      </w:r>
      <w:r>
        <w:rPr>
          <w:rFonts w:hint="eastAsia" w:ascii="宋体" w:hAnsi="宋体"/>
          <w:sz w:val="24"/>
          <w:szCs w:val="22"/>
        </w:rPr>
        <w:t>kg；测量</w:t>
      </w:r>
      <w:r>
        <w:rPr>
          <w:rFonts w:ascii="宋体" w:hAnsi="宋体"/>
          <w:sz w:val="24"/>
          <w:szCs w:val="22"/>
        </w:rPr>
        <w:t>探头外径≤</w:t>
      </w:r>
      <w:r>
        <w:rPr>
          <w:rFonts w:hint="eastAsia" w:ascii="宋体" w:hAnsi="宋体"/>
          <w:sz w:val="24"/>
          <w:szCs w:val="22"/>
        </w:rPr>
        <w:t>4</w:t>
      </w:r>
      <w:r>
        <w:rPr>
          <w:rFonts w:ascii="宋体" w:hAnsi="宋体"/>
          <w:sz w:val="24"/>
          <w:szCs w:val="22"/>
        </w:rPr>
        <w:t>mm，有效工作长度</w:t>
      </w:r>
      <w:bookmarkStart w:id="7" w:name="OLE_LINK3"/>
      <w:r>
        <w:rPr>
          <w:rFonts w:ascii="宋体" w:hAnsi="宋体"/>
          <w:sz w:val="24"/>
          <w:szCs w:val="22"/>
        </w:rPr>
        <w:t>≥2m</w:t>
      </w:r>
      <w:bookmarkEnd w:id="7"/>
      <w:r>
        <w:rPr>
          <w:rFonts w:hint="eastAsia" w:ascii="宋体" w:hAnsi="宋体"/>
          <w:sz w:val="24"/>
          <w:szCs w:val="22"/>
        </w:rPr>
        <w:t>，观察探头外径</w:t>
      </w:r>
      <w:r>
        <w:rPr>
          <w:rFonts w:ascii="宋体" w:hAnsi="宋体"/>
          <w:sz w:val="24"/>
          <w:szCs w:val="22"/>
        </w:rPr>
        <w:t>≤</w:t>
      </w:r>
      <w:r>
        <w:rPr>
          <w:rFonts w:hint="eastAsia" w:ascii="宋体" w:hAnsi="宋体"/>
          <w:sz w:val="24"/>
          <w:szCs w:val="22"/>
        </w:rPr>
        <w:t>2</w:t>
      </w:r>
      <w:r>
        <w:rPr>
          <w:rFonts w:ascii="宋体" w:hAnsi="宋体"/>
          <w:sz w:val="24"/>
          <w:szCs w:val="22"/>
        </w:rPr>
        <w:t>mm</w:t>
      </w:r>
      <w:r>
        <w:rPr>
          <w:rFonts w:hint="eastAsia" w:ascii="宋体" w:hAnsi="宋体"/>
          <w:sz w:val="24"/>
          <w:szCs w:val="22"/>
        </w:rPr>
        <w:t>，有效工作长度</w:t>
      </w:r>
      <w:r>
        <w:rPr>
          <w:rFonts w:ascii="宋体" w:hAnsi="宋体"/>
          <w:sz w:val="24"/>
          <w:szCs w:val="22"/>
        </w:rPr>
        <w:t>≥2m。</w:t>
      </w:r>
    </w:p>
    <w:p w14:paraId="5F23DCA7">
      <w:pPr>
        <w:spacing w:line="440" w:lineRule="exact"/>
        <w:ind w:left="240" w:hanging="240" w:hangingChars="100"/>
        <w:rPr>
          <w:rFonts w:hint="eastAsia" w:ascii="宋体" w:hAnsi="宋体"/>
          <w:sz w:val="24"/>
          <w:szCs w:val="22"/>
        </w:rPr>
      </w:pPr>
      <w:r>
        <w:rPr>
          <w:rFonts w:ascii="宋体" w:hAnsi="宋体"/>
          <w:sz w:val="24"/>
          <w:szCs w:val="22"/>
        </w:rPr>
        <w:t>1.</w:t>
      </w:r>
      <w:r>
        <w:rPr>
          <w:rFonts w:hint="eastAsia" w:ascii="宋体" w:hAnsi="宋体"/>
          <w:sz w:val="24"/>
          <w:szCs w:val="22"/>
        </w:rPr>
        <w:t>2</w:t>
      </w:r>
      <w:r>
        <w:rPr>
          <w:rFonts w:ascii="宋体" w:hAnsi="宋体"/>
          <w:sz w:val="24"/>
          <w:szCs w:val="22"/>
        </w:rPr>
        <w:t xml:space="preserve"> 主机</w:t>
      </w:r>
      <w:r>
        <w:rPr>
          <w:rFonts w:hint="eastAsia" w:ascii="宋体" w:hAnsi="宋体"/>
          <w:sz w:val="24"/>
          <w:szCs w:val="22"/>
        </w:rPr>
        <w:t>配备</w:t>
      </w:r>
      <w:bookmarkStart w:id="8" w:name="OLE_LINK7"/>
      <w:bookmarkStart w:id="9" w:name="OLE_LINK9"/>
      <w:r>
        <w:rPr>
          <w:rFonts w:ascii="宋体" w:hAnsi="宋体"/>
          <w:sz w:val="24"/>
          <w:szCs w:val="22"/>
        </w:rPr>
        <w:t>≥</w:t>
      </w:r>
      <w:bookmarkEnd w:id="8"/>
      <w:r>
        <w:rPr>
          <w:rFonts w:ascii="宋体" w:hAnsi="宋体"/>
          <w:sz w:val="24"/>
          <w:szCs w:val="22"/>
        </w:rPr>
        <w:t>5.5</w:t>
      </w:r>
      <w:bookmarkEnd w:id="9"/>
      <w:r>
        <w:rPr>
          <w:rFonts w:ascii="宋体" w:hAnsi="宋体"/>
          <w:sz w:val="24"/>
          <w:szCs w:val="22"/>
        </w:rPr>
        <w:t>英寸</w:t>
      </w:r>
      <w:r>
        <w:rPr>
          <w:rFonts w:hint="eastAsia" w:ascii="宋体" w:hAnsi="宋体"/>
          <w:sz w:val="24"/>
          <w:szCs w:val="22"/>
        </w:rPr>
        <w:t>、分辨率亮度</w:t>
      </w:r>
      <w:r>
        <w:rPr>
          <w:rFonts w:ascii="宋体" w:hAnsi="宋体"/>
          <w:sz w:val="24"/>
          <w:szCs w:val="22"/>
        </w:rPr>
        <w:t>≥</w:t>
      </w:r>
      <w:r>
        <w:rPr>
          <w:rFonts w:hint="eastAsia" w:ascii="宋体" w:hAnsi="宋体"/>
          <w:sz w:val="24"/>
          <w:szCs w:val="22"/>
        </w:rPr>
        <w:t>1920×1080、</w:t>
      </w:r>
      <w:r>
        <w:rPr>
          <w:rFonts w:ascii="宋体" w:hAnsi="宋体"/>
          <w:sz w:val="24"/>
          <w:szCs w:val="22"/>
        </w:rPr>
        <w:t>1000nit防日光全视角工业</w:t>
      </w:r>
      <w:r>
        <w:rPr>
          <w:rFonts w:hint="eastAsia" w:ascii="宋体" w:hAnsi="宋体"/>
          <w:sz w:val="24"/>
          <w:szCs w:val="22"/>
        </w:rPr>
        <w:t>高清</w:t>
      </w:r>
      <w:r>
        <w:rPr>
          <w:rFonts w:ascii="宋体" w:hAnsi="宋体"/>
          <w:sz w:val="24"/>
          <w:szCs w:val="22"/>
        </w:rPr>
        <w:t>触摸屏，支持快捷触控操作；</w:t>
      </w:r>
      <w:r>
        <w:rPr>
          <w:rFonts w:hint="eastAsia" w:ascii="宋体" w:hAnsi="宋体"/>
          <w:sz w:val="24"/>
          <w:szCs w:val="22"/>
        </w:rPr>
        <w:t>配置</w:t>
      </w:r>
      <w:r>
        <w:rPr>
          <w:rFonts w:ascii="宋体" w:hAnsi="宋体"/>
          <w:sz w:val="24"/>
          <w:szCs w:val="22"/>
        </w:rPr>
        <w:t>HDMI高清接口，</w:t>
      </w:r>
      <w:r>
        <w:rPr>
          <w:rFonts w:hint="eastAsia" w:ascii="宋体" w:hAnsi="宋体"/>
          <w:sz w:val="24"/>
          <w:szCs w:val="22"/>
        </w:rPr>
        <w:t>同时配置</w:t>
      </w:r>
      <w:r>
        <w:rPr>
          <w:rFonts w:ascii="宋体" w:hAnsi="宋体"/>
          <w:sz w:val="24"/>
          <w:szCs w:val="22"/>
        </w:rPr>
        <w:t>≥</w:t>
      </w:r>
      <w:r>
        <w:rPr>
          <w:rFonts w:hint="eastAsia" w:ascii="宋体" w:hAnsi="宋体"/>
          <w:sz w:val="24"/>
          <w:szCs w:val="22"/>
        </w:rPr>
        <w:t>11英寸的外接</w:t>
      </w:r>
      <w:r>
        <w:rPr>
          <w:rFonts w:ascii="宋体" w:hAnsi="宋体"/>
          <w:sz w:val="24"/>
          <w:szCs w:val="22"/>
        </w:rPr>
        <w:t>显示器。</w:t>
      </w:r>
      <w:r>
        <w:rPr>
          <w:rFonts w:hint="eastAsia" w:ascii="宋体" w:hAnsi="宋体"/>
          <w:sz w:val="24"/>
          <w:szCs w:val="22"/>
        </w:rPr>
        <w:t>设置</w:t>
      </w:r>
      <w:r>
        <w:rPr>
          <w:rFonts w:ascii="宋体" w:hAnsi="宋体"/>
          <w:sz w:val="24"/>
          <w:szCs w:val="22"/>
        </w:rPr>
        <w:t>3.5mm双声道音频输入输出接口；</w:t>
      </w:r>
      <w:r>
        <w:rPr>
          <w:rFonts w:hint="eastAsia" w:ascii="宋体" w:hAnsi="宋体"/>
          <w:sz w:val="24"/>
          <w:szCs w:val="22"/>
        </w:rPr>
        <w:t>具备</w:t>
      </w:r>
      <w:r>
        <w:rPr>
          <w:rFonts w:ascii="宋体" w:hAnsi="宋体"/>
          <w:sz w:val="24"/>
          <w:szCs w:val="22"/>
        </w:rPr>
        <w:t>多通路数据存储接口，兼容TF卡、移动硬盘</w:t>
      </w:r>
      <w:r>
        <w:rPr>
          <w:rFonts w:hint="eastAsia" w:ascii="宋体" w:hAnsi="宋体"/>
          <w:sz w:val="24"/>
          <w:szCs w:val="22"/>
        </w:rPr>
        <w:t>等外接存储</w:t>
      </w:r>
      <w:r>
        <w:rPr>
          <w:rFonts w:ascii="宋体" w:hAnsi="宋体"/>
          <w:sz w:val="24"/>
          <w:szCs w:val="22"/>
        </w:rPr>
        <w:t>。</w:t>
      </w:r>
    </w:p>
    <w:p w14:paraId="7DD4D45F">
      <w:pPr>
        <w:spacing w:line="440" w:lineRule="exact"/>
        <w:ind w:left="240" w:hanging="240" w:hangingChars="100"/>
        <w:rPr>
          <w:rFonts w:hint="eastAsia" w:ascii="宋体" w:hAnsi="宋体"/>
          <w:sz w:val="24"/>
          <w:szCs w:val="22"/>
        </w:rPr>
      </w:pPr>
      <w:r>
        <w:rPr>
          <w:rFonts w:hint="eastAsia" w:ascii="宋体" w:hAnsi="宋体"/>
          <w:sz w:val="24"/>
          <w:szCs w:val="22"/>
        </w:rPr>
        <w:t>1</w:t>
      </w:r>
      <w:r>
        <w:rPr>
          <w:rFonts w:ascii="宋体" w:hAnsi="宋体"/>
          <w:sz w:val="24"/>
          <w:szCs w:val="22"/>
        </w:rPr>
        <w:t>.</w:t>
      </w:r>
      <w:r>
        <w:rPr>
          <w:rFonts w:hint="eastAsia" w:ascii="宋体" w:hAnsi="宋体"/>
          <w:sz w:val="24"/>
          <w:szCs w:val="22"/>
        </w:rPr>
        <w:t>3</w:t>
      </w:r>
      <w:r>
        <w:rPr>
          <w:rFonts w:ascii="宋体" w:hAnsi="宋体"/>
          <w:sz w:val="24"/>
          <w:szCs w:val="22"/>
        </w:rPr>
        <w:t xml:space="preserve"> 配置不少于</w:t>
      </w:r>
      <w:r>
        <w:rPr>
          <w:rFonts w:hint="eastAsia" w:ascii="宋体" w:hAnsi="宋体"/>
          <w:sz w:val="24"/>
          <w:szCs w:val="22"/>
        </w:rPr>
        <w:t>2</w:t>
      </w:r>
      <w:r>
        <w:rPr>
          <w:rFonts w:ascii="宋体" w:hAnsi="宋体"/>
          <w:sz w:val="24"/>
          <w:szCs w:val="22"/>
        </w:rPr>
        <w:t>块可拆卸锂电池；电池</w:t>
      </w:r>
      <w:r>
        <w:rPr>
          <w:rFonts w:hint="eastAsia" w:ascii="宋体" w:hAnsi="宋体"/>
          <w:sz w:val="24"/>
          <w:szCs w:val="22"/>
        </w:rPr>
        <w:t>快充</w:t>
      </w:r>
      <w:r>
        <w:rPr>
          <w:rFonts w:ascii="宋体" w:hAnsi="宋体"/>
          <w:sz w:val="24"/>
          <w:szCs w:val="22"/>
        </w:rPr>
        <w:t>50分钟</w:t>
      </w:r>
      <w:r>
        <w:rPr>
          <w:rFonts w:hint="eastAsia" w:ascii="宋体" w:hAnsi="宋体"/>
          <w:sz w:val="24"/>
          <w:szCs w:val="22"/>
        </w:rPr>
        <w:t>电量</w:t>
      </w:r>
      <w:r>
        <w:rPr>
          <w:rFonts w:ascii="宋体" w:hAnsi="宋体"/>
          <w:sz w:val="24"/>
          <w:szCs w:val="22"/>
        </w:rPr>
        <w:t>≥</w:t>
      </w:r>
      <w:r>
        <w:rPr>
          <w:rFonts w:hint="eastAsia" w:ascii="宋体" w:hAnsi="宋体"/>
          <w:sz w:val="24"/>
          <w:szCs w:val="22"/>
        </w:rPr>
        <w:t>80%</w:t>
      </w:r>
      <w:r>
        <w:rPr>
          <w:rFonts w:ascii="宋体" w:hAnsi="宋体"/>
          <w:sz w:val="24"/>
          <w:szCs w:val="22"/>
        </w:rPr>
        <w:t>；</w:t>
      </w:r>
      <w:r>
        <w:rPr>
          <w:rFonts w:hint="eastAsia" w:ascii="宋体" w:hAnsi="宋体"/>
          <w:sz w:val="24"/>
          <w:szCs w:val="22"/>
        </w:rPr>
        <w:t>常温环境下</w:t>
      </w:r>
      <w:r>
        <w:rPr>
          <w:rFonts w:ascii="宋体" w:hAnsi="宋体"/>
          <w:sz w:val="24"/>
          <w:szCs w:val="22"/>
        </w:rPr>
        <w:t>单</w:t>
      </w:r>
      <w:r>
        <w:rPr>
          <w:rFonts w:hint="eastAsia" w:ascii="宋体" w:hAnsi="宋体"/>
          <w:sz w:val="24"/>
          <w:szCs w:val="22"/>
        </w:rPr>
        <w:t>块电池续航</w:t>
      </w:r>
      <w:bookmarkStart w:id="10" w:name="OLE_LINK5"/>
      <w:r>
        <w:rPr>
          <w:rFonts w:ascii="宋体" w:hAnsi="宋体"/>
          <w:sz w:val="24"/>
          <w:szCs w:val="22"/>
        </w:rPr>
        <w:t>≥</w:t>
      </w:r>
      <w:bookmarkEnd w:id="10"/>
      <w:r>
        <w:rPr>
          <w:rFonts w:hint="eastAsia" w:ascii="宋体" w:hAnsi="宋体"/>
          <w:sz w:val="24"/>
          <w:szCs w:val="22"/>
        </w:rPr>
        <w:t>4h</w:t>
      </w:r>
      <w:r>
        <w:rPr>
          <w:rFonts w:ascii="宋体" w:hAnsi="宋体"/>
          <w:sz w:val="24"/>
          <w:szCs w:val="22"/>
        </w:rPr>
        <w:t>；</w:t>
      </w:r>
      <w:r>
        <w:rPr>
          <w:rFonts w:hint="eastAsia" w:ascii="宋体" w:hAnsi="宋体"/>
          <w:sz w:val="24"/>
          <w:szCs w:val="22"/>
        </w:rPr>
        <w:t>同时</w:t>
      </w:r>
      <w:r>
        <w:rPr>
          <w:rFonts w:ascii="宋体" w:hAnsi="宋体"/>
          <w:sz w:val="24"/>
          <w:szCs w:val="22"/>
        </w:rPr>
        <w:t>支持220V交流</w:t>
      </w:r>
      <w:r>
        <w:rPr>
          <w:rFonts w:hint="eastAsia" w:ascii="宋体" w:hAnsi="宋体"/>
          <w:sz w:val="24"/>
          <w:szCs w:val="22"/>
        </w:rPr>
        <w:t>市电</w:t>
      </w:r>
      <w:r>
        <w:rPr>
          <w:rFonts w:ascii="宋体" w:hAnsi="宋体"/>
          <w:sz w:val="24"/>
          <w:szCs w:val="22"/>
        </w:rPr>
        <w:t>电源外接供电。</w:t>
      </w:r>
    </w:p>
    <w:p w14:paraId="68E43B51">
      <w:pPr>
        <w:spacing w:line="440" w:lineRule="exact"/>
        <w:ind w:left="240" w:hanging="240" w:hangingChars="100"/>
        <w:rPr>
          <w:rFonts w:hint="eastAsia" w:ascii="宋体" w:hAnsi="宋体"/>
          <w:sz w:val="24"/>
          <w:szCs w:val="22"/>
        </w:rPr>
      </w:pPr>
      <w:r>
        <w:rPr>
          <w:rFonts w:hint="eastAsia" w:ascii="宋体" w:hAnsi="宋体"/>
          <w:sz w:val="24"/>
          <w:szCs w:val="22"/>
        </w:rPr>
        <w:t>1.4 配置圆/弯/直等适用于不同场景的支撑杆，以满足检测需求。</w:t>
      </w:r>
    </w:p>
    <w:p w14:paraId="16C4878B">
      <w:pPr>
        <w:spacing w:before="300" w:after="120" w:line="440" w:lineRule="exact"/>
        <w:outlineLvl w:val="2"/>
        <w:rPr>
          <w:rFonts w:hint="eastAsia" w:ascii="宋体" w:hAnsi="宋体"/>
          <w:sz w:val="24"/>
          <w:szCs w:val="22"/>
        </w:rPr>
      </w:pPr>
      <w:bookmarkStart w:id="11" w:name="heading_3"/>
      <w:r>
        <w:rPr>
          <w:rFonts w:ascii="宋体" w:hAnsi="宋体"/>
          <w:sz w:val="24"/>
          <w:szCs w:val="22"/>
        </w:rPr>
        <w:t>（二）探头</w:t>
      </w:r>
      <w:bookmarkEnd w:id="11"/>
      <w:r>
        <w:rPr>
          <w:rFonts w:hint="eastAsia" w:ascii="宋体" w:hAnsi="宋体"/>
          <w:sz w:val="24"/>
          <w:szCs w:val="22"/>
        </w:rPr>
        <w:t>及导向结构</w:t>
      </w:r>
    </w:p>
    <w:p w14:paraId="0C908F4E">
      <w:pPr>
        <w:spacing w:line="440" w:lineRule="exact"/>
        <w:ind w:left="240" w:hanging="240" w:hangingChars="100"/>
        <w:rPr>
          <w:rFonts w:hint="eastAsia" w:ascii="宋体" w:hAnsi="宋体"/>
          <w:sz w:val="24"/>
          <w:szCs w:val="22"/>
        </w:rPr>
      </w:pPr>
      <w:bookmarkStart w:id="12" w:name="OLE_LINK4"/>
      <w:r>
        <w:rPr>
          <w:rFonts w:ascii="宋体" w:hAnsi="宋体"/>
          <w:sz w:val="24"/>
          <w:szCs w:val="22"/>
        </w:rPr>
        <w:t>★</w:t>
      </w:r>
      <w:bookmarkEnd w:id="12"/>
      <w:r>
        <w:rPr>
          <w:rFonts w:hint="eastAsia" w:ascii="宋体" w:hAnsi="宋体"/>
          <w:sz w:val="24"/>
          <w:szCs w:val="22"/>
        </w:rPr>
        <w:t>2</w:t>
      </w:r>
      <w:r>
        <w:rPr>
          <w:rFonts w:ascii="宋体" w:hAnsi="宋体"/>
          <w:sz w:val="24"/>
          <w:szCs w:val="22"/>
        </w:rPr>
        <w:t>.</w:t>
      </w:r>
      <w:r>
        <w:rPr>
          <w:rFonts w:hint="eastAsia" w:ascii="宋体" w:hAnsi="宋体"/>
          <w:sz w:val="24"/>
          <w:szCs w:val="22"/>
        </w:rPr>
        <w:t xml:space="preserve">1 </w:t>
      </w:r>
      <w:bookmarkStart w:id="13" w:name="OLE_LINK12"/>
      <w:r>
        <w:rPr>
          <w:rFonts w:ascii="宋体" w:hAnsi="宋体"/>
          <w:sz w:val="24"/>
          <w:szCs w:val="22"/>
        </w:rPr>
        <w:t>配备2颗可拆卸高耐磨钛合金测量</w:t>
      </w:r>
      <w:r>
        <w:rPr>
          <w:rFonts w:hint="eastAsia" w:ascii="宋体" w:hAnsi="宋体"/>
          <w:sz w:val="24"/>
          <w:szCs w:val="22"/>
        </w:rPr>
        <w:t>镜头</w:t>
      </w:r>
      <w:r>
        <w:rPr>
          <w:rFonts w:ascii="宋体" w:hAnsi="宋体"/>
          <w:sz w:val="24"/>
          <w:szCs w:val="22"/>
        </w:rPr>
        <w:t>：</w:t>
      </w:r>
      <w:bookmarkStart w:id="14" w:name="OLE_LINK10"/>
      <w:r>
        <w:rPr>
          <w:rFonts w:ascii="宋体" w:hAnsi="宋体"/>
          <w:sz w:val="24"/>
          <w:szCs w:val="22"/>
        </w:rPr>
        <w:t>直视测量镜头，焦</w:t>
      </w:r>
      <w:r>
        <w:rPr>
          <w:rFonts w:hint="eastAsia" w:ascii="宋体" w:hAnsi="宋体"/>
          <w:sz w:val="24"/>
          <w:szCs w:val="22"/>
        </w:rPr>
        <w:t>距5</w:t>
      </w:r>
      <w:r>
        <w:rPr>
          <w:rFonts w:ascii="Cambria Math" w:hAnsi="Cambria Math" w:cs="Cambria Math"/>
          <w:sz w:val="24"/>
          <w:szCs w:val="22"/>
        </w:rPr>
        <w:t>‑</w:t>
      </w:r>
      <w:r>
        <w:rPr>
          <w:rFonts w:hint="eastAsia" w:ascii="宋体" w:hAnsi="宋体"/>
          <w:sz w:val="24"/>
          <w:szCs w:val="22"/>
        </w:rPr>
        <w:t>80</w:t>
      </w:r>
      <w:r>
        <w:rPr>
          <w:rFonts w:ascii="宋体" w:hAnsi="宋体"/>
          <w:sz w:val="24"/>
          <w:szCs w:val="22"/>
        </w:rPr>
        <w:t>mm，视场角≥120°</w:t>
      </w:r>
      <w:r>
        <w:rPr>
          <w:rFonts w:hint="eastAsia" w:ascii="宋体" w:hAnsi="宋体"/>
          <w:sz w:val="24"/>
          <w:szCs w:val="22"/>
        </w:rPr>
        <w:t>，</w:t>
      </w:r>
      <w:r>
        <w:rPr>
          <w:rFonts w:ascii="宋体" w:hAnsi="宋体"/>
          <w:sz w:val="24"/>
          <w:szCs w:val="22"/>
        </w:rPr>
        <w:t>侧视测量镜头，焦距</w:t>
      </w:r>
      <w:r>
        <w:rPr>
          <w:rFonts w:hint="eastAsia" w:ascii="宋体" w:hAnsi="宋体"/>
          <w:sz w:val="24"/>
          <w:szCs w:val="22"/>
        </w:rPr>
        <w:t>5</w:t>
      </w:r>
      <w:r>
        <w:rPr>
          <w:rFonts w:ascii="Cambria Math" w:hAnsi="Cambria Math" w:cs="Cambria Math"/>
          <w:sz w:val="24"/>
          <w:szCs w:val="22"/>
        </w:rPr>
        <w:t>‑</w:t>
      </w:r>
      <w:r>
        <w:rPr>
          <w:rFonts w:hint="eastAsia" w:ascii="宋体" w:hAnsi="宋体"/>
          <w:sz w:val="24"/>
          <w:szCs w:val="22"/>
        </w:rPr>
        <w:t>80</w:t>
      </w:r>
      <w:r>
        <w:rPr>
          <w:rFonts w:ascii="宋体" w:hAnsi="宋体"/>
          <w:sz w:val="24"/>
          <w:szCs w:val="22"/>
        </w:rPr>
        <w:t>mm，视场角≥120°</w:t>
      </w:r>
      <w:bookmarkEnd w:id="14"/>
      <w:r>
        <w:rPr>
          <w:rFonts w:ascii="宋体" w:hAnsi="宋体"/>
          <w:sz w:val="24"/>
          <w:szCs w:val="22"/>
        </w:rPr>
        <w:t>；</w:t>
      </w:r>
      <w:bookmarkEnd w:id="13"/>
      <w:r>
        <w:rPr>
          <w:rFonts w:hint="eastAsia" w:ascii="宋体" w:hAnsi="宋体"/>
          <w:sz w:val="24"/>
          <w:szCs w:val="22"/>
        </w:rPr>
        <w:t>配备2颗</w:t>
      </w:r>
      <w:r>
        <w:rPr>
          <w:rFonts w:ascii="宋体" w:hAnsi="宋体"/>
          <w:sz w:val="24"/>
          <w:szCs w:val="22"/>
        </w:rPr>
        <w:t>高耐磨钛合金</w:t>
      </w:r>
      <w:r>
        <w:rPr>
          <w:rFonts w:hint="eastAsia" w:ascii="宋体" w:hAnsi="宋体"/>
          <w:sz w:val="24"/>
          <w:szCs w:val="22"/>
        </w:rPr>
        <w:t>观察镜头，</w:t>
      </w:r>
      <w:r>
        <w:rPr>
          <w:rFonts w:ascii="宋体" w:hAnsi="宋体"/>
          <w:sz w:val="24"/>
          <w:szCs w:val="22"/>
        </w:rPr>
        <w:t>直视</w:t>
      </w:r>
      <w:r>
        <w:rPr>
          <w:rFonts w:hint="eastAsia" w:ascii="宋体" w:hAnsi="宋体"/>
          <w:sz w:val="24"/>
          <w:szCs w:val="22"/>
        </w:rPr>
        <w:t>观察</w:t>
      </w:r>
      <w:r>
        <w:rPr>
          <w:rFonts w:ascii="宋体" w:hAnsi="宋体"/>
          <w:sz w:val="24"/>
          <w:szCs w:val="22"/>
        </w:rPr>
        <w:t>镜头，焦</w:t>
      </w:r>
      <w:r>
        <w:rPr>
          <w:rFonts w:hint="eastAsia" w:ascii="宋体" w:hAnsi="宋体"/>
          <w:sz w:val="24"/>
          <w:szCs w:val="22"/>
        </w:rPr>
        <w:t>距5</w:t>
      </w:r>
      <w:r>
        <w:rPr>
          <w:rFonts w:ascii="Cambria Math" w:hAnsi="Cambria Math" w:cs="Cambria Math"/>
          <w:sz w:val="24"/>
          <w:szCs w:val="22"/>
        </w:rPr>
        <w:t>‑</w:t>
      </w:r>
      <w:r>
        <w:rPr>
          <w:rFonts w:hint="eastAsia" w:ascii="宋体" w:hAnsi="宋体"/>
          <w:sz w:val="24"/>
          <w:szCs w:val="22"/>
        </w:rPr>
        <w:t>50</w:t>
      </w:r>
      <w:r>
        <w:rPr>
          <w:rFonts w:ascii="宋体" w:hAnsi="宋体"/>
          <w:sz w:val="24"/>
          <w:szCs w:val="22"/>
        </w:rPr>
        <w:t>mm，视场角≥120°</w:t>
      </w:r>
      <w:r>
        <w:rPr>
          <w:rFonts w:hint="eastAsia" w:ascii="宋体" w:hAnsi="宋体"/>
          <w:sz w:val="24"/>
          <w:szCs w:val="22"/>
        </w:rPr>
        <w:t>，</w:t>
      </w:r>
      <w:r>
        <w:rPr>
          <w:rFonts w:ascii="宋体" w:hAnsi="宋体"/>
          <w:sz w:val="24"/>
          <w:szCs w:val="22"/>
        </w:rPr>
        <w:t>侧视</w:t>
      </w:r>
      <w:r>
        <w:rPr>
          <w:rFonts w:hint="eastAsia" w:ascii="宋体" w:hAnsi="宋体"/>
          <w:sz w:val="24"/>
          <w:szCs w:val="22"/>
        </w:rPr>
        <w:t>观察</w:t>
      </w:r>
      <w:r>
        <w:rPr>
          <w:rFonts w:ascii="宋体" w:hAnsi="宋体"/>
          <w:sz w:val="24"/>
          <w:szCs w:val="22"/>
        </w:rPr>
        <w:t>镜头，焦距</w:t>
      </w:r>
      <w:r>
        <w:rPr>
          <w:rFonts w:hint="eastAsia" w:ascii="宋体" w:hAnsi="宋体"/>
          <w:sz w:val="24"/>
          <w:szCs w:val="22"/>
        </w:rPr>
        <w:t>5</w:t>
      </w:r>
      <w:r>
        <w:rPr>
          <w:rFonts w:ascii="Cambria Math" w:hAnsi="Cambria Math" w:cs="Cambria Math"/>
          <w:sz w:val="24"/>
          <w:szCs w:val="22"/>
        </w:rPr>
        <w:t>‑</w:t>
      </w:r>
      <w:r>
        <w:rPr>
          <w:rFonts w:hint="eastAsia" w:ascii="宋体" w:hAnsi="宋体"/>
          <w:sz w:val="24"/>
          <w:szCs w:val="22"/>
        </w:rPr>
        <w:t>50</w:t>
      </w:r>
      <w:r>
        <w:rPr>
          <w:rFonts w:ascii="宋体" w:hAnsi="宋体"/>
          <w:sz w:val="24"/>
          <w:szCs w:val="22"/>
        </w:rPr>
        <w:t>mm，视场角≥120°</w:t>
      </w:r>
    </w:p>
    <w:p w14:paraId="355548AF">
      <w:pPr>
        <w:spacing w:line="440" w:lineRule="exact"/>
        <w:ind w:left="240" w:hanging="240" w:hangingChars="100"/>
        <w:rPr>
          <w:rFonts w:hint="eastAsia" w:ascii="宋体" w:hAnsi="宋体"/>
          <w:sz w:val="24"/>
          <w:szCs w:val="22"/>
        </w:rPr>
      </w:pPr>
      <w:r>
        <w:rPr>
          <w:rFonts w:ascii="宋体" w:hAnsi="宋体"/>
          <w:sz w:val="24"/>
          <w:szCs w:val="22"/>
        </w:rPr>
        <w:t>★</w:t>
      </w:r>
      <w:r>
        <w:rPr>
          <w:rFonts w:hint="eastAsia" w:ascii="宋体" w:hAnsi="宋体"/>
          <w:sz w:val="24"/>
          <w:szCs w:val="22"/>
        </w:rPr>
        <w:t>2</w:t>
      </w:r>
      <w:r>
        <w:rPr>
          <w:rFonts w:ascii="宋体" w:hAnsi="宋体"/>
          <w:sz w:val="24"/>
          <w:szCs w:val="22"/>
        </w:rPr>
        <w:t>.</w:t>
      </w:r>
      <w:r>
        <w:rPr>
          <w:rFonts w:hint="eastAsia" w:ascii="宋体" w:hAnsi="宋体"/>
          <w:sz w:val="24"/>
          <w:szCs w:val="22"/>
        </w:rPr>
        <w:t xml:space="preserve">1 </w:t>
      </w:r>
      <w:r>
        <w:rPr>
          <w:rFonts w:ascii="宋体" w:hAnsi="宋体"/>
          <w:sz w:val="24"/>
          <w:szCs w:val="22"/>
        </w:rPr>
        <w:t>配备2颗可拆卸高耐磨钛合金测量</w:t>
      </w:r>
      <w:r>
        <w:rPr>
          <w:rFonts w:hint="eastAsia" w:ascii="宋体" w:hAnsi="宋体"/>
          <w:sz w:val="24"/>
          <w:szCs w:val="22"/>
        </w:rPr>
        <w:t>镜头</w:t>
      </w:r>
      <w:r>
        <w:rPr>
          <w:rFonts w:ascii="宋体" w:hAnsi="宋体"/>
          <w:sz w:val="24"/>
          <w:szCs w:val="22"/>
        </w:rPr>
        <w:t>：直视测量镜头，焦</w:t>
      </w:r>
      <w:r>
        <w:rPr>
          <w:rFonts w:hint="eastAsia" w:ascii="宋体" w:hAnsi="宋体"/>
          <w:sz w:val="24"/>
          <w:szCs w:val="22"/>
        </w:rPr>
        <w:t>距5</w:t>
      </w:r>
      <w:r>
        <w:rPr>
          <w:rFonts w:ascii="Cambria Math" w:hAnsi="Cambria Math" w:cs="Cambria Math"/>
          <w:sz w:val="24"/>
          <w:szCs w:val="22"/>
        </w:rPr>
        <w:t>‑</w:t>
      </w:r>
      <w:r>
        <w:rPr>
          <w:rFonts w:hint="eastAsia" w:ascii="宋体" w:hAnsi="宋体"/>
          <w:sz w:val="24"/>
          <w:szCs w:val="22"/>
        </w:rPr>
        <w:t>80</w:t>
      </w:r>
      <w:r>
        <w:rPr>
          <w:rFonts w:ascii="宋体" w:hAnsi="宋体"/>
          <w:sz w:val="24"/>
          <w:szCs w:val="22"/>
        </w:rPr>
        <w:t>mm，视场角≥120°</w:t>
      </w:r>
      <w:r>
        <w:rPr>
          <w:rFonts w:hint="eastAsia" w:ascii="宋体" w:hAnsi="宋体"/>
          <w:sz w:val="24"/>
          <w:szCs w:val="22"/>
        </w:rPr>
        <w:t>，</w:t>
      </w:r>
      <w:r>
        <w:rPr>
          <w:rFonts w:ascii="宋体" w:hAnsi="宋体"/>
          <w:sz w:val="24"/>
          <w:szCs w:val="22"/>
        </w:rPr>
        <w:t>侧视测量镜头，焦距</w:t>
      </w:r>
      <w:r>
        <w:rPr>
          <w:rFonts w:hint="eastAsia" w:ascii="宋体" w:hAnsi="宋体"/>
          <w:sz w:val="24"/>
          <w:szCs w:val="22"/>
        </w:rPr>
        <w:t>5</w:t>
      </w:r>
      <w:r>
        <w:rPr>
          <w:rFonts w:ascii="Cambria Math" w:hAnsi="Cambria Math" w:cs="Cambria Math"/>
          <w:sz w:val="24"/>
          <w:szCs w:val="22"/>
        </w:rPr>
        <w:t>‑</w:t>
      </w:r>
      <w:r>
        <w:rPr>
          <w:rFonts w:hint="eastAsia" w:ascii="宋体" w:hAnsi="宋体"/>
          <w:sz w:val="24"/>
          <w:szCs w:val="22"/>
        </w:rPr>
        <w:t>80</w:t>
      </w:r>
      <w:r>
        <w:rPr>
          <w:rFonts w:ascii="宋体" w:hAnsi="宋体"/>
          <w:sz w:val="24"/>
          <w:szCs w:val="22"/>
        </w:rPr>
        <w:t>mm，视场角≥120°；</w:t>
      </w:r>
      <w:r>
        <w:rPr>
          <w:rFonts w:hint="eastAsia" w:ascii="宋体" w:hAnsi="宋体"/>
          <w:sz w:val="24"/>
          <w:szCs w:val="22"/>
        </w:rPr>
        <w:t>配备2</w:t>
      </w:r>
      <w:bookmarkStart w:id="15" w:name="OLE_LINK15"/>
      <w:r>
        <w:rPr>
          <w:rFonts w:hint="eastAsia" w:ascii="宋体" w:hAnsi="宋体"/>
          <w:sz w:val="24"/>
          <w:szCs w:val="22"/>
        </w:rPr>
        <w:t>颗</w:t>
      </w:r>
      <w:bookmarkEnd w:id="15"/>
      <w:r>
        <w:rPr>
          <w:rFonts w:ascii="宋体" w:hAnsi="宋体"/>
          <w:sz w:val="24"/>
          <w:szCs w:val="22"/>
        </w:rPr>
        <w:t>高耐磨钛合金</w:t>
      </w:r>
      <w:r>
        <w:rPr>
          <w:rFonts w:hint="eastAsia" w:ascii="宋体" w:hAnsi="宋体"/>
          <w:sz w:val="24"/>
          <w:szCs w:val="22"/>
        </w:rPr>
        <w:t>观察镜头，</w:t>
      </w:r>
      <w:r>
        <w:rPr>
          <w:rFonts w:ascii="宋体" w:hAnsi="宋体"/>
          <w:sz w:val="24"/>
          <w:szCs w:val="22"/>
        </w:rPr>
        <w:t>直视测量镜头，焦</w:t>
      </w:r>
      <w:r>
        <w:rPr>
          <w:rFonts w:hint="eastAsia" w:ascii="宋体" w:hAnsi="宋体"/>
          <w:sz w:val="24"/>
          <w:szCs w:val="22"/>
        </w:rPr>
        <w:t>距5</w:t>
      </w:r>
      <w:r>
        <w:rPr>
          <w:rFonts w:ascii="Cambria Math" w:hAnsi="Cambria Math" w:cs="Cambria Math"/>
          <w:sz w:val="24"/>
          <w:szCs w:val="22"/>
        </w:rPr>
        <w:t>‑</w:t>
      </w:r>
      <w:r>
        <w:rPr>
          <w:rFonts w:hint="eastAsia" w:ascii="宋体" w:hAnsi="宋体"/>
          <w:sz w:val="24"/>
          <w:szCs w:val="22"/>
        </w:rPr>
        <w:t>50</w:t>
      </w:r>
      <w:r>
        <w:rPr>
          <w:rFonts w:ascii="宋体" w:hAnsi="宋体"/>
          <w:sz w:val="24"/>
          <w:szCs w:val="22"/>
        </w:rPr>
        <w:t>mm，视场角≥120°</w:t>
      </w:r>
      <w:r>
        <w:rPr>
          <w:rFonts w:hint="eastAsia" w:ascii="宋体" w:hAnsi="宋体"/>
          <w:sz w:val="24"/>
          <w:szCs w:val="22"/>
        </w:rPr>
        <w:t>，</w:t>
      </w:r>
      <w:r>
        <w:rPr>
          <w:rFonts w:ascii="宋体" w:hAnsi="宋体"/>
          <w:sz w:val="24"/>
          <w:szCs w:val="22"/>
        </w:rPr>
        <w:t>侧视测量镜头，焦距</w:t>
      </w:r>
      <w:r>
        <w:rPr>
          <w:rFonts w:hint="eastAsia" w:ascii="宋体" w:hAnsi="宋体"/>
          <w:sz w:val="24"/>
          <w:szCs w:val="22"/>
        </w:rPr>
        <w:t>5</w:t>
      </w:r>
      <w:r>
        <w:rPr>
          <w:rFonts w:ascii="Cambria Math" w:hAnsi="Cambria Math" w:cs="Cambria Math"/>
          <w:sz w:val="24"/>
          <w:szCs w:val="22"/>
        </w:rPr>
        <w:t>‑</w:t>
      </w:r>
      <w:r>
        <w:rPr>
          <w:rFonts w:hint="eastAsia" w:ascii="宋体" w:hAnsi="宋体"/>
          <w:sz w:val="24"/>
          <w:szCs w:val="22"/>
        </w:rPr>
        <w:t>50</w:t>
      </w:r>
      <w:r>
        <w:rPr>
          <w:rFonts w:ascii="宋体" w:hAnsi="宋体"/>
          <w:sz w:val="24"/>
          <w:szCs w:val="22"/>
        </w:rPr>
        <w:t>mm，视场角≥120°</w:t>
      </w:r>
    </w:p>
    <w:p w14:paraId="14628581">
      <w:pPr>
        <w:spacing w:line="440" w:lineRule="exact"/>
        <w:ind w:left="240" w:hanging="240" w:hangingChars="100"/>
        <w:rPr>
          <w:rFonts w:hint="eastAsia" w:ascii="宋体" w:hAnsi="宋体"/>
          <w:sz w:val="24"/>
          <w:szCs w:val="22"/>
        </w:rPr>
      </w:pPr>
    </w:p>
    <w:p w14:paraId="20D65278">
      <w:pPr>
        <w:spacing w:line="440" w:lineRule="exact"/>
        <w:ind w:left="240" w:hanging="240" w:hangingChars="100"/>
        <w:rPr>
          <w:rFonts w:hint="eastAsia" w:ascii="宋体" w:hAnsi="宋体"/>
          <w:sz w:val="24"/>
          <w:szCs w:val="22"/>
        </w:rPr>
      </w:pPr>
      <w:r>
        <w:rPr>
          <w:rFonts w:ascii="宋体" w:hAnsi="宋体"/>
          <w:sz w:val="24"/>
          <w:szCs w:val="22"/>
        </w:rPr>
        <w:t>★2.</w:t>
      </w:r>
      <w:r>
        <w:rPr>
          <w:rFonts w:hint="eastAsia" w:ascii="宋体" w:hAnsi="宋体"/>
          <w:sz w:val="24"/>
          <w:szCs w:val="22"/>
        </w:rPr>
        <w:t>2</w:t>
      </w:r>
      <w:r>
        <w:rPr>
          <w:rFonts w:ascii="宋体" w:hAnsi="宋体"/>
          <w:sz w:val="24"/>
          <w:szCs w:val="22"/>
        </w:rPr>
        <w:t xml:space="preserve"> 插入管</w:t>
      </w:r>
      <w:r>
        <w:rPr>
          <w:rFonts w:hint="eastAsia" w:ascii="宋体" w:hAnsi="宋体"/>
          <w:sz w:val="24"/>
          <w:szCs w:val="22"/>
        </w:rPr>
        <w:t>外层为</w:t>
      </w:r>
      <w:r>
        <w:rPr>
          <w:rFonts w:ascii="宋体" w:hAnsi="宋体"/>
          <w:sz w:val="24"/>
          <w:szCs w:val="22"/>
        </w:rPr>
        <w:t>含防油涂层高耐磨钨钢丝编防护层，管线防护等级</w:t>
      </w:r>
      <w:r>
        <w:rPr>
          <w:rFonts w:hint="eastAsia" w:ascii="宋体" w:hAnsi="宋体"/>
          <w:sz w:val="24"/>
          <w:szCs w:val="22"/>
        </w:rPr>
        <w:t>达到</w:t>
      </w:r>
      <w:r>
        <w:rPr>
          <w:rFonts w:ascii="宋体" w:hAnsi="宋体"/>
          <w:sz w:val="24"/>
          <w:szCs w:val="22"/>
        </w:rPr>
        <w:t>IP68。</w:t>
      </w:r>
    </w:p>
    <w:p w14:paraId="592682BC">
      <w:pPr>
        <w:spacing w:line="440" w:lineRule="exact"/>
        <w:ind w:left="240" w:hanging="240" w:hangingChars="100"/>
        <w:rPr>
          <w:rFonts w:hint="eastAsia" w:ascii="宋体" w:hAnsi="宋体"/>
          <w:sz w:val="24"/>
          <w:szCs w:val="22"/>
        </w:rPr>
      </w:pPr>
      <w:r>
        <w:rPr>
          <w:rFonts w:ascii="宋体" w:hAnsi="宋体"/>
          <w:sz w:val="24"/>
          <w:szCs w:val="22"/>
        </w:rPr>
        <w:t>2.</w:t>
      </w:r>
      <w:r>
        <w:rPr>
          <w:rFonts w:hint="eastAsia" w:ascii="宋体" w:hAnsi="宋体"/>
          <w:sz w:val="24"/>
          <w:szCs w:val="22"/>
        </w:rPr>
        <w:t>3</w:t>
      </w:r>
      <w:r>
        <w:rPr>
          <w:rFonts w:ascii="宋体" w:hAnsi="宋体"/>
          <w:sz w:val="24"/>
          <w:szCs w:val="22"/>
        </w:rPr>
        <w:t xml:space="preserve"> 探头端部集成温度传感器，具备超温报警系统；</w:t>
      </w:r>
      <w:r>
        <w:rPr>
          <w:rFonts w:hint="eastAsia" w:ascii="宋体" w:hAnsi="宋体"/>
          <w:sz w:val="24"/>
          <w:szCs w:val="22"/>
        </w:rPr>
        <w:t>采用</w:t>
      </w:r>
      <w:r>
        <w:rPr>
          <w:rFonts w:ascii="宋体" w:hAnsi="宋体"/>
          <w:sz w:val="24"/>
          <w:szCs w:val="22"/>
        </w:rPr>
        <w:t>操纵杆电动导向</w:t>
      </w:r>
      <w:r>
        <w:rPr>
          <w:rFonts w:hint="eastAsia" w:ascii="宋体" w:hAnsi="宋体"/>
          <w:sz w:val="24"/>
          <w:szCs w:val="22"/>
        </w:rPr>
        <w:t>控制</w:t>
      </w:r>
      <w:r>
        <w:rPr>
          <w:rFonts w:ascii="宋体" w:hAnsi="宋体"/>
          <w:sz w:val="24"/>
          <w:szCs w:val="22"/>
        </w:rPr>
        <w:t>，导向响应无</w:t>
      </w:r>
      <w:r>
        <w:rPr>
          <w:rFonts w:hint="eastAsia" w:ascii="宋体" w:hAnsi="宋体"/>
          <w:sz w:val="24"/>
          <w:szCs w:val="22"/>
        </w:rPr>
        <w:t>滞后；</w:t>
      </w:r>
      <w:r>
        <w:rPr>
          <w:rFonts w:ascii="宋体" w:hAnsi="宋体"/>
          <w:sz w:val="24"/>
          <w:szCs w:val="22"/>
        </w:rPr>
        <w:t>探头单向弯曲角度≥</w:t>
      </w:r>
      <w:r>
        <w:rPr>
          <w:rFonts w:hint="eastAsia" w:ascii="宋体" w:hAnsi="宋体"/>
          <w:sz w:val="24"/>
          <w:szCs w:val="22"/>
        </w:rPr>
        <w:t>16</w:t>
      </w:r>
      <w:r>
        <w:rPr>
          <w:rFonts w:ascii="宋体" w:hAnsi="宋体"/>
          <w:sz w:val="24"/>
          <w:szCs w:val="22"/>
        </w:rPr>
        <w:t>0°，可</w:t>
      </w:r>
      <w:r>
        <w:rPr>
          <w:rFonts w:hint="eastAsia" w:ascii="宋体" w:hAnsi="宋体"/>
          <w:sz w:val="24"/>
          <w:szCs w:val="22"/>
        </w:rPr>
        <w:t>实现</w:t>
      </w:r>
      <w:r>
        <w:rPr>
          <w:rFonts w:ascii="宋体" w:hAnsi="宋体"/>
          <w:sz w:val="24"/>
          <w:szCs w:val="22"/>
        </w:rPr>
        <w:t>360°全方位观测；探头转向速度支持快、慢两档</w:t>
      </w:r>
      <w:r>
        <w:rPr>
          <w:rFonts w:hint="eastAsia" w:ascii="宋体" w:hAnsi="宋体"/>
          <w:sz w:val="24"/>
          <w:szCs w:val="22"/>
        </w:rPr>
        <w:t>切换</w:t>
      </w:r>
      <w:r>
        <w:rPr>
          <w:rFonts w:ascii="宋体" w:hAnsi="宋体"/>
          <w:sz w:val="24"/>
          <w:szCs w:val="22"/>
        </w:rPr>
        <w:t>。</w:t>
      </w:r>
    </w:p>
    <w:p w14:paraId="35724887">
      <w:pPr>
        <w:spacing w:line="440" w:lineRule="exact"/>
        <w:ind w:left="240" w:hanging="240" w:hangingChars="100"/>
        <w:rPr>
          <w:rFonts w:hint="eastAsia" w:ascii="宋体" w:hAnsi="宋体"/>
          <w:sz w:val="24"/>
          <w:szCs w:val="22"/>
        </w:rPr>
      </w:pPr>
      <w:r>
        <w:rPr>
          <w:rFonts w:ascii="宋体" w:hAnsi="宋体"/>
          <w:sz w:val="24"/>
          <w:szCs w:val="22"/>
        </w:rPr>
        <w:t>2.</w:t>
      </w:r>
      <w:r>
        <w:rPr>
          <w:rFonts w:hint="eastAsia" w:ascii="宋体" w:hAnsi="宋体"/>
          <w:sz w:val="24"/>
          <w:szCs w:val="22"/>
        </w:rPr>
        <w:t>4</w:t>
      </w:r>
      <w:r>
        <w:rPr>
          <w:rFonts w:ascii="宋体" w:hAnsi="宋体"/>
          <w:sz w:val="24"/>
          <w:szCs w:val="22"/>
        </w:rPr>
        <w:t xml:space="preserve"> 支持导向角度一键锁定</w:t>
      </w:r>
      <w:r>
        <w:rPr>
          <w:rFonts w:hint="eastAsia" w:ascii="宋体" w:hAnsi="宋体"/>
          <w:sz w:val="24"/>
          <w:szCs w:val="22"/>
        </w:rPr>
        <w:t>，具备</w:t>
      </w:r>
      <w:r>
        <w:rPr>
          <w:rFonts w:ascii="宋体" w:hAnsi="宋体"/>
          <w:sz w:val="24"/>
          <w:szCs w:val="22"/>
        </w:rPr>
        <w:t>探头锁定步进调节。</w:t>
      </w:r>
    </w:p>
    <w:p w14:paraId="7C5541E6">
      <w:pPr>
        <w:spacing w:before="300" w:after="120" w:line="440" w:lineRule="exact"/>
        <w:outlineLvl w:val="2"/>
        <w:rPr>
          <w:rFonts w:hint="eastAsia" w:ascii="宋体" w:hAnsi="宋体"/>
          <w:sz w:val="24"/>
          <w:szCs w:val="22"/>
        </w:rPr>
      </w:pPr>
      <w:bookmarkStart w:id="16" w:name="heading_4"/>
      <w:r>
        <w:rPr>
          <w:rFonts w:ascii="宋体" w:hAnsi="宋体"/>
          <w:sz w:val="24"/>
          <w:szCs w:val="22"/>
        </w:rPr>
        <w:t>（三）照明</w:t>
      </w:r>
      <w:bookmarkEnd w:id="16"/>
      <w:r>
        <w:rPr>
          <w:rFonts w:hint="eastAsia" w:ascii="宋体" w:hAnsi="宋体"/>
          <w:sz w:val="24"/>
          <w:szCs w:val="22"/>
        </w:rPr>
        <w:t>与图像成像处理</w:t>
      </w:r>
    </w:p>
    <w:p w14:paraId="6DCE131B">
      <w:pPr>
        <w:spacing w:line="440" w:lineRule="exact"/>
        <w:ind w:left="240" w:hanging="240" w:hangingChars="100"/>
        <w:rPr>
          <w:rFonts w:hint="eastAsia" w:ascii="宋体" w:hAnsi="宋体"/>
          <w:sz w:val="24"/>
          <w:szCs w:val="22"/>
        </w:rPr>
      </w:pPr>
      <w:r>
        <w:rPr>
          <w:rFonts w:ascii="宋体" w:hAnsi="宋体"/>
          <w:sz w:val="24"/>
          <w:szCs w:val="22"/>
        </w:rPr>
        <w:t xml:space="preserve">3.1 </w:t>
      </w:r>
      <w:r>
        <w:rPr>
          <w:rFonts w:hint="eastAsia" w:ascii="宋体" w:hAnsi="宋体"/>
          <w:sz w:val="24"/>
          <w:szCs w:val="22"/>
        </w:rPr>
        <w:t>采用原装LED光源</w:t>
      </w:r>
      <w:r>
        <w:rPr>
          <w:rFonts w:ascii="宋体" w:hAnsi="宋体"/>
          <w:sz w:val="24"/>
          <w:szCs w:val="22"/>
        </w:rPr>
        <w:t>光纤</w:t>
      </w:r>
      <w:r>
        <w:rPr>
          <w:rFonts w:hint="eastAsia" w:ascii="宋体" w:hAnsi="宋体"/>
          <w:sz w:val="24"/>
          <w:szCs w:val="22"/>
        </w:rPr>
        <w:t>传导</w:t>
      </w:r>
      <w:r>
        <w:rPr>
          <w:rFonts w:ascii="宋体" w:hAnsi="宋体"/>
          <w:sz w:val="24"/>
          <w:szCs w:val="22"/>
        </w:rPr>
        <w:t>照明，支持</w:t>
      </w:r>
      <w:r>
        <w:rPr>
          <w:rFonts w:hint="eastAsia" w:ascii="宋体" w:hAnsi="宋体"/>
          <w:sz w:val="24"/>
          <w:szCs w:val="22"/>
        </w:rPr>
        <w:t>多</w:t>
      </w:r>
      <w:r>
        <w:rPr>
          <w:rFonts w:ascii="宋体" w:hAnsi="宋体"/>
          <w:sz w:val="24"/>
          <w:szCs w:val="22"/>
        </w:rPr>
        <w:t>种专业光源模式切换；</w:t>
      </w:r>
      <w:r>
        <w:rPr>
          <w:rFonts w:hint="eastAsia" w:ascii="宋体" w:hAnsi="宋体"/>
          <w:sz w:val="24"/>
          <w:szCs w:val="22"/>
        </w:rPr>
        <w:t>亮度档位不少于9</w:t>
      </w:r>
      <w:r>
        <w:rPr>
          <w:rFonts w:ascii="宋体" w:hAnsi="宋体"/>
          <w:sz w:val="24"/>
          <w:szCs w:val="22"/>
        </w:rPr>
        <w:t>级</w:t>
      </w:r>
      <w:r>
        <w:rPr>
          <w:rFonts w:hint="eastAsia" w:ascii="宋体" w:hAnsi="宋体"/>
          <w:sz w:val="24"/>
          <w:szCs w:val="22"/>
        </w:rPr>
        <w:t>可调</w:t>
      </w:r>
      <w:r>
        <w:rPr>
          <w:rFonts w:ascii="宋体" w:hAnsi="宋体"/>
          <w:sz w:val="24"/>
          <w:szCs w:val="22"/>
        </w:rPr>
        <w:t>。</w:t>
      </w:r>
    </w:p>
    <w:p w14:paraId="15BFEB12">
      <w:pPr>
        <w:spacing w:line="440" w:lineRule="exact"/>
        <w:ind w:left="240" w:hanging="240" w:hangingChars="100"/>
        <w:rPr>
          <w:rFonts w:hint="eastAsia" w:ascii="宋体" w:hAnsi="宋体"/>
          <w:sz w:val="24"/>
          <w:szCs w:val="22"/>
        </w:rPr>
      </w:pPr>
      <w:r>
        <w:rPr>
          <w:rFonts w:ascii="宋体" w:hAnsi="宋体"/>
          <w:sz w:val="24"/>
          <w:szCs w:val="22"/>
        </w:rPr>
        <w:t>★</w:t>
      </w:r>
      <w:r>
        <w:rPr>
          <w:rFonts w:hint="eastAsia" w:ascii="宋体" w:hAnsi="宋体"/>
          <w:sz w:val="24"/>
          <w:szCs w:val="22"/>
        </w:rPr>
        <w:t>3</w:t>
      </w:r>
      <w:r>
        <w:rPr>
          <w:rFonts w:ascii="宋体" w:hAnsi="宋体"/>
          <w:sz w:val="24"/>
          <w:szCs w:val="22"/>
        </w:rPr>
        <w:t>.</w:t>
      </w:r>
      <w:r>
        <w:rPr>
          <w:rFonts w:hint="eastAsia" w:ascii="宋体" w:hAnsi="宋体"/>
          <w:sz w:val="24"/>
          <w:szCs w:val="22"/>
        </w:rPr>
        <w:t xml:space="preserve">2 </w:t>
      </w:r>
      <w:r>
        <w:rPr>
          <w:rFonts w:ascii="宋体" w:hAnsi="宋体"/>
          <w:sz w:val="24"/>
          <w:szCs w:val="22"/>
        </w:rPr>
        <w:t>搭载专用图像加速处理器，</w:t>
      </w:r>
      <w:r>
        <w:rPr>
          <w:rFonts w:hint="eastAsia" w:ascii="宋体" w:hAnsi="宋体"/>
          <w:sz w:val="24"/>
          <w:szCs w:val="22"/>
        </w:rPr>
        <w:t>可实现</w:t>
      </w:r>
      <w:r>
        <w:rPr>
          <w:rFonts w:ascii="宋体" w:hAnsi="宋体"/>
          <w:sz w:val="24"/>
          <w:szCs w:val="22"/>
        </w:rPr>
        <w:t>120Hz高帧率全像素视频录制。</w:t>
      </w:r>
    </w:p>
    <w:p w14:paraId="7EA9D98B">
      <w:pPr>
        <w:spacing w:line="440" w:lineRule="exact"/>
        <w:ind w:left="240" w:hanging="240" w:hangingChars="100"/>
        <w:rPr>
          <w:rFonts w:hint="eastAsia" w:ascii="宋体" w:hAnsi="宋体"/>
          <w:sz w:val="24"/>
          <w:szCs w:val="22"/>
        </w:rPr>
      </w:pPr>
      <w:r>
        <w:rPr>
          <w:rFonts w:ascii="宋体" w:hAnsi="宋体"/>
          <w:sz w:val="24"/>
          <w:szCs w:val="22"/>
        </w:rPr>
        <w:t>★3.</w:t>
      </w:r>
      <w:r>
        <w:rPr>
          <w:rFonts w:hint="eastAsia" w:ascii="宋体" w:hAnsi="宋体"/>
          <w:sz w:val="24"/>
          <w:szCs w:val="22"/>
        </w:rPr>
        <w:t>3</w:t>
      </w:r>
      <w:r>
        <w:rPr>
          <w:rFonts w:ascii="宋体" w:hAnsi="宋体"/>
          <w:sz w:val="24"/>
          <w:szCs w:val="22"/>
        </w:rPr>
        <w:t xml:space="preserve"> </w:t>
      </w:r>
      <w:r>
        <w:rPr>
          <w:rFonts w:hint="eastAsia" w:ascii="宋体" w:hAnsi="宋体"/>
          <w:sz w:val="24"/>
          <w:szCs w:val="22"/>
        </w:rPr>
        <w:t>设备内置</w:t>
      </w:r>
      <w:r>
        <w:rPr>
          <w:rFonts w:ascii="宋体" w:hAnsi="宋体"/>
          <w:sz w:val="24"/>
          <w:szCs w:val="22"/>
        </w:rPr>
        <w:t>智能降噪算法</w:t>
      </w:r>
      <w:r>
        <w:rPr>
          <w:rFonts w:hint="eastAsia" w:ascii="宋体" w:hAnsi="宋体"/>
          <w:sz w:val="24"/>
          <w:szCs w:val="22"/>
        </w:rPr>
        <w:t>以及</w:t>
      </w:r>
      <w:r>
        <w:rPr>
          <w:rFonts w:ascii="宋体" w:hAnsi="宋体"/>
          <w:sz w:val="24"/>
          <w:szCs w:val="22"/>
        </w:rPr>
        <w:t>图像动态范围调节功能；</w:t>
      </w:r>
      <w:r>
        <w:rPr>
          <w:rFonts w:hint="eastAsia" w:ascii="宋体" w:hAnsi="宋体"/>
          <w:sz w:val="24"/>
          <w:szCs w:val="22"/>
        </w:rPr>
        <w:t>集成</w:t>
      </w:r>
      <w:r>
        <w:rPr>
          <w:rFonts w:ascii="宋体" w:hAnsi="宋体"/>
          <w:sz w:val="24"/>
          <w:szCs w:val="22"/>
        </w:rPr>
        <w:t>光敏、温度传感器，低温环境自动启动预热模式，暗光环境按键背光自动开启，</w:t>
      </w:r>
      <w:r>
        <w:rPr>
          <w:rFonts w:hint="eastAsia" w:ascii="宋体" w:hAnsi="宋体"/>
          <w:sz w:val="24"/>
          <w:szCs w:val="22"/>
        </w:rPr>
        <w:t>保障</w:t>
      </w:r>
      <w:r>
        <w:rPr>
          <w:rFonts w:ascii="宋体" w:hAnsi="宋体"/>
          <w:sz w:val="24"/>
          <w:szCs w:val="22"/>
        </w:rPr>
        <w:t>昏暗环境下成像清晰。</w:t>
      </w:r>
    </w:p>
    <w:p w14:paraId="550B98B0">
      <w:pPr>
        <w:spacing w:before="300" w:after="120" w:line="440" w:lineRule="exact"/>
        <w:outlineLvl w:val="2"/>
        <w:rPr>
          <w:rFonts w:hint="eastAsia" w:ascii="宋体" w:hAnsi="宋体"/>
          <w:sz w:val="24"/>
          <w:szCs w:val="22"/>
        </w:rPr>
      </w:pPr>
      <w:bookmarkStart w:id="17" w:name="heading_5"/>
      <w:r>
        <w:rPr>
          <w:rFonts w:ascii="宋体" w:hAnsi="宋体"/>
          <w:sz w:val="24"/>
          <w:szCs w:val="22"/>
        </w:rPr>
        <w:t>（四）</w:t>
      </w:r>
      <w:r>
        <w:rPr>
          <w:rFonts w:hint="eastAsia" w:ascii="宋体" w:hAnsi="宋体"/>
          <w:sz w:val="24"/>
          <w:szCs w:val="22"/>
        </w:rPr>
        <w:t>软件与</w:t>
      </w:r>
      <w:r>
        <w:rPr>
          <w:rFonts w:ascii="宋体" w:hAnsi="宋体"/>
          <w:sz w:val="24"/>
          <w:szCs w:val="22"/>
        </w:rPr>
        <w:t>系统功能</w:t>
      </w:r>
      <w:bookmarkEnd w:id="17"/>
    </w:p>
    <w:p w14:paraId="38ED870F">
      <w:pPr>
        <w:spacing w:line="440" w:lineRule="exact"/>
        <w:ind w:left="240" w:hanging="240" w:hangingChars="100"/>
        <w:rPr>
          <w:rFonts w:hint="eastAsia" w:ascii="宋体" w:hAnsi="宋体"/>
          <w:sz w:val="24"/>
          <w:szCs w:val="22"/>
        </w:rPr>
      </w:pPr>
      <w:r>
        <w:rPr>
          <w:rFonts w:ascii="宋体" w:hAnsi="宋体"/>
          <w:sz w:val="24"/>
          <w:szCs w:val="22"/>
        </w:rPr>
        <w:t>★4.1 支持拍照、录像存储，导向锁定、复位、图像定格、图像存储、亮度调节、数字放大等功能均支持一键快速操作；搭载</w:t>
      </w:r>
      <w:r>
        <w:rPr>
          <w:rFonts w:hint="eastAsia" w:ascii="宋体" w:hAnsi="宋体"/>
          <w:sz w:val="24"/>
          <w:szCs w:val="22"/>
        </w:rPr>
        <w:t>专用神经网络处理器</w:t>
      </w:r>
      <w:r>
        <w:rPr>
          <w:rFonts w:ascii="宋体" w:hAnsi="宋体"/>
          <w:sz w:val="24"/>
          <w:szCs w:val="22"/>
        </w:rPr>
        <w:t>，</w:t>
      </w:r>
      <w:bookmarkStart w:id="18" w:name="OLE_LINK8"/>
      <w:r>
        <w:rPr>
          <w:rFonts w:ascii="宋体" w:hAnsi="宋体"/>
          <w:sz w:val="24"/>
          <w:szCs w:val="22"/>
        </w:rPr>
        <w:t>支持</w:t>
      </w:r>
      <w:r>
        <w:rPr>
          <w:rFonts w:hint="eastAsia" w:ascii="宋体" w:hAnsi="宋体"/>
          <w:sz w:val="24"/>
          <w:szCs w:val="22"/>
        </w:rPr>
        <w:t>图像</w:t>
      </w:r>
      <w:r>
        <w:rPr>
          <w:rFonts w:ascii="宋体" w:hAnsi="宋体"/>
          <w:sz w:val="24"/>
          <w:szCs w:val="22"/>
        </w:rPr>
        <w:t>AI</w:t>
      </w:r>
      <w:bookmarkEnd w:id="18"/>
      <w:r>
        <w:rPr>
          <w:rFonts w:hint="eastAsia" w:ascii="宋体" w:hAnsi="宋体"/>
          <w:sz w:val="24"/>
          <w:szCs w:val="22"/>
        </w:rPr>
        <w:t>处理，预览时采用小模型算法实时降噪和增强，保存图片时采用大模型算法对图片增强处理；</w:t>
      </w:r>
      <w:r>
        <w:rPr>
          <w:rFonts w:ascii="宋体" w:hAnsi="宋体"/>
          <w:sz w:val="24"/>
          <w:szCs w:val="22"/>
        </w:rPr>
        <w:t>支持AI智能</w:t>
      </w:r>
      <w:r>
        <w:rPr>
          <w:rFonts w:hint="eastAsia" w:ascii="宋体" w:hAnsi="宋体"/>
          <w:sz w:val="24"/>
          <w:szCs w:val="22"/>
        </w:rPr>
        <w:t>语音输入输出，</w:t>
      </w:r>
      <w:r>
        <w:rPr>
          <w:rFonts w:ascii="宋体" w:hAnsi="宋体"/>
          <w:sz w:val="24"/>
          <w:szCs w:val="22"/>
        </w:rPr>
        <w:t>嘈杂环境语音识别率</w:t>
      </w:r>
      <w:bookmarkStart w:id="19" w:name="OLE_LINK6"/>
      <w:r>
        <w:rPr>
          <w:rFonts w:ascii="宋体" w:hAnsi="宋体"/>
          <w:sz w:val="24"/>
          <w:szCs w:val="22"/>
        </w:rPr>
        <w:t>≥</w:t>
      </w:r>
      <w:bookmarkEnd w:id="19"/>
      <w:r>
        <w:rPr>
          <w:rFonts w:ascii="宋体" w:hAnsi="宋体"/>
          <w:sz w:val="24"/>
          <w:szCs w:val="22"/>
        </w:rPr>
        <w:t>95%，语音操控设备。</w:t>
      </w:r>
    </w:p>
    <w:p w14:paraId="0B630C3D">
      <w:pPr>
        <w:spacing w:line="440" w:lineRule="exact"/>
        <w:ind w:left="240" w:hanging="240" w:hangingChars="100"/>
        <w:rPr>
          <w:rFonts w:hint="eastAsia" w:ascii="宋体" w:hAnsi="宋体"/>
          <w:sz w:val="24"/>
          <w:szCs w:val="22"/>
        </w:rPr>
      </w:pPr>
      <w:r>
        <w:rPr>
          <w:rFonts w:ascii="宋体" w:hAnsi="宋体"/>
          <w:sz w:val="24"/>
          <w:szCs w:val="22"/>
        </w:rPr>
        <w:t xml:space="preserve">4.2 </w:t>
      </w:r>
      <w:bookmarkStart w:id="20" w:name="OLE_LINK14"/>
      <w:r>
        <w:rPr>
          <w:rFonts w:ascii="宋体" w:hAnsi="宋体"/>
          <w:sz w:val="24"/>
          <w:szCs w:val="22"/>
        </w:rPr>
        <w:t>支持图片、视频文件本地保存</w:t>
      </w:r>
      <w:r>
        <w:rPr>
          <w:rFonts w:hint="eastAsia" w:ascii="宋体" w:hAnsi="宋体"/>
          <w:sz w:val="24"/>
          <w:szCs w:val="22"/>
        </w:rPr>
        <w:t>、</w:t>
      </w:r>
      <w:r>
        <w:rPr>
          <w:rFonts w:ascii="宋体" w:hAnsi="宋体"/>
          <w:sz w:val="24"/>
          <w:szCs w:val="22"/>
        </w:rPr>
        <w:t>自定义命名归档</w:t>
      </w:r>
      <w:r>
        <w:rPr>
          <w:rFonts w:hint="eastAsia" w:ascii="宋体" w:hAnsi="宋体"/>
          <w:sz w:val="24"/>
          <w:szCs w:val="22"/>
        </w:rPr>
        <w:t>；支持图片</w:t>
      </w:r>
      <w:r>
        <w:rPr>
          <w:rFonts w:ascii="宋体" w:hAnsi="宋体"/>
          <w:sz w:val="24"/>
          <w:szCs w:val="22"/>
        </w:rPr>
        <w:t>全屏查看、删除、</w:t>
      </w:r>
      <w:r>
        <w:rPr>
          <w:rFonts w:hint="eastAsia" w:ascii="宋体" w:hAnsi="宋体"/>
          <w:sz w:val="24"/>
          <w:szCs w:val="22"/>
        </w:rPr>
        <w:t>重命名、</w:t>
      </w:r>
      <w:r>
        <w:rPr>
          <w:rFonts w:ascii="宋体" w:hAnsi="宋体"/>
          <w:sz w:val="24"/>
          <w:szCs w:val="22"/>
        </w:rPr>
        <w:t>旋转、涂鸦等文件操作。</w:t>
      </w:r>
      <w:bookmarkEnd w:id="20"/>
    </w:p>
    <w:p w14:paraId="71D94611">
      <w:pPr>
        <w:spacing w:line="440" w:lineRule="exact"/>
        <w:ind w:left="240" w:hanging="240" w:hangingChars="100"/>
        <w:rPr>
          <w:rFonts w:hint="eastAsia" w:ascii="宋体" w:hAnsi="宋体"/>
          <w:sz w:val="24"/>
          <w:szCs w:val="22"/>
        </w:rPr>
      </w:pPr>
      <w:r>
        <w:rPr>
          <w:rFonts w:ascii="宋体" w:hAnsi="宋体"/>
          <w:sz w:val="24"/>
          <w:szCs w:val="22"/>
        </w:rPr>
        <w:t>★4.</w:t>
      </w:r>
      <w:r>
        <w:rPr>
          <w:rFonts w:hint="eastAsia" w:ascii="宋体" w:hAnsi="宋体"/>
          <w:sz w:val="24"/>
          <w:szCs w:val="22"/>
        </w:rPr>
        <w:t>3</w:t>
      </w:r>
      <w:r>
        <w:rPr>
          <w:rFonts w:ascii="宋体" w:hAnsi="宋体"/>
          <w:sz w:val="24"/>
          <w:szCs w:val="22"/>
        </w:rPr>
        <w:t xml:space="preserve"> 具备2D/3D成像与测量功能；支持点到点、点到线、点到面、多线段、区域、缺角、剖面、圆形、间隙多维测量；测量精度0.01mm，测量误差≤5%。</w:t>
      </w:r>
    </w:p>
    <w:p w14:paraId="3761E613">
      <w:pPr>
        <w:spacing w:line="440" w:lineRule="exact"/>
        <w:ind w:left="240" w:hanging="240" w:hangingChars="100"/>
        <w:rPr>
          <w:rFonts w:hint="eastAsia" w:ascii="宋体" w:hAnsi="宋体"/>
          <w:sz w:val="24"/>
          <w:szCs w:val="22"/>
        </w:rPr>
      </w:pPr>
      <w:bookmarkStart w:id="21" w:name="heading_6"/>
      <w:r>
        <w:rPr>
          <w:rFonts w:ascii="宋体" w:hAnsi="宋体"/>
          <w:sz w:val="24"/>
          <w:szCs w:val="22"/>
        </w:rPr>
        <w:t>（五）环境适应性</w:t>
      </w:r>
      <w:bookmarkEnd w:id="21"/>
    </w:p>
    <w:p w14:paraId="41C42FF5">
      <w:pPr>
        <w:spacing w:line="440" w:lineRule="exact"/>
        <w:ind w:left="240" w:hanging="240" w:hangingChars="100"/>
        <w:rPr>
          <w:rFonts w:hint="eastAsia" w:ascii="宋体" w:hAnsi="宋体"/>
          <w:sz w:val="24"/>
          <w:szCs w:val="22"/>
        </w:rPr>
      </w:pPr>
      <w:r>
        <w:rPr>
          <w:rFonts w:ascii="宋体" w:hAnsi="宋体"/>
          <w:sz w:val="24"/>
          <w:szCs w:val="22"/>
        </w:rPr>
        <w:t>5.1 探头工作温度：</w:t>
      </w:r>
      <w:r>
        <w:rPr>
          <w:rFonts w:ascii="Cambria Math" w:hAnsi="Cambria Math" w:cs="Cambria Math"/>
          <w:sz w:val="24"/>
          <w:szCs w:val="22"/>
        </w:rPr>
        <w:t>‑</w:t>
      </w:r>
      <w:r>
        <w:rPr>
          <w:rFonts w:ascii="宋体" w:hAnsi="宋体"/>
          <w:sz w:val="24"/>
          <w:szCs w:val="22"/>
        </w:rPr>
        <w:t>40℃</w:t>
      </w:r>
      <w:r>
        <w:rPr>
          <w:rFonts w:ascii="Cambria Math" w:hAnsi="Cambria Math" w:cs="Cambria Math"/>
          <w:sz w:val="24"/>
          <w:szCs w:val="22"/>
        </w:rPr>
        <w:t>‑</w:t>
      </w:r>
      <w:r>
        <w:rPr>
          <w:rFonts w:ascii="宋体" w:hAnsi="宋体"/>
          <w:sz w:val="24"/>
          <w:szCs w:val="22"/>
        </w:rPr>
        <w:t>95</w:t>
      </w:r>
      <w:r>
        <w:rPr>
          <w:rFonts w:hint="eastAsia" w:ascii="宋体" w:hAnsi="宋体"/>
          <w:sz w:val="24"/>
          <w:szCs w:val="22"/>
        </w:rPr>
        <w:t>℃</w:t>
      </w:r>
      <w:r>
        <w:rPr>
          <w:rFonts w:ascii="宋体" w:hAnsi="宋体"/>
          <w:sz w:val="24"/>
          <w:szCs w:val="22"/>
        </w:rPr>
        <w:t>。</w:t>
      </w:r>
    </w:p>
    <w:p w14:paraId="71C3B78E">
      <w:pPr>
        <w:spacing w:line="440" w:lineRule="exact"/>
        <w:ind w:left="240" w:hanging="240" w:hangingChars="100"/>
        <w:rPr>
          <w:rFonts w:hint="eastAsia" w:ascii="宋体" w:hAnsi="宋体"/>
          <w:sz w:val="24"/>
          <w:szCs w:val="22"/>
        </w:rPr>
      </w:pPr>
      <w:r>
        <w:rPr>
          <w:rFonts w:ascii="宋体" w:hAnsi="宋体"/>
          <w:sz w:val="24"/>
          <w:szCs w:val="22"/>
        </w:rPr>
        <w:t xml:space="preserve">★5.2 </w:t>
      </w:r>
      <w:r>
        <w:rPr>
          <w:rFonts w:hint="eastAsia" w:ascii="宋体" w:hAnsi="宋体"/>
          <w:sz w:val="24"/>
          <w:szCs w:val="22"/>
        </w:rPr>
        <w:t>主机具备</w:t>
      </w:r>
      <w:r>
        <w:rPr>
          <w:rFonts w:ascii="宋体" w:hAnsi="宋体"/>
          <w:sz w:val="24"/>
          <w:szCs w:val="22"/>
        </w:rPr>
        <w:t>IP65防护</w:t>
      </w:r>
      <w:r>
        <w:rPr>
          <w:rFonts w:hint="eastAsia" w:ascii="宋体" w:hAnsi="宋体"/>
          <w:sz w:val="24"/>
          <w:szCs w:val="22"/>
        </w:rPr>
        <w:t>等级</w:t>
      </w:r>
      <w:r>
        <w:rPr>
          <w:rFonts w:ascii="宋体" w:hAnsi="宋体"/>
          <w:sz w:val="24"/>
          <w:szCs w:val="22"/>
        </w:rPr>
        <w:t>认证</w:t>
      </w:r>
      <w:r>
        <w:rPr>
          <w:rFonts w:hint="eastAsia" w:ascii="宋体" w:hAnsi="宋体"/>
          <w:sz w:val="24"/>
          <w:szCs w:val="22"/>
        </w:rPr>
        <w:t>，具备抗跌落能力，可实现</w:t>
      </w:r>
      <w:r>
        <w:rPr>
          <w:rFonts w:ascii="宋体" w:hAnsi="宋体"/>
          <w:sz w:val="24"/>
          <w:szCs w:val="22"/>
        </w:rPr>
        <w:t>防尘、防水、防油。</w:t>
      </w:r>
      <w:bookmarkEnd w:id="4"/>
    </w:p>
    <w:p w14:paraId="135CDF0F">
      <w:pPr>
        <w:spacing w:line="440" w:lineRule="exact"/>
        <w:rPr>
          <w:rFonts w:hint="eastAsia" w:ascii="宋体" w:hAnsi="宋体"/>
          <w:sz w:val="24"/>
          <w:szCs w:val="22"/>
        </w:rPr>
      </w:pPr>
      <w:r>
        <w:rPr>
          <w:rFonts w:hint="eastAsia" w:ascii="宋体" w:hAnsi="宋体"/>
          <w:sz w:val="24"/>
          <w:szCs w:val="22"/>
        </w:rPr>
        <w:t>二、合同草案条款</w:t>
      </w:r>
    </w:p>
    <w:p w14:paraId="05EFF20A">
      <w:pPr>
        <w:spacing w:line="440" w:lineRule="exact"/>
        <w:rPr>
          <w:rFonts w:hint="eastAsia" w:ascii="宋体" w:hAnsi="宋体"/>
          <w:sz w:val="24"/>
          <w:szCs w:val="22"/>
        </w:rPr>
      </w:pPr>
      <w:r>
        <w:rPr>
          <w:rFonts w:hint="eastAsia" w:ascii="宋体" w:hAnsi="宋体"/>
          <w:sz w:val="24"/>
          <w:szCs w:val="22"/>
        </w:rPr>
        <w:t>2.1交付需求：</w:t>
      </w:r>
    </w:p>
    <w:p w14:paraId="00F9955F">
      <w:pPr>
        <w:spacing w:line="440" w:lineRule="exact"/>
        <w:rPr>
          <w:rFonts w:hint="eastAsia" w:ascii="宋体" w:hAnsi="宋体"/>
          <w:sz w:val="24"/>
          <w:szCs w:val="22"/>
        </w:rPr>
      </w:pPr>
      <w:r>
        <w:rPr>
          <w:rFonts w:hint="eastAsia" w:ascii="宋体" w:hAnsi="宋体"/>
          <w:sz w:val="24"/>
          <w:szCs w:val="22"/>
        </w:rPr>
        <w:t>2.1.1交货时间：</w:t>
      </w:r>
      <w:bookmarkStart w:id="22" w:name="OLE_LINK13"/>
      <w:r>
        <w:rPr>
          <w:rFonts w:hint="eastAsia" w:ascii="宋体" w:hAnsi="宋体"/>
          <w:sz w:val="24"/>
          <w:szCs w:val="22"/>
        </w:rPr>
        <w:t>合同签订之日起60个日历天内实施完毕</w:t>
      </w:r>
      <w:bookmarkEnd w:id="22"/>
      <w:r>
        <w:rPr>
          <w:rFonts w:hint="eastAsia" w:ascii="宋体" w:hAnsi="宋体"/>
          <w:sz w:val="24"/>
          <w:szCs w:val="22"/>
        </w:rPr>
        <w:t>。</w:t>
      </w:r>
    </w:p>
    <w:p w14:paraId="0BEB1648">
      <w:pPr>
        <w:spacing w:line="440" w:lineRule="exact"/>
        <w:rPr>
          <w:rFonts w:hint="eastAsia" w:ascii="宋体" w:hAnsi="宋体"/>
          <w:sz w:val="24"/>
          <w:szCs w:val="22"/>
        </w:rPr>
      </w:pPr>
      <w:r>
        <w:rPr>
          <w:rFonts w:hint="eastAsia" w:ascii="宋体" w:hAnsi="宋体"/>
          <w:sz w:val="24"/>
          <w:szCs w:val="22"/>
        </w:rPr>
        <w:t>2.1.2交货地点：湖北省博物馆(或采购人指定的地点) 。</w:t>
      </w:r>
    </w:p>
    <w:p w14:paraId="58249ABD">
      <w:pPr>
        <w:spacing w:line="440" w:lineRule="exact"/>
        <w:ind w:left="240" w:hanging="240" w:hangingChars="100"/>
        <w:rPr>
          <w:rFonts w:hint="eastAsia" w:ascii="宋体" w:hAnsi="宋体"/>
          <w:sz w:val="24"/>
          <w:szCs w:val="22"/>
        </w:rPr>
      </w:pPr>
      <w:r>
        <w:rPr>
          <w:rFonts w:hint="eastAsia" w:ascii="宋体" w:hAnsi="宋体"/>
          <w:sz w:val="24"/>
          <w:szCs w:val="22"/>
        </w:rPr>
        <w:t>2.1.3安装与调试：本项目由成交供应商负责项目的生产、运输、安装、调试以及其他售后服务等全部相关工作，故供应商报价应包含以上全部工作所需的一切费用，即投标总报价为“交钥匙”价。对在合同实施过程中可能发生的其它费用（如：增加耗材、材料涨价、人工、运输成本增加等因素），采购人概不负责。</w:t>
      </w:r>
    </w:p>
    <w:p w14:paraId="4CA90A97">
      <w:pPr>
        <w:spacing w:line="440" w:lineRule="exact"/>
        <w:rPr>
          <w:rFonts w:hint="eastAsia" w:ascii="宋体" w:hAnsi="宋体"/>
          <w:sz w:val="24"/>
          <w:szCs w:val="22"/>
        </w:rPr>
      </w:pPr>
      <w:r>
        <w:rPr>
          <w:rFonts w:hint="eastAsia" w:ascii="宋体" w:hAnsi="宋体"/>
          <w:sz w:val="24"/>
          <w:szCs w:val="22"/>
        </w:rPr>
        <w:t>2.1.4验收要求：货物安装调试完毕，经采购人验收签字认可。</w:t>
      </w:r>
    </w:p>
    <w:p w14:paraId="28F14455">
      <w:pPr>
        <w:spacing w:line="440" w:lineRule="exact"/>
        <w:rPr>
          <w:rFonts w:hint="eastAsia" w:ascii="宋体" w:hAnsi="宋体"/>
          <w:sz w:val="24"/>
          <w:szCs w:val="22"/>
        </w:rPr>
      </w:pPr>
      <w:r>
        <w:rPr>
          <w:rFonts w:hint="eastAsia" w:ascii="宋体" w:hAnsi="宋体"/>
          <w:sz w:val="24"/>
          <w:szCs w:val="22"/>
        </w:rPr>
        <w:t>2.1.5合同签订及付款方式。</w:t>
      </w:r>
    </w:p>
    <w:p w14:paraId="42EEC2F3">
      <w:pPr>
        <w:spacing w:line="440" w:lineRule="exact"/>
        <w:rPr>
          <w:rFonts w:hint="eastAsia" w:ascii="宋体" w:hAnsi="宋体"/>
          <w:sz w:val="24"/>
          <w:szCs w:val="22"/>
        </w:rPr>
      </w:pPr>
      <w:r>
        <w:rPr>
          <w:rFonts w:hint="eastAsia" w:ascii="宋体" w:hAnsi="宋体"/>
          <w:sz w:val="24"/>
          <w:szCs w:val="22"/>
        </w:rPr>
        <w:t>2.1.6本次采购合同由采购人与成交供应商签订。</w:t>
      </w:r>
    </w:p>
    <w:p w14:paraId="388A1DCC">
      <w:pPr>
        <w:spacing w:line="440" w:lineRule="exact"/>
        <w:ind w:left="240" w:hanging="240" w:hangingChars="100"/>
        <w:rPr>
          <w:rFonts w:hint="eastAsia" w:ascii="宋体" w:hAnsi="宋体"/>
          <w:sz w:val="24"/>
          <w:szCs w:val="22"/>
          <w:highlight w:val="red"/>
        </w:rPr>
      </w:pPr>
      <w:r>
        <w:rPr>
          <w:rFonts w:hint="eastAsia" w:ascii="宋体" w:hAnsi="宋体"/>
          <w:color w:val="000000" w:themeColor="text1"/>
          <w:sz w:val="24"/>
          <w:szCs w:val="22"/>
        </w:rPr>
        <w:t>2.1.7付款方式：</w:t>
      </w:r>
      <w:bookmarkStart w:id="23" w:name="OLE_LINK35"/>
      <w:bookmarkStart w:id="24" w:name="OLE_LINK38"/>
      <w:r>
        <w:rPr>
          <w:sz w:val="24"/>
        </w:rPr>
        <w:t>本项目无预付款。</w:t>
      </w:r>
      <w:r>
        <w:rPr>
          <w:rFonts w:hint="eastAsia"/>
          <w:sz w:val="24"/>
        </w:rPr>
        <w:t>供应商</w:t>
      </w:r>
      <w:r>
        <w:rPr>
          <w:sz w:val="24"/>
        </w:rPr>
        <w:t>完成</w:t>
      </w:r>
      <w:r>
        <w:rPr>
          <w:rFonts w:hint="eastAsia"/>
          <w:sz w:val="24"/>
        </w:rPr>
        <w:t>工业级内窥镜采购</w:t>
      </w:r>
      <w:r>
        <w:rPr>
          <w:sz w:val="24"/>
        </w:rPr>
        <w:t>项目</w:t>
      </w:r>
      <w:r>
        <w:rPr>
          <w:rFonts w:hint="eastAsia"/>
          <w:sz w:val="24"/>
        </w:rPr>
        <w:t>（第二次）</w:t>
      </w:r>
      <w:r>
        <w:rPr>
          <w:sz w:val="24"/>
        </w:rPr>
        <w:t>，经验收合格后</w:t>
      </w:r>
      <w:r>
        <w:rPr>
          <w:rFonts w:hint="eastAsia"/>
          <w:sz w:val="24"/>
        </w:rPr>
        <w:t>，供应商提供发票</w:t>
      </w:r>
      <w:r>
        <w:rPr>
          <w:sz w:val="24"/>
          <w:lang w:val="en-GB"/>
        </w:rPr>
        <w:t>之日起</w:t>
      </w:r>
      <w:r>
        <w:rPr>
          <w:rFonts w:hint="eastAsia"/>
          <w:sz w:val="24"/>
          <w:lang w:val="en-GB"/>
        </w:rPr>
        <w:t>15</w:t>
      </w:r>
      <w:r>
        <w:rPr>
          <w:sz w:val="24"/>
          <w:lang w:val="en-GB"/>
        </w:rPr>
        <w:t>个</w:t>
      </w:r>
      <w:r>
        <w:rPr>
          <w:rFonts w:hint="eastAsia"/>
          <w:sz w:val="24"/>
          <w:lang w:val="en-GB"/>
        </w:rPr>
        <w:t>工作日内，采购人</w:t>
      </w:r>
      <w:r>
        <w:rPr>
          <w:sz w:val="24"/>
          <w:lang w:val="en-GB"/>
        </w:rPr>
        <w:t>向</w:t>
      </w:r>
      <w:r>
        <w:rPr>
          <w:rFonts w:hint="eastAsia"/>
          <w:sz w:val="24"/>
          <w:lang w:val="en-GB"/>
        </w:rPr>
        <w:t>供应商</w:t>
      </w:r>
      <w:r>
        <w:rPr>
          <w:sz w:val="24"/>
          <w:lang w:val="en-GB"/>
        </w:rPr>
        <w:t>支付合同</w:t>
      </w:r>
      <w:r>
        <w:rPr>
          <w:sz w:val="24"/>
        </w:rPr>
        <w:t>全款。</w:t>
      </w:r>
      <w:r>
        <w:rPr>
          <w:rFonts w:hint="eastAsia"/>
          <w:sz w:val="24"/>
        </w:rPr>
        <w:t>采购人</w:t>
      </w:r>
      <w:r>
        <w:rPr>
          <w:sz w:val="24"/>
        </w:rPr>
        <w:t>自收到</w:t>
      </w:r>
      <w:r>
        <w:rPr>
          <w:rFonts w:hint="eastAsia"/>
          <w:sz w:val="24"/>
        </w:rPr>
        <w:t>供应商</w:t>
      </w:r>
      <w:r>
        <w:rPr>
          <w:sz w:val="24"/>
        </w:rPr>
        <w:t>提出的书面验收申请之日起7个工作日内进行验收。如验收合格，7个工作日内出具《验收报告》。</w:t>
      </w:r>
      <w:r>
        <w:rPr>
          <w:rFonts w:hint="eastAsia"/>
          <w:sz w:val="24"/>
          <w:lang w:val="en-GB"/>
        </w:rPr>
        <w:t>供应商</w:t>
      </w:r>
      <w:r>
        <w:rPr>
          <w:sz w:val="24"/>
          <w:lang w:val="en-GB"/>
        </w:rPr>
        <w:t>认可</w:t>
      </w:r>
      <w:r>
        <w:rPr>
          <w:rFonts w:hint="eastAsia"/>
          <w:sz w:val="24"/>
          <w:lang w:val="en-GB"/>
        </w:rPr>
        <w:t>采购人</w:t>
      </w:r>
      <w:r>
        <w:rPr>
          <w:sz w:val="24"/>
          <w:lang w:val="en-GB"/>
        </w:rPr>
        <w:t>向湖北省财政厅提</w:t>
      </w:r>
      <w:r>
        <w:rPr>
          <w:rFonts w:hint="eastAsia" w:ascii="宋体" w:hAnsi="宋体"/>
          <w:sz w:val="24"/>
          <w:szCs w:val="22"/>
        </w:rPr>
        <w:t>提请付款</w:t>
      </w:r>
      <w:r>
        <w:rPr>
          <w:sz w:val="24"/>
          <w:lang w:val="en-GB"/>
        </w:rPr>
        <w:t>，视同</w:t>
      </w:r>
      <w:r>
        <w:rPr>
          <w:rFonts w:hint="eastAsia"/>
          <w:sz w:val="24"/>
          <w:lang w:val="en-GB"/>
        </w:rPr>
        <w:t>采购人</w:t>
      </w:r>
      <w:r>
        <w:rPr>
          <w:sz w:val="24"/>
        </w:rPr>
        <w:t>按时履行了付款义务。</w:t>
      </w:r>
      <w:bookmarkEnd w:id="23"/>
      <w:bookmarkEnd w:id="24"/>
    </w:p>
    <w:p w14:paraId="6FD51F68">
      <w:pPr>
        <w:spacing w:before="100" w:beforeAutospacing="1" w:line="360" w:lineRule="auto"/>
        <w:rPr>
          <w:rFonts w:hint="eastAsia" w:ascii="宋体" w:hAnsi="宋体"/>
          <w:sz w:val="24"/>
          <w:szCs w:val="22"/>
        </w:rPr>
      </w:pPr>
      <w:r>
        <w:rPr>
          <w:rFonts w:hint="eastAsia" w:ascii="宋体" w:hAnsi="宋体"/>
          <w:sz w:val="24"/>
          <w:szCs w:val="22"/>
        </w:rPr>
        <w:t>2.2售后服务需求</w:t>
      </w:r>
    </w:p>
    <w:p w14:paraId="35BB7980">
      <w:pPr>
        <w:spacing w:line="360" w:lineRule="auto"/>
        <w:ind w:left="240" w:hanging="240" w:hangingChars="100"/>
        <w:rPr>
          <w:rFonts w:hint="eastAsia" w:ascii="宋体" w:hAnsi="宋体"/>
          <w:sz w:val="24"/>
          <w:szCs w:val="22"/>
        </w:rPr>
      </w:pPr>
      <w:r>
        <w:rPr>
          <w:rFonts w:hint="eastAsia" w:ascii="宋体" w:hAnsi="宋体"/>
          <w:sz w:val="24"/>
          <w:szCs w:val="22"/>
        </w:rPr>
        <w:t>2.2.1质保服务要求：成交供应商提供所投本单位生产产品3年的免费上门保修，终身维修。保修期自验收合格之日起计算。供应商在此项目后期的维护中，若出现系统故障，服务商应</w:t>
      </w:r>
      <w:r>
        <w:rPr>
          <w:rFonts w:ascii="宋体" w:hAnsi="宋体"/>
          <w:sz w:val="24"/>
          <w:szCs w:val="22"/>
        </w:rPr>
        <w:t>4</w:t>
      </w:r>
      <w:r>
        <w:rPr>
          <w:rFonts w:hint="eastAsia" w:ascii="宋体" w:hAnsi="宋体"/>
          <w:sz w:val="24"/>
          <w:szCs w:val="22"/>
        </w:rPr>
        <w:t>小时内响应，</w:t>
      </w:r>
      <w:r>
        <w:rPr>
          <w:rFonts w:ascii="宋体" w:hAnsi="宋体"/>
          <w:sz w:val="24"/>
          <w:szCs w:val="22"/>
        </w:rPr>
        <w:t>48</w:t>
      </w:r>
      <w:r>
        <w:rPr>
          <w:rFonts w:hint="eastAsia" w:ascii="宋体" w:hAnsi="宋体"/>
          <w:sz w:val="24"/>
          <w:szCs w:val="22"/>
        </w:rPr>
        <w:t>小时内到场排除故障并保证系统正常运行。</w:t>
      </w:r>
    </w:p>
    <w:p w14:paraId="7406187C">
      <w:pPr>
        <w:spacing w:line="360" w:lineRule="auto"/>
        <w:ind w:left="240" w:hanging="240" w:hangingChars="100"/>
        <w:rPr>
          <w:rFonts w:hint="eastAsia" w:ascii="宋体" w:hAnsi="宋体"/>
          <w:sz w:val="24"/>
          <w:szCs w:val="22"/>
        </w:rPr>
      </w:pPr>
      <w:r>
        <w:rPr>
          <w:rFonts w:hint="eastAsia" w:ascii="宋体" w:hAnsi="宋体"/>
          <w:sz w:val="24"/>
          <w:szCs w:val="22"/>
        </w:rPr>
        <w:t>2.2.2培训服务要求：供应商在维护期内对采购人技术人员提供操作和维护培训，提供技术咨询服务。保修期内设备出现故障，免费更换配件及维修。保修期外设备出现故障，厂家提供优于市场价的备品备件等内容的服务条款详细方案。</w:t>
      </w:r>
    </w:p>
    <w:p w14:paraId="298D236C">
      <w:pPr>
        <w:spacing w:line="360" w:lineRule="auto"/>
        <w:ind w:left="240" w:hanging="240" w:hangingChars="100"/>
        <w:rPr>
          <w:rFonts w:hint="eastAsia" w:ascii="宋体" w:hAnsi="宋体"/>
          <w:sz w:val="24"/>
          <w:szCs w:val="22"/>
        </w:rPr>
      </w:pPr>
      <w:r>
        <w:rPr>
          <w:rFonts w:hint="eastAsia" w:ascii="宋体" w:hAnsi="宋体"/>
          <w:sz w:val="24"/>
          <w:szCs w:val="22"/>
        </w:rPr>
        <w:t>2.2.3其他服务要求：供应商须提供所投产品生产厂家服务机构情况，包括地址、联系方式及技术人员数量等。提供生产厂家完整的随机资料，包括完整的使用和维修手册等。</w:t>
      </w:r>
    </w:p>
    <w:p w14:paraId="14034007">
      <w:pPr>
        <w:spacing w:line="360" w:lineRule="auto"/>
        <w:ind w:left="566" w:leftChars="202"/>
        <w:rPr>
          <w:rFonts w:hint="eastAsia" w:ascii="宋体" w:hAnsi="宋体"/>
          <w:b/>
          <w:color w:val="548DD4"/>
          <w:sz w:val="24"/>
        </w:rPr>
      </w:pPr>
    </w:p>
    <w:p w14:paraId="5D73DBF6">
      <w:pPr>
        <w:spacing w:before="240" w:after="60"/>
        <w:jc w:val="left"/>
        <w:outlineLvl w:val="0"/>
        <w:rPr>
          <w:rFonts w:hint="eastAsia" w:ascii="宋体" w:hAnsi="宋体" w:cs="宋体"/>
          <w:sz w:val="24"/>
        </w:rPr>
      </w:pPr>
      <w:r>
        <w:rPr>
          <w:rFonts w:hint="eastAsia" w:ascii="宋体" w:hAnsi="宋体" w:cs="宋体"/>
          <w:sz w:val="24"/>
        </w:rPr>
        <w:t>三、评审方法</w:t>
      </w:r>
    </w:p>
    <w:p w14:paraId="6F2DDCBC">
      <w:pPr>
        <w:shd w:val="clear" w:color="auto" w:fill="FFFFFF"/>
        <w:spacing w:line="360" w:lineRule="auto"/>
        <w:ind w:firstLine="240" w:firstLineChars="100"/>
        <w:rPr>
          <w:rFonts w:hint="eastAsia" w:ascii="宋体" w:hAnsi="宋体" w:cs="宋体"/>
          <w:caps/>
          <w:color w:val="000000"/>
          <w:sz w:val="24"/>
        </w:rPr>
      </w:pPr>
      <w:r>
        <w:rPr>
          <w:rFonts w:hint="eastAsia" w:ascii="宋体" w:hAnsi="宋体" w:cs="宋体"/>
          <w:caps/>
          <w:color w:val="000000"/>
          <w:sz w:val="24"/>
        </w:rPr>
        <w:t>根据符合采购需求、质量和服务相等且报价（评审价）最低的原则确定成交候选供应商。</w:t>
      </w:r>
    </w:p>
    <w:p w14:paraId="558B4563">
      <w:pPr>
        <w:shd w:val="clear" w:color="auto" w:fill="FFFFFF"/>
        <w:spacing w:line="360" w:lineRule="auto"/>
        <w:ind w:firstLine="240" w:firstLineChars="100"/>
        <w:rPr>
          <w:rFonts w:hint="eastAsia" w:ascii="宋体" w:hAnsi="宋体" w:cs="宋体"/>
          <w:caps/>
          <w:color w:val="000000"/>
          <w:sz w:val="24"/>
        </w:rPr>
      </w:pPr>
    </w:p>
    <w:p w14:paraId="788F8007">
      <w:pPr>
        <w:shd w:val="clear" w:color="auto" w:fill="FFFFFF"/>
        <w:spacing w:line="360" w:lineRule="auto"/>
        <w:ind w:firstLine="240" w:firstLineChars="100"/>
        <w:rPr>
          <w:rFonts w:hint="eastAsia" w:ascii="宋体" w:hAnsi="宋体" w:cs="宋体"/>
          <w:caps/>
          <w:color w:val="000000"/>
          <w:sz w:val="24"/>
        </w:rPr>
      </w:pPr>
    </w:p>
    <w:p w14:paraId="12F32FE6">
      <w:pPr>
        <w:shd w:val="clear" w:color="auto" w:fill="FFFFFF"/>
        <w:spacing w:line="360" w:lineRule="auto"/>
        <w:ind w:firstLine="240" w:firstLineChars="100"/>
        <w:rPr>
          <w:rFonts w:hint="eastAsia" w:ascii="宋体" w:hAnsi="宋体" w:cs="宋体"/>
          <w:caps/>
          <w:color w:val="000000"/>
          <w:sz w:val="24"/>
        </w:rPr>
      </w:pPr>
    </w:p>
    <w:p w14:paraId="7A6B3755">
      <w:pPr>
        <w:shd w:val="clear" w:color="auto" w:fill="FFFFFF"/>
        <w:spacing w:line="360" w:lineRule="auto"/>
        <w:ind w:firstLine="240" w:firstLineChars="100"/>
        <w:rPr>
          <w:rFonts w:hint="eastAsia" w:ascii="宋体" w:hAnsi="宋体" w:cs="宋体"/>
          <w:caps/>
          <w:color w:val="000000"/>
          <w:sz w:val="24"/>
        </w:rPr>
      </w:pPr>
    </w:p>
    <w:p w14:paraId="28E7D708">
      <w:pPr>
        <w:shd w:val="clear" w:color="auto" w:fill="FFFFFF"/>
        <w:spacing w:line="360" w:lineRule="auto"/>
        <w:ind w:firstLine="240" w:firstLineChars="100"/>
        <w:rPr>
          <w:rFonts w:hint="eastAsia" w:ascii="宋体" w:hAnsi="宋体" w:cs="宋体"/>
          <w:caps/>
          <w:color w:val="000000"/>
          <w:sz w:val="24"/>
        </w:rPr>
      </w:pPr>
    </w:p>
    <w:p w14:paraId="61012319">
      <w:pPr>
        <w:shd w:val="clear" w:color="auto" w:fill="FFFFFF"/>
        <w:spacing w:line="360" w:lineRule="auto"/>
        <w:ind w:firstLine="240" w:firstLineChars="100"/>
        <w:rPr>
          <w:rFonts w:hint="eastAsia" w:ascii="宋体" w:hAnsi="宋体" w:cs="宋体"/>
          <w:caps/>
          <w:color w:val="000000"/>
          <w:sz w:val="24"/>
        </w:rPr>
      </w:pPr>
    </w:p>
    <w:p w14:paraId="6F8FB896">
      <w:pPr>
        <w:shd w:val="clear" w:color="auto" w:fill="FFFFFF"/>
        <w:spacing w:line="360" w:lineRule="auto"/>
        <w:ind w:firstLine="240" w:firstLineChars="100"/>
        <w:rPr>
          <w:rFonts w:hint="eastAsia" w:ascii="宋体" w:hAnsi="宋体" w:cs="宋体"/>
          <w:caps/>
          <w:color w:val="000000"/>
          <w:sz w:val="24"/>
        </w:rPr>
      </w:pPr>
    </w:p>
    <w:p w14:paraId="1E45DCDA">
      <w:pPr>
        <w:shd w:val="clear" w:color="auto" w:fill="FFFFFF"/>
        <w:spacing w:line="360" w:lineRule="auto"/>
        <w:ind w:firstLine="240" w:firstLineChars="100"/>
        <w:rPr>
          <w:rFonts w:hint="eastAsia" w:ascii="宋体" w:hAnsi="宋体" w:cs="宋体"/>
          <w:caps/>
          <w:color w:val="000000"/>
          <w:sz w:val="24"/>
        </w:rPr>
      </w:pPr>
    </w:p>
    <w:p w14:paraId="1C21A660">
      <w:pPr>
        <w:shd w:val="clear" w:color="auto" w:fill="FFFFFF"/>
        <w:spacing w:line="360" w:lineRule="auto"/>
        <w:ind w:firstLine="240" w:firstLineChars="100"/>
        <w:rPr>
          <w:rFonts w:hint="eastAsia" w:ascii="宋体" w:hAnsi="宋体" w:cs="宋体"/>
          <w:caps/>
          <w:color w:val="000000"/>
          <w:sz w:val="24"/>
        </w:rPr>
      </w:pPr>
    </w:p>
    <w:p w14:paraId="4C4D3832">
      <w:pPr>
        <w:shd w:val="clear" w:color="auto" w:fill="FFFFFF"/>
        <w:spacing w:line="360" w:lineRule="auto"/>
        <w:ind w:firstLine="240" w:firstLineChars="100"/>
        <w:rPr>
          <w:rFonts w:hint="eastAsia" w:ascii="宋体" w:hAnsi="宋体" w:cs="宋体"/>
          <w:caps/>
          <w:color w:val="000000"/>
          <w:sz w:val="24"/>
        </w:rPr>
      </w:pPr>
    </w:p>
    <w:p w14:paraId="79C4A525">
      <w:pPr>
        <w:shd w:val="clear" w:color="auto" w:fill="FFFFFF"/>
        <w:spacing w:line="360" w:lineRule="auto"/>
        <w:ind w:firstLine="240" w:firstLineChars="100"/>
        <w:rPr>
          <w:rFonts w:hint="eastAsia" w:ascii="宋体" w:hAnsi="宋体" w:cs="宋体"/>
          <w:caps/>
          <w:color w:val="000000"/>
          <w:sz w:val="24"/>
        </w:rPr>
      </w:pPr>
    </w:p>
    <w:p w14:paraId="5B1F10B0">
      <w:pPr>
        <w:shd w:val="clear" w:color="auto" w:fill="FFFFFF"/>
        <w:spacing w:line="360" w:lineRule="auto"/>
        <w:ind w:firstLine="240" w:firstLineChars="100"/>
        <w:rPr>
          <w:rFonts w:hint="eastAsia" w:ascii="宋体" w:hAnsi="宋体" w:cs="宋体"/>
          <w:color w:val="000000"/>
          <w:sz w:val="24"/>
        </w:rPr>
      </w:pPr>
    </w:p>
    <w:p w14:paraId="3819CA0C">
      <w:pPr>
        <w:shd w:val="clear" w:color="auto" w:fill="FFFFFF"/>
        <w:spacing w:line="360" w:lineRule="auto"/>
        <w:ind w:firstLine="240" w:firstLineChars="100"/>
        <w:rPr>
          <w:rFonts w:hint="eastAsia" w:ascii="宋体" w:hAnsi="宋体" w:cs="宋体"/>
          <w:color w:val="000000"/>
          <w:sz w:val="24"/>
        </w:rPr>
      </w:pPr>
    </w:p>
    <w:p w14:paraId="394794B2">
      <w:pPr>
        <w:shd w:val="clear" w:color="auto" w:fill="FFFFFF"/>
        <w:spacing w:line="360" w:lineRule="auto"/>
        <w:ind w:firstLine="240" w:firstLineChars="100"/>
        <w:rPr>
          <w:rFonts w:hint="eastAsia" w:ascii="宋体" w:hAnsi="宋体" w:cs="宋体"/>
          <w:color w:val="000000"/>
          <w:sz w:val="24"/>
        </w:rPr>
      </w:pPr>
    </w:p>
    <w:p w14:paraId="6EC4F6E2">
      <w:pPr>
        <w:tabs>
          <w:tab w:val="left" w:pos="7665"/>
        </w:tabs>
        <w:ind w:firstLine="705" w:firstLineChars="196"/>
        <w:jc w:val="center"/>
        <w:outlineLvl w:val="1"/>
        <w:rPr>
          <w:sz w:val="36"/>
          <w:szCs w:val="36"/>
        </w:rPr>
      </w:pPr>
    </w:p>
    <w:p w14:paraId="1E1594BD">
      <w:pPr>
        <w:tabs>
          <w:tab w:val="left" w:pos="7665"/>
        </w:tabs>
        <w:ind w:firstLine="705" w:firstLineChars="196"/>
        <w:jc w:val="center"/>
        <w:outlineLvl w:val="1"/>
        <w:rPr>
          <w:sz w:val="36"/>
          <w:szCs w:val="36"/>
        </w:rPr>
      </w:pPr>
    </w:p>
    <w:p w14:paraId="3931D237">
      <w:pPr>
        <w:tabs>
          <w:tab w:val="left" w:pos="7665"/>
        </w:tabs>
        <w:ind w:firstLine="705" w:firstLineChars="196"/>
        <w:jc w:val="center"/>
        <w:outlineLvl w:val="1"/>
        <w:rPr>
          <w:rFonts w:eastAsia="仿宋_GB2312"/>
          <w:sz w:val="44"/>
          <w:szCs w:val="44"/>
        </w:rPr>
      </w:pPr>
      <w:r>
        <w:rPr>
          <w:sz w:val="36"/>
          <w:szCs w:val="36"/>
        </w:rPr>
        <w:t>第四章</w:t>
      </w:r>
      <w:r>
        <w:rPr>
          <w:rFonts w:hint="eastAsia"/>
          <w:sz w:val="36"/>
          <w:szCs w:val="36"/>
        </w:rPr>
        <w:t xml:space="preserve">  </w:t>
      </w:r>
      <w:r>
        <w:rPr>
          <w:sz w:val="36"/>
          <w:szCs w:val="36"/>
        </w:rPr>
        <w:t>合同书（格式）</w:t>
      </w:r>
    </w:p>
    <w:p w14:paraId="28B5DBF3">
      <w:pPr>
        <w:spacing w:line="440" w:lineRule="exact"/>
        <w:jc w:val="center"/>
        <w:rPr>
          <w:rFonts w:eastAsia="仿宋_GB2312"/>
          <w:b/>
          <w:sz w:val="44"/>
          <w:szCs w:val="44"/>
        </w:rPr>
      </w:pPr>
    </w:p>
    <w:p w14:paraId="087253E7">
      <w:pPr>
        <w:spacing w:line="300" w:lineRule="auto"/>
        <w:ind w:firstLine="480" w:firstLineChars="200"/>
        <w:rPr>
          <w:sz w:val="24"/>
        </w:rPr>
      </w:pPr>
      <w:r>
        <w:rPr>
          <w:sz w:val="24"/>
        </w:rPr>
        <w:t>根据《政府采购法》和《合同法》。采购人和供应商之间的权利和义务，应当按照平等的原则以合同方式约定。此合同书仅作为签订正式合同时的参考，正式合同书应包括本参考格式之内容。</w:t>
      </w:r>
    </w:p>
    <w:p w14:paraId="6F460A57">
      <w:pPr>
        <w:spacing w:line="300" w:lineRule="auto"/>
        <w:ind w:firstLine="539" w:firstLineChars="245"/>
        <w:rPr>
          <w:spacing w:val="-10"/>
          <w:sz w:val="24"/>
        </w:rPr>
      </w:pPr>
    </w:p>
    <w:p w14:paraId="7B2FE1E1">
      <w:pPr>
        <w:spacing w:line="500" w:lineRule="exact"/>
        <w:ind w:firstLine="540"/>
        <w:jc w:val="center"/>
        <w:rPr>
          <w:b/>
          <w:kern w:val="0"/>
          <w:sz w:val="36"/>
          <w:szCs w:val="36"/>
        </w:rPr>
      </w:pPr>
      <w:r>
        <w:rPr>
          <w:b/>
          <w:kern w:val="0"/>
          <w:sz w:val="36"/>
          <w:szCs w:val="36"/>
        </w:rPr>
        <w:t>合同书</w:t>
      </w:r>
    </w:p>
    <w:p w14:paraId="418EFDB4">
      <w:pPr>
        <w:autoSpaceDE w:val="0"/>
        <w:autoSpaceDN w:val="0"/>
        <w:adjustRightInd w:val="0"/>
        <w:spacing w:line="500" w:lineRule="exact"/>
        <w:ind w:firstLine="480" w:firstLineChars="200"/>
        <w:jc w:val="left"/>
        <w:rPr>
          <w:kern w:val="0"/>
          <w:sz w:val="24"/>
          <w:szCs w:val="20"/>
        </w:rPr>
      </w:pPr>
      <w:r>
        <w:rPr>
          <w:kern w:val="0"/>
          <w:sz w:val="24"/>
          <w:szCs w:val="20"/>
        </w:rPr>
        <w:t>项目名称：</w:t>
      </w:r>
    </w:p>
    <w:p w14:paraId="1C4B6EB5">
      <w:pPr>
        <w:autoSpaceDE w:val="0"/>
        <w:autoSpaceDN w:val="0"/>
        <w:adjustRightInd w:val="0"/>
        <w:spacing w:line="500" w:lineRule="exact"/>
        <w:ind w:firstLine="480" w:firstLineChars="200"/>
        <w:jc w:val="left"/>
        <w:rPr>
          <w:kern w:val="0"/>
          <w:sz w:val="24"/>
          <w:szCs w:val="20"/>
        </w:rPr>
      </w:pPr>
      <w:r>
        <w:rPr>
          <w:kern w:val="0"/>
          <w:sz w:val="24"/>
          <w:szCs w:val="20"/>
        </w:rPr>
        <w:t>合同编号：</w:t>
      </w:r>
    </w:p>
    <w:p w14:paraId="0F97B3B2">
      <w:pPr>
        <w:autoSpaceDE w:val="0"/>
        <w:autoSpaceDN w:val="0"/>
        <w:adjustRightInd w:val="0"/>
        <w:spacing w:line="500" w:lineRule="exact"/>
        <w:ind w:firstLine="480" w:firstLineChars="200"/>
        <w:jc w:val="left"/>
        <w:rPr>
          <w:kern w:val="0"/>
          <w:sz w:val="24"/>
          <w:szCs w:val="20"/>
        </w:rPr>
      </w:pPr>
      <w:r>
        <w:rPr>
          <w:kern w:val="0"/>
          <w:sz w:val="24"/>
          <w:szCs w:val="20"/>
        </w:rPr>
        <w:t>签订日期：</w:t>
      </w:r>
    </w:p>
    <w:p w14:paraId="37D63D98">
      <w:pPr>
        <w:autoSpaceDE w:val="0"/>
        <w:autoSpaceDN w:val="0"/>
        <w:adjustRightInd w:val="0"/>
        <w:spacing w:line="500" w:lineRule="exact"/>
        <w:ind w:firstLine="480" w:firstLineChars="200"/>
        <w:rPr>
          <w:kern w:val="0"/>
          <w:sz w:val="24"/>
          <w:szCs w:val="20"/>
        </w:rPr>
      </w:pPr>
      <w:r>
        <w:rPr>
          <w:kern w:val="0"/>
          <w:sz w:val="24"/>
          <w:szCs w:val="20"/>
        </w:rPr>
        <w:t>签订合同地点：</w:t>
      </w:r>
    </w:p>
    <w:p w14:paraId="135062FD">
      <w:pPr>
        <w:spacing w:line="500" w:lineRule="exact"/>
        <w:ind w:firstLine="480" w:firstLineChars="200"/>
        <w:rPr>
          <w:sz w:val="24"/>
          <w:szCs w:val="20"/>
        </w:rPr>
      </w:pPr>
      <w:r>
        <w:rPr>
          <w:sz w:val="24"/>
          <w:szCs w:val="20"/>
        </w:rPr>
        <w:t>本合同由（以下简称“需方”）与（以下简称“供方”）签订。</w:t>
      </w:r>
    </w:p>
    <w:p w14:paraId="55DD63CB">
      <w:pPr>
        <w:autoSpaceDE w:val="0"/>
        <w:autoSpaceDN w:val="0"/>
        <w:adjustRightInd w:val="0"/>
        <w:spacing w:line="500" w:lineRule="exact"/>
        <w:ind w:firstLine="480" w:firstLineChars="200"/>
        <w:rPr>
          <w:kern w:val="0"/>
          <w:sz w:val="24"/>
          <w:szCs w:val="20"/>
        </w:rPr>
      </w:pPr>
      <w:r>
        <w:rPr>
          <w:kern w:val="0"/>
          <w:sz w:val="24"/>
          <w:szCs w:val="20"/>
        </w:rPr>
        <w:t>供方以总金额万元人民币（用大写数字书写）向需方提供如下货物（服务）：</w:t>
      </w:r>
    </w:p>
    <w:p w14:paraId="5EF37443">
      <w:pPr>
        <w:autoSpaceDE w:val="0"/>
        <w:autoSpaceDN w:val="0"/>
        <w:adjustRightInd w:val="0"/>
        <w:spacing w:line="500" w:lineRule="exact"/>
        <w:ind w:firstLine="470" w:firstLineChars="196"/>
        <w:rPr>
          <w:rFonts w:hint="eastAsia" w:ascii="宋体" w:hAnsi="宋体"/>
          <w:kern w:val="0"/>
          <w:sz w:val="24"/>
          <w:szCs w:val="20"/>
        </w:rPr>
      </w:pPr>
      <w:r>
        <w:rPr>
          <w:rFonts w:ascii="宋体" w:hAnsi="宋体"/>
          <w:kern w:val="0"/>
          <w:sz w:val="24"/>
          <w:szCs w:val="20"/>
        </w:rPr>
        <w:t>经双方协商，同意按下列条文执行：</w:t>
      </w:r>
    </w:p>
    <w:p w14:paraId="7A1BA690">
      <w:pPr>
        <w:autoSpaceDE w:val="0"/>
        <w:autoSpaceDN w:val="0"/>
        <w:adjustRightInd w:val="0"/>
        <w:spacing w:line="500" w:lineRule="exact"/>
        <w:ind w:firstLine="470" w:firstLineChars="196"/>
        <w:rPr>
          <w:kern w:val="0"/>
          <w:sz w:val="24"/>
          <w:szCs w:val="20"/>
        </w:rPr>
      </w:pPr>
      <w:r>
        <w:rPr>
          <w:kern w:val="0"/>
          <w:sz w:val="24"/>
          <w:szCs w:val="20"/>
        </w:rPr>
        <w:t>1.本合同供、需双方必须遵守国家颁布的《中华人民共和国合同法》、《中华人民共和国政府采购法》，并各自履行应负的全部责任和义务。</w:t>
      </w:r>
    </w:p>
    <w:p w14:paraId="7E752A83">
      <w:pPr>
        <w:autoSpaceDE w:val="0"/>
        <w:autoSpaceDN w:val="0"/>
        <w:adjustRightInd w:val="0"/>
        <w:spacing w:line="500" w:lineRule="exact"/>
        <w:ind w:firstLine="470" w:firstLineChars="196"/>
        <w:rPr>
          <w:kern w:val="0"/>
          <w:sz w:val="24"/>
          <w:szCs w:val="20"/>
        </w:rPr>
      </w:pPr>
      <w:r>
        <w:rPr>
          <w:kern w:val="0"/>
          <w:sz w:val="24"/>
          <w:szCs w:val="20"/>
        </w:rPr>
        <w:t>2.需方保证按合同条款规定的时间和方式付给供方到期应付的金额，并承担应负的责任和义务。</w:t>
      </w:r>
    </w:p>
    <w:p w14:paraId="647CD782">
      <w:pPr>
        <w:autoSpaceDE w:val="0"/>
        <w:autoSpaceDN w:val="0"/>
        <w:adjustRightInd w:val="0"/>
        <w:spacing w:line="500" w:lineRule="exact"/>
        <w:ind w:firstLine="470" w:firstLineChars="196"/>
        <w:rPr>
          <w:kern w:val="0"/>
          <w:sz w:val="24"/>
          <w:szCs w:val="20"/>
        </w:rPr>
      </w:pPr>
      <w:r>
        <w:rPr>
          <w:kern w:val="0"/>
          <w:sz w:val="24"/>
          <w:szCs w:val="20"/>
        </w:rPr>
        <w:t>3.供方保证全部按合同条款规定的内容和实施周期向需方提供合格的货物（服务），并承担应负的责任和义务。</w:t>
      </w:r>
    </w:p>
    <w:p w14:paraId="4D5887F3">
      <w:pPr>
        <w:autoSpaceDE w:val="0"/>
        <w:autoSpaceDN w:val="0"/>
        <w:adjustRightInd w:val="0"/>
        <w:spacing w:line="500" w:lineRule="exact"/>
        <w:ind w:firstLine="470" w:firstLineChars="196"/>
        <w:jc w:val="left"/>
        <w:rPr>
          <w:kern w:val="0"/>
          <w:sz w:val="24"/>
          <w:szCs w:val="20"/>
        </w:rPr>
      </w:pPr>
      <w:r>
        <w:rPr>
          <w:kern w:val="0"/>
          <w:sz w:val="24"/>
          <w:szCs w:val="20"/>
        </w:rPr>
        <w:t>4.合同文件</w:t>
      </w:r>
    </w:p>
    <w:p w14:paraId="5E40B7FB">
      <w:pPr>
        <w:autoSpaceDE w:val="0"/>
        <w:autoSpaceDN w:val="0"/>
        <w:adjustRightInd w:val="0"/>
        <w:spacing w:line="500" w:lineRule="exact"/>
        <w:ind w:firstLine="480" w:firstLineChars="200"/>
        <w:jc w:val="left"/>
        <w:rPr>
          <w:kern w:val="0"/>
          <w:sz w:val="24"/>
          <w:szCs w:val="20"/>
        </w:rPr>
      </w:pPr>
      <w:r>
        <w:rPr>
          <w:kern w:val="0"/>
          <w:sz w:val="24"/>
          <w:szCs w:val="20"/>
        </w:rPr>
        <w:t>下列文件为本合同不可分割的部分：</w:t>
      </w:r>
    </w:p>
    <w:p w14:paraId="4E28EC33">
      <w:pPr>
        <w:autoSpaceDE w:val="0"/>
        <w:autoSpaceDN w:val="0"/>
        <w:adjustRightInd w:val="0"/>
        <w:spacing w:line="500" w:lineRule="exact"/>
        <w:ind w:firstLine="480" w:firstLineChars="200"/>
        <w:jc w:val="left"/>
        <w:rPr>
          <w:kern w:val="0"/>
          <w:sz w:val="24"/>
          <w:szCs w:val="20"/>
        </w:rPr>
      </w:pPr>
      <w:r>
        <w:rPr>
          <w:kern w:val="0"/>
          <w:sz w:val="24"/>
          <w:szCs w:val="20"/>
        </w:rPr>
        <w:t>4.1谈判文件(编号：　　　　)；</w:t>
      </w:r>
    </w:p>
    <w:p w14:paraId="09D94F07">
      <w:pPr>
        <w:autoSpaceDE w:val="0"/>
        <w:autoSpaceDN w:val="0"/>
        <w:adjustRightInd w:val="0"/>
        <w:spacing w:line="500" w:lineRule="exact"/>
        <w:ind w:firstLine="480" w:firstLineChars="200"/>
        <w:jc w:val="left"/>
        <w:rPr>
          <w:kern w:val="0"/>
          <w:sz w:val="24"/>
          <w:szCs w:val="20"/>
        </w:rPr>
      </w:pPr>
      <w:r>
        <w:rPr>
          <w:kern w:val="0"/>
          <w:sz w:val="24"/>
          <w:szCs w:val="20"/>
        </w:rPr>
        <w:t>4.2供方成交的响应文件（副本）；</w:t>
      </w:r>
    </w:p>
    <w:p w14:paraId="26A482E9">
      <w:pPr>
        <w:autoSpaceDE w:val="0"/>
        <w:autoSpaceDN w:val="0"/>
        <w:adjustRightInd w:val="0"/>
        <w:spacing w:line="500" w:lineRule="exact"/>
        <w:ind w:firstLine="480" w:firstLineChars="200"/>
        <w:jc w:val="left"/>
        <w:rPr>
          <w:kern w:val="0"/>
          <w:sz w:val="24"/>
          <w:szCs w:val="20"/>
        </w:rPr>
      </w:pPr>
      <w:r>
        <w:rPr>
          <w:kern w:val="0"/>
          <w:sz w:val="24"/>
          <w:szCs w:val="20"/>
        </w:rPr>
        <w:t>4.3合同书；</w:t>
      </w:r>
    </w:p>
    <w:p w14:paraId="4788E482">
      <w:pPr>
        <w:autoSpaceDE w:val="0"/>
        <w:autoSpaceDN w:val="0"/>
        <w:adjustRightInd w:val="0"/>
        <w:spacing w:line="500" w:lineRule="exact"/>
        <w:ind w:firstLine="480" w:firstLineChars="200"/>
        <w:rPr>
          <w:kern w:val="0"/>
          <w:sz w:val="24"/>
          <w:szCs w:val="20"/>
        </w:rPr>
      </w:pPr>
      <w:r>
        <w:rPr>
          <w:kern w:val="0"/>
          <w:sz w:val="24"/>
          <w:szCs w:val="20"/>
        </w:rPr>
        <w:t>4.4合同条款；</w:t>
      </w:r>
    </w:p>
    <w:p w14:paraId="3D0C1666">
      <w:pPr>
        <w:autoSpaceDE w:val="0"/>
        <w:autoSpaceDN w:val="0"/>
        <w:adjustRightInd w:val="0"/>
        <w:spacing w:line="500" w:lineRule="exact"/>
        <w:ind w:firstLine="480" w:firstLineChars="200"/>
        <w:rPr>
          <w:kern w:val="0"/>
          <w:sz w:val="24"/>
          <w:szCs w:val="20"/>
        </w:rPr>
      </w:pPr>
      <w:r>
        <w:rPr>
          <w:kern w:val="0"/>
          <w:sz w:val="24"/>
          <w:szCs w:val="20"/>
        </w:rPr>
        <w:t>4.5</w:t>
      </w:r>
      <w:r>
        <w:rPr>
          <w:rFonts w:hint="eastAsia"/>
          <w:kern w:val="0"/>
          <w:sz w:val="24"/>
          <w:szCs w:val="20"/>
        </w:rPr>
        <w:t>（集中采购机构名称）</w:t>
      </w:r>
      <w:r>
        <w:rPr>
          <w:kern w:val="0"/>
          <w:sz w:val="24"/>
          <w:szCs w:val="20"/>
        </w:rPr>
        <w:t>发出的成交通知书；</w:t>
      </w:r>
    </w:p>
    <w:p w14:paraId="6F20B1D3">
      <w:pPr>
        <w:autoSpaceDE w:val="0"/>
        <w:autoSpaceDN w:val="0"/>
        <w:adjustRightInd w:val="0"/>
        <w:spacing w:line="500" w:lineRule="exact"/>
        <w:ind w:firstLine="480" w:firstLineChars="200"/>
        <w:rPr>
          <w:kern w:val="0"/>
          <w:sz w:val="24"/>
          <w:szCs w:val="20"/>
        </w:rPr>
      </w:pPr>
      <w:r>
        <w:rPr>
          <w:kern w:val="0"/>
          <w:sz w:val="24"/>
          <w:szCs w:val="20"/>
        </w:rPr>
        <w:t>4.6在商洽本合同时，双方澄清、确认并共同签字的补充文件、技术协议。</w:t>
      </w:r>
    </w:p>
    <w:p w14:paraId="79FDEF6F">
      <w:pPr>
        <w:autoSpaceDE w:val="0"/>
        <w:autoSpaceDN w:val="0"/>
        <w:adjustRightInd w:val="0"/>
        <w:spacing w:line="500" w:lineRule="exact"/>
        <w:ind w:firstLine="480" w:firstLineChars="200"/>
        <w:jc w:val="left"/>
        <w:rPr>
          <w:kern w:val="0"/>
          <w:sz w:val="24"/>
          <w:szCs w:val="20"/>
        </w:rPr>
      </w:pPr>
      <w:r>
        <w:rPr>
          <w:kern w:val="0"/>
          <w:sz w:val="24"/>
          <w:szCs w:val="20"/>
        </w:rPr>
        <w:t>5.合同范围和条件</w:t>
      </w:r>
    </w:p>
    <w:p w14:paraId="3A038A6D">
      <w:pPr>
        <w:autoSpaceDE w:val="0"/>
        <w:autoSpaceDN w:val="0"/>
        <w:adjustRightInd w:val="0"/>
        <w:spacing w:line="500" w:lineRule="exact"/>
        <w:ind w:firstLine="480" w:firstLineChars="200"/>
        <w:jc w:val="left"/>
        <w:rPr>
          <w:kern w:val="0"/>
          <w:sz w:val="24"/>
          <w:szCs w:val="20"/>
        </w:rPr>
      </w:pPr>
      <w:r>
        <w:rPr>
          <w:kern w:val="0"/>
          <w:sz w:val="24"/>
          <w:szCs w:val="20"/>
        </w:rPr>
        <w:t>本合同的范围和条件应与上述规定的合同文件内容相一致。</w:t>
      </w:r>
    </w:p>
    <w:p w14:paraId="018EA206">
      <w:pPr>
        <w:autoSpaceDE w:val="0"/>
        <w:autoSpaceDN w:val="0"/>
        <w:adjustRightInd w:val="0"/>
        <w:spacing w:line="500" w:lineRule="exact"/>
        <w:ind w:firstLine="480" w:firstLineChars="200"/>
        <w:rPr>
          <w:kern w:val="0"/>
          <w:sz w:val="24"/>
          <w:szCs w:val="20"/>
        </w:rPr>
      </w:pPr>
      <w:r>
        <w:rPr>
          <w:kern w:val="0"/>
          <w:sz w:val="24"/>
          <w:szCs w:val="20"/>
        </w:rPr>
        <w:t>6.货物（服务）及数量</w:t>
      </w:r>
    </w:p>
    <w:p w14:paraId="7E9C4AAB">
      <w:pPr>
        <w:spacing w:line="500" w:lineRule="exact"/>
        <w:ind w:firstLine="480" w:firstLineChars="200"/>
        <w:rPr>
          <w:kern w:val="0"/>
          <w:sz w:val="24"/>
          <w:szCs w:val="20"/>
        </w:rPr>
      </w:pPr>
      <w:r>
        <w:rPr>
          <w:kern w:val="0"/>
          <w:sz w:val="24"/>
          <w:szCs w:val="20"/>
        </w:rPr>
        <w:t>本合同所提供的货物（服务）及数量详见谈判文件的要求及供方响应文件中的承诺。</w:t>
      </w:r>
    </w:p>
    <w:p w14:paraId="158EAA59">
      <w:pPr>
        <w:autoSpaceDE w:val="0"/>
        <w:autoSpaceDN w:val="0"/>
        <w:adjustRightInd w:val="0"/>
        <w:spacing w:line="500" w:lineRule="exact"/>
        <w:ind w:firstLine="480" w:firstLineChars="200"/>
        <w:rPr>
          <w:kern w:val="0"/>
          <w:sz w:val="24"/>
          <w:szCs w:val="20"/>
        </w:rPr>
      </w:pPr>
      <w:r>
        <w:rPr>
          <w:kern w:val="0"/>
          <w:sz w:val="24"/>
          <w:szCs w:val="20"/>
        </w:rPr>
        <w:t>7.付款方式</w:t>
      </w:r>
    </w:p>
    <w:p w14:paraId="06AA2293">
      <w:pPr>
        <w:autoSpaceDE w:val="0"/>
        <w:autoSpaceDN w:val="0"/>
        <w:adjustRightInd w:val="0"/>
        <w:spacing w:line="500" w:lineRule="exact"/>
        <w:ind w:firstLine="480" w:firstLineChars="200"/>
        <w:rPr>
          <w:kern w:val="0"/>
          <w:sz w:val="24"/>
          <w:szCs w:val="20"/>
        </w:rPr>
      </w:pPr>
      <w:r>
        <w:rPr>
          <w:kern w:val="0"/>
          <w:sz w:val="24"/>
          <w:szCs w:val="20"/>
        </w:rPr>
        <w:t>本合同的付款条件在谈判文件中有明确规定。</w:t>
      </w:r>
    </w:p>
    <w:p w14:paraId="4D5C3003">
      <w:pPr>
        <w:autoSpaceDE w:val="0"/>
        <w:autoSpaceDN w:val="0"/>
        <w:adjustRightInd w:val="0"/>
        <w:spacing w:line="500" w:lineRule="exact"/>
        <w:ind w:firstLine="480" w:firstLineChars="200"/>
        <w:rPr>
          <w:kern w:val="0"/>
          <w:sz w:val="24"/>
          <w:szCs w:val="20"/>
        </w:rPr>
      </w:pPr>
      <w:r>
        <w:rPr>
          <w:kern w:val="0"/>
          <w:sz w:val="24"/>
          <w:szCs w:val="20"/>
        </w:rPr>
        <w:t>8.合同金额</w:t>
      </w:r>
    </w:p>
    <w:p w14:paraId="615D8D49">
      <w:pPr>
        <w:autoSpaceDE w:val="0"/>
        <w:autoSpaceDN w:val="0"/>
        <w:adjustRightInd w:val="0"/>
        <w:spacing w:line="500" w:lineRule="exact"/>
        <w:ind w:firstLine="480" w:firstLineChars="200"/>
        <w:rPr>
          <w:kern w:val="0"/>
          <w:sz w:val="24"/>
          <w:szCs w:val="20"/>
        </w:rPr>
      </w:pPr>
      <w:r>
        <w:rPr>
          <w:kern w:val="0"/>
          <w:sz w:val="24"/>
          <w:szCs w:val="20"/>
        </w:rPr>
        <w:t>合同总金额：人民币</w:t>
      </w:r>
    </w:p>
    <w:p w14:paraId="64E198B6">
      <w:pPr>
        <w:autoSpaceDE w:val="0"/>
        <w:autoSpaceDN w:val="0"/>
        <w:adjustRightInd w:val="0"/>
        <w:spacing w:line="500" w:lineRule="exact"/>
        <w:ind w:firstLine="480" w:firstLineChars="200"/>
        <w:jc w:val="left"/>
        <w:rPr>
          <w:kern w:val="0"/>
          <w:sz w:val="24"/>
          <w:szCs w:val="20"/>
        </w:rPr>
      </w:pPr>
      <w:r>
        <w:rPr>
          <w:kern w:val="0"/>
          <w:sz w:val="24"/>
          <w:szCs w:val="20"/>
        </w:rPr>
        <w:t>9.实施时间和地点</w:t>
      </w:r>
    </w:p>
    <w:p w14:paraId="21F8A59B">
      <w:pPr>
        <w:autoSpaceDE w:val="0"/>
        <w:autoSpaceDN w:val="0"/>
        <w:adjustRightInd w:val="0"/>
        <w:spacing w:line="500" w:lineRule="exact"/>
        <w:ind w:firstLine="480" w:firstLineChars="200"/>
        <w:rPr>
          <w:kern w:val="0"/>
          <w:sz w:val="24"/>
          <w:szCs w:val="20"/>
        </w:rPr>
      </w:pPr>
      <w:r>
        <w:rPr>
          <w:kern w:val="0"/>
          <w:sz w:val="24"/>
          <w:szCs w:val="20"/>
        </w:rPr>
        <w:t>本合同中货物（服务）的实施时间、地点在谈判文件中有明确规定。</w:t>
      </w:r>
    </w:p>
    <w:p w14:paraId="1D250E06">
      <w:pPr>
        <w:autoSpaceDE w:val="0"/>
        <w:autoSpaceDN w:val="0"/>
        <w:adjustRightInd w:val="0"/>
        <w:spacing w:line="500" w:lineRule="exact"/>
        <w:ind w:firstLine="480" w:firstLineChars="200"/>
        <w:rPr>
          <w:kern w:val="0"/>
          <w:sz w:val="24"/>
          <w:szCs w:val="20"/>
        </w:rPr>
      </w:pPr>
      <w:r>
        <w:rPr>
          <w:kern w:val="0"/>
          <w:sz w:val="24"/>
          <w:szCs w:val="20"/>
        </w:rPr>
        <w:t>10.合同生效</w:t>
      </w:r>
    </w:p>
    <w:p w14:paraId="4CCAB66C">
      <w:pPr>
        <w:autoSpaceDE w:val="0"/>
        <w:autoSpaceDN w:val="0"/>
        <w:adjustRightInd w:val="0"/>
        <w:spacing w:line="500" w:lineRule="exact"/>
        <w:ind w:firstLine="480" w:firstLineChars="200"/>
        <w:rPr>
          <w:kern w:val="0"/>
          <w:sz w:val="24"/>
          <w:szCs w:val="20"/>
        </w:rPr>
      </w:pPr>
      <w:r>
        <w:rPr>
          <w:kern w:val="0"/>
          <w:sz w:val="24"/>
          <w:szCs w:val="20"/>
        </w:rPr>
        <w:t>本合同经供、需双方授权代表签字和加盖公章（或合同专用章）后生效。</w:t>
      </w:r>
    </w:p>
    <w:p w14:paraId="23501826">
      <w:pPr>
        <w:autoSpaceDE w:val="0"/>
        <w:autoSpaceDN w:val="0"/>
        <w:adjustRightInd w:val="0"/>
        <w:spacing w:line="500" w:lineRule="exact"/>
        <w:ind w:firstLine="480" w:firstLineChars="200"/>
        <w:jc w:val="left"/>
        <w:rPr>
          <w:kern w:val="0"/>
          <w:sz w:val="24"/>
          <w:szCs w:val="20"/>
        </w:rPr>
      </w:pPr>
      <w:r>
        <w:rPr>
          <w:kern w:val="0"/>
          <w:sz w:val="24"/>
          <w:szCs w:val="20"/>
        </w:rPr>
        <w:t>11.合同的份数</w:t>
      </w:r>
    </w:p>
    <w:p w14:paraId="1233B891">
      <w:pPr>
        <w:autoSpaceDE w:val="0"/>
        <w:autoSpaceDN w:val="0"/>
        <w:adjustRightInd w:val="0"/>
        <w:spacing w:line="500" w:lineRule="exact"/>
        <w:ind w:firstLine="480" w:firstLineChars="200"/>
        <w:jc w:val="left"/>
        <w:rPr>
          <w:kern w:val="0"/>
          <w:sz w:val="24"/>
          <w:szCs w:val="20"/>
        </w:rPr>
      </w:pPr>
      <w:r>
        <w:rPr>
          <w:kern w:val="0"/>
          <w:sz w:val="24"/>
          <w:szCs w:val="20"/>
        </w:rPr>
        <w:t>本合同正本一式　　份，需方执　　份，供方执　　份；副本一式　　份，需方执　　份，供方执　　份，湖北省财政厅政府采购管理处壹份备案。</w:t>
      </w:r>
    </w:p>
    <w:p w14:paraId="02E15735">
      <w:pPr>
        <w:tabs>
          <w:tab w:val="left" w:pos="4860"/>
        </w:tabs>
        <w:autoSpaceDE w:val="0"/>
        <w:autoSpaceDN w:val="0"/>
        <w:adjustRightInd w:val="0"/>
        <w:spacing w:line="500" w:lineRule="exact"/>
        <w:ind w:firstLine="480" w:firstLineChars="200"/>
        <w:jc w:val="left"/>
        <w:rPr>
          <w:kern w:val="0"/>
          <w:sz w:val="24"/>
          <w:szCs w:val="20"/>
        </w:rPr>
      </w:pPr>
    </w:p>
    <w:p w14:paraId="37D0C5B7">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需　　方：</w:t>
      </w:r>
      <w:r>
        <w:rPr>
          <w:kern w:val="0"/>
          <w:sz w:val="24"/>
          <w:szCs w:val="20"/>
        </w:rPr>
        <w:tab/>
      </w:r>
      <w:r>
        <w:rPr>
          <w:kern w:val="0"/>
          <w:sz w:val="24"/>
          <w:szCs w:val="20"/>
        </w:rPr>
        <w:t>供　　方：</w:t>
      </w:r>
    </w:p>
    <w:p w14:paraId="566E59BD">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单位名称（盖章）：</w:t>
      </w:r>
      <w:r>
        <w:rPr>
          <w:kern w:val="0"/>
          <w:sz w:val="24"/>
          <w:szCs w:val="20"/>
        </w:rPr>
        <w:tab/>
      </w:r>
      <w:r>
        <w:rPr>
          <w:kern w:val="0"/>
          <w:sz w:val="24"/>
          <w:szCs w:val="20"/>
        </w:rPr>
        <w:t>单位名称（盖章）：</w:t>
      </w:r>
    </w:p>
    <w:p w14:paraId="6AD55600">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单位地址：</w:t>
      </w:r>
      <w:r>
        <w:rPr>
          <w:kern w:val="0"/>
          <w:sz w:val="24"/>
          <w:szCs w:val="20"/>
        </w:rPr>
        <w:tab/>
      </w:r>
      <w:r>
        <w:rPr>
          <w:kern w:val="0"/>
          <w:sz w:val="24"/>
          <w:szCs w:val="20"/>
        </w:rPr>
        <w:t>单位地址：</w:t>
      </w:r>
    </w:p>
    <w:p w14:paraId="274A8723">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法人</w:t>
      </w:r>
      <w:r>
        <w:rPr>
          <w:rFonts w:hint="eastAsia"/>
          <w:kern w:val="0"/>
          <w:sz w:val="24"/>
          <w:szCs w:val="20"/>
        </w:rPr>
        <w:t>（负责人）</w:t>
      </w:r>
      <w:r>
        <w:rPr>
          <w:kern w:val="0"/>
          <w:sz w:val="24"/>
          <w:szCs w:val="20"/>
        </w:rPr>
        <w:t>代表授权人(签字)：</w:t>
      </w:r>
      <w:r>
        <w:rPr>
          <w:kern w:val="0"/>
          <w:sz w:val="24"/>
          <w:szCs w:val="20"/>
        </w:rPr>
        <w:tab/>
      </w:r>
      <w:r>
        <w:rPr>
          <w:kern w:val="0"/>
          <w:sz w:val="24"/>
          <w:szCs w:val="20"/>
        </w:rPr>
        <w:t>法人</w:t>
      </w:r>
      <w:r>
        <w:rPr>
          <w:rFonts w:hint="eastAsia"/>
          <w:kern w:val="0"/>
          <w:sz w:val="24"/>
          <w:szCs w:val="20"/>
        </w:rPr>
        <w:t>（负责人）</w:t>
      </w:r>
      <w:r>
        <w:rPr>
          <w:kern w:val="0"/>
          <w:sz w:val="24"/>
          <w:szCs w:val="20"/>
        </w:rPr>
        <w:t>代表授权人(签字)：</w:t>
      </w:r>
    </w:p>
    <w:p w14:paraId="049C31D7">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联系人：</w:t>
      </w:r>
      <w:r>
        <w:rPr>
          <w:kern w:val="0"/>
          <w:sz w:val="24"/>
          <w:szCs w:val="20"/>
        </w:rPr>
        <w:tab/>
      </w:r>
      <w:r>
        <w:rPr>
          <w:kern w:val="0"/>
          <w:sz w:val="24"/>
          <w:szCs w:val="20"/>
        </w:rPr>
        <w:t>联系人：</w:t>
      </w:r>
    </w:p>
    <w:p w14:paraId="5987C098">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电　　话：</w:t>
      </w:r>
      <w:r>
        <w:rPr>
          <w:kern w:val="0"/>
          <w:sz w:val="24"/>
          <w:szCs w:val="20"/>
        </w:rPr>
        <w:tab/>
      </w:r>
      <w:r>
        <w:rPr>
          <w:kern w:val="0"/>
          <w:sz w:val="24"/>
          <w:szCs w:val="20"/>
        </w:rPr>
        <w:t>电　　话：</w:t>
      </w:r>
    </w:p>
    <w:p w14:paraId="176002BA">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传　　真：</w:t>
      </w:r>
      <w:r>
        <w:rPr>
          <w:kern w:val="0"/>
          <w:sz w:val="24"/>
          <w:szCs w:val="20"/>
        </w:rPr>
        <w:tab/>
      </w:r>
      <w:r>
        <w:rPr>
          <w:kern w:val="0"/>
          <w:sz w:val="24"/>
          <w:szCs w:val="20"/>
        </w:rPr>
        <w:t>传　　真：</w:t>
      </w:r>
    </w:p>
    <w:p w14:paraId="555BDF68">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邮政编码：</w:t>
      </w:r>
      <w:r>
        <w:rPr>
          <w:kern w:val="0"/>
          <w:sz w:val="24"/>
          <w:szCs w:val="20"/>
        </w:rPr>
        <w:tab/>
      </w:r>
      <w:r>
        <w:rPr>
          <w:kern w:val="0"/>
          <w:sz w:val="24"/>
          <w:szCs w:val="20"/>
        </w:rPr>
        <w:t>邮政编码：</w:t>
      </w:r>
    </w:p>
    <w:p w14:paraId="6668365A">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开户银行：</w:t>
      </w:r>
      <w:r>
        <w:rPr>
          <w:kern w:val="0"/>
          <w:sz w:val="24"/>
          <w:szCs w:val="20"/>
        </w:rPr>
        <w:tab/>
      </w:r>
      <w:r>
        <w:rPr>
          <w:kern w:val="0"/>
          <w:sz w:val="24"/>
          <w:szCs w:val="20"/>
        </w:rPr>
        <w:t>开户银行：</w:t>
      </w:r>
    </w:p>
    <w:p w14:paraId="0784F432">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帐　　号：</w:t>
      </w:r>
      <w:r>
        <w:rPr>
          <w:kern w:val="0"/>
          <w:sz w:val="24"/>
          <w:szCs w:val="20"/>
        </w:rPr>
        <w:tab/>
      </w:r>
      <w:r>
        <w:rPr>
          <w:kern w:val="0"/>
          <w:sz w:val="24"/>
          <w:szCs w:val="20"/>
        </w:rPr>
        <w:t>帐　　号：</w:t>
      </w:r>
    </w:p>
    <w:p w14:paraId="64262B83">
      <w:pPr>
        <w:spacing w:line="440" w:lineRule="exact"/>
        <w:ind w:left="3" w:leftChars="1" w:firstLine="120" w:firstLineChars="50"/>
        <w:jc w:val="left"/>
        <w:rPr>
          <w:sz w:val="36"/>
          <w:szCs w:val="36"/>
        </w:rPr>
      </w:pPr>
      <w:r>
        <w:rPr>
          <w:kern w:val="0"/>
          <w:sz w:val="24"/>
          <w:szCs w:val="20"/>
        </w:rPr>
        <w:tab/>
      </w:r>
      <w:r>
        <w:rPr>
          <w:kern w:val="0"/>
          <w:sz w:val="24"/>
          <w:szCs w:val="20"/>
        </w:rPr>
        <w:t>税　　号：</w:t>
      </w:r>
      <w:r>
        <w:rPr>
          <w:rFonts w:hint="eastAsia"/>
          <w:kern w:val="0"/>
          <w:sz w:val="24"/>
          <w:szCs w:val="20"/>
        </w:rPr>
        <w:t xml:space="preserve">                           </w:t>
      </w:r>
      <w:r>
        <w:rPr>
          <w:kern w:val="0"/>
          <w:sz w:val="24"/>
          <w:szCs w:val="20"/>
        </w:rPr>
        <w:t>税　　号：</w:t>
      </w:r>
    </w:p>
    <w:p w14:paraId="465C85CA">
      <w:pPr>
        <w:adjustRightInd w:val="0"/>
        <w:snapToGrid w:val="0"/>
        <w:jc w:val="center"/>
        <w:outlineLvl w:val="0"/>
        <w:rPr>
          <w:sz w:val="36"/>
          <w:szCs w:val="36"/>
        </w:rPr>
      </w:pPr>
      <w:r>
        <w:rPr>
          <w:sz w:val="36"/>
          <w:szCs w:val="36"/>
        </w:rPr>
        <w:t>第五章</w:t>
      </w:r>
      <w:r>
        <w:rPr>
          <w:rFonts w:hint="eastAsia"/>
          <w:sz w:val="36"/>
          <w:szCs w:val="36"/>
        </w:rPr>
        <w:t xml:space="preserve">  </w:t>
      </w:r>
      <w:r>
        <w:rPr>
          <w:sz w:val="36"/>
          <w:szCs w:val="36"/>
        </w:rPr>
        <w:t>响应文件格式</w:t>
      </w:r>
    </w:p>
    <w:p w14:paraId="527B04F1">
      <w:pPr>
        <w:adjustRightInd w:val="0"/>
        <w:snapToGrid w:val="0"/>
        <w:jc w:val="center"/>
        <w:outlineLvl w:val="0"/>
        <w:rPr>
          <w:b/>
          <w:sz w:val="18"/>
          <w:szCs w:val="18"/>
        </w:rPr>
      </w:pPr>
    </w:p>
    <w:p w14:paraId="279C09DD">
      <w:pPr>
        <w:adjustRightInd w:val="0"/>
        <w:snapToGrid w:val="0"/>
        <w:outlineLvl w:val="0"/>
        <w:rPr>
          <w:szCs w:val="28"/>
        </w:rPr>
      </w:pPr>
      <w:r>
        <w:rPr>
          <w:szCs w:val="28"/>
        </w:rPr>
        <w:t>封面：</w:t>
      </w:r>
    </w:p>
    <w:p w14:paraId="5F9583C8">
      <w:pPr>
        <w:pStyle w:val="18"/>
        <w:tabs>
          <w:tab w:val="left" w:pos="1260"/>
        </w:tabs>
        <w:jc w:val="center"/>
        <w:rPr>
          <w:rFonts w:ascii="Times New Roman" w:hAnsi="Times New Roman" w:cs="Times New Roman"/>
          <w:bCs/>
          <w:spacing w:val="100"/>
          <w:w w:val="110"/>
          <w:kern w:val="0"/>
          <w:sz w:val="52"/>
          <w:szCs w:val="52"/>
        </w:rPr>
      </w:pPr>
    </w:p>
    <w:p w14:paraId="37D6A70D">
      <w:pPr>
        <w:pStyle w:val="18"/>
        <w:tabs>
          <w:tab w:val="left" w:pos="1260"/>
        </w:tabs>
        <w:jc w:val="center"/>
        <w:rPr>
          <w:rFonts w:ascii="Times New Roman" w:hAnsi="Times New Roman" w:cs="Times New Roman"/>
          <w:spacing w:val="100"/>
          <w:w w:val="110"/>
          <w:sz w:val="100"/>
          <w:szCs w:val="100"/>
        </w:rPr>
      </w:pPr>
      <w:r>
        <w:rPr>
          <w:rFonts w:ascii="Times New Roman" w:hAnsi="Times New Roman" w:cs="Times New Roman"/>
          <w:bCs/>
          <w:spacing w:val="100"/>
          <w:w w:val="110"/>
          <w:kern w:val="0"/>
          <w:sz w:val="100"/>
          <w:szCs w:val="100"/>
        </w:rPr>
        <w:t>响应文件</w:t>
      </w:r>
    </w:p>
    <w:p w14:paraId="0D7C306C">
      <w:pPr>
        <w:pStyle w:val="18"/>
        <w:jc w:val="center"/>
        <w:rPr>
          <w:rFonts w:ascii="Times New Roman" w:hAnsi="Times New Roman" w:cs="Times New Roman"/>
          <w:sz w:val="44"/>
        </w:rPr>
      </w:pPr>
      <w:r>
        <w:rPr>
          <w:rFonts w:ascii="Times New Roman" w:hAnsi="Times New Roman" w:cs="Times New Roman"/>
          <w:sz w:val="44"/>
        </w:rPr>
        <w:t>（正本）</w:t>
      </w:r>
    </w:p>
    <w:p w14:paraId="205B8201">
      <w:pPr>
        <w:pStyle w:val="18"/>
        <w:jc w:val="center"/>
        <w:rPr>
          <w:rFonts w:ascii="Times New Roman" w:hAnsi="Times New Roman" w:cs="Times New Roman"/>
          <w:sz w:val="44"/>
        </w:rPr>
      </w:pPr>
    </w:p>
    <w:p w14:paraId="00FA273D">
      <w:pPr>
        <w:pStyle w:val="18"/>
        <w:jc w:val="center"/>
        <w:rPr>
          <w:rFonts w:ascii="Times New Roman" w:hAnsi="Times New Roman" w:cs="Times New Roman"/>
          <w:sz w:val="44"/>
        </w:rPr>
      </w:pPr>
    </w:p>
    <w:p w14:paraId="6900D4A4">
      <w:pPr>
        <w:pStyle w:val="18"/>
        <w:spacing w:line="360" w:lineRule="auto"/>
        <w:ind w:firstLine="1280" w:firstLineChars="400"/>
        <w:rPr>
          <w:rFonts w:ascii="Times New Roman" w:hAnsi="Times New Roman" w:cs="Times New Roman"/>
          <w:sz w:val="32"/>
          <w:szCs w:val="32"/>
          <w:u w:val="single"/>
        </w:rPr>
      </w:pPr>
      <w:r>
        <w:rPr>
          <w:rFonts w:ascii="Times New Roman" w:hAnsi="Times New Roman" w:cs="Times New Roman"/>
          <w:sz w:val="32"/>
          <w:szCs w:val="32"/>
        </w:rPr>
        <w:t>项目编号：</w:t>
      </w:r>
    </w:p>
    <w:p w14:paraId="522B85F5">
      <w:pPr>
        <w:pStyle w:val="16"/>
        <w:spacing w:line="360" w:lineRule="auto"/>
        <w:ind w:firstLine="1280" w:firstLineChars="400"/>
        <w:rPr>
          <w:szCs w:val="32"/>
          <w:u w:val="single"/>
        </w:rPr>
      </w:pPr>
      <w:r>
        <w:rPr>
          <w:szCs w:val="32"/>
        </w:rPr>
        <w:t>项目名称：</w:t>
      </w:r>
    </w:p>
    <w:p w14:paraId="4F66D08F">
      <w:pPr>
        <w:pStyle w:val="18"/>
        <w:spacing w:line="360" w:lineRule="auto"/>
        <w:ind w:firstLine="1280" w:firstLineChars="400"/>
        <w:rPr>
          <w:rFonts w:ascii="Times New Roman" w:hAnsi="Times New Roman" w:cs="Times New Roman"/>
          <w:sz w:val="32"/>
          <w:szCs w:val="32"/>
          <w:u w:val="single"/>
        </w:rPr>
      </w:pPr>
      <w:r>
        <w:rPr>
          <w:rFonts w:ascii="Times New Roman" w:hAnsi="Times New Roman" w:cs="Times New Roman"/>
          <w:sz w:val="32"/>
          <w:szCs w:val="32"/>
        </w:rPr>
        <w:t>谈判内容：</w:t>
      </w:r>
    </w:p>
    <w:p w14:paraId="4CB45789">
      <w:pPr>
        <w:pStyle w:val="18"/>
        <w:ind w:firstLine="1320" w:firstLineChars="300"/>
        <w:rPr>
          <w:rFonts w:ascii="Times New Roman" w:hAnsi="Times New Roman" w:cs="Times New Roman"/>
          <w:sz w:val="44"/>
        </w:rPr>
      </w:pPr>
    </w:p>
    <w:p w14:paraId="1D8362A9">
      <w:pPr>
        <w:pStyle w:val="18"/>
        <w:ind w:firstLine="1320" w:firstLineChars="300"/>
        <w:rPr>
          <w:rFonts w:ascii="Times New Roman" w:hAnsi="Times New Roman" w:cs="Times New Roman"/>
          <w:sz w:val="44"/>
        </w:rPr>
      </w:pPr>
    </w:p>
    <w:p w14:paraId="7816CC61">
      <w:pPr>
        <w:pStyle w:val="18"/>
        <w:ind w:firstLine="1320" w:firstLineChars="300"/>
        <w:rPr>
          <w:rFonts w:ascii="Times New Roman" w:hAnsi="Times New Roman" w:cs="Times New Roman"/>
          <w:sz w:val="44"/>
        </w:rPr>
      </w:pPr>
    </w:p>
    <w:p w14:paraId="4B9E14A4">
      <w:pPr>
        <w:pStyle w:val="18"/>
        <w:ind w:firstLine="1320" w:firstLineChars="300"/>
        <w:rPr>
          <w:rFonts w:ascii="Times New Roman" w:hAnsi="Times New Roman" w:cs="Times New Roman"/>
          <w:sz w:val="44"/>
        </w:rPr>
      </w:pPr>
    </w:p>
    <w:p w14:paraId="4FE74447">
      <w:pPr>
        <w:pStyle w:val="18"/>
        <w:ind w:firstLine="1320" w:firstLineChars="300"/>
        <w:rPr>
          <w:rFonts w:ascii="Times New Roman" w:hAnsi="Times New Roman" w:cs="Times New Roman"/>
          <w:sz w:val="44"/>
        </w:rPr>
      </w:pPr>
    </w:p>
    <w:p w14:paraId="337478EE">
      <w:pPr>
        <w:pStyle w:val="18"/>
        <w:ind w:firstLine="1320" w:firstLineChars="300"/>
        <w:rPr>
          <w:rFonts w:ascii="Times New Roman" w:hAnsi="Times New Roman" w:cs="Times New Roman"/>
          <w:sz w:val="44"/>
        </w:rPr>
      </w:pPr>
    </w:p>
    <w:p w14:paraId="77D7F638">
      <w:pPr>
        <w:pStyle w:val="18"/>
        <w:spacing w:line="360" w:lineRule="auto"/>
        <w:ind w:firstLine="1584" w:firstLineChars="495"/>
        <w:rPr>
          <w:rFonts w:ascii="Times New Roman" w:hAnsi="Times New Roman" w:cs="Times New Roman"/>
          <w:sz w:val="32"/>
          <w:szCs w:val="32"/>
          <w:u w:val="single"/>
        </w:rPr>
      </w:pPr>
      <w:r>
        <w:rPr>
          <w:rFonts w:ascii="Times New Roman" w:hAnsi="Times New Roman" w:cs="Times New Roman"/>
          <w:sz w:val="32"/>
          <w:szCs w:val="32"/>
        </w:rPr>
        <w:t>供应商名称：</w:t>
      </w:r>
    </w:p>
    <w:p w14:paraId="4746ADE1">
      <w:pPr>
        <w:jc w:val="center"/>
        <w:rPr>
          <w:rFonts w:hint="eastAsia" w:ascii="宋体" w:hAnsi="宋体"/>
          <w:sz w:val="32"/>
          <w:szCs w:val="32"/>
        </w:rPr>
      </w:pPr>
      <w:r>
        <w:rPr>
          <w:rFonts w:ascii="宋体" w:hAnsi="宋体"/>
          <w:sz w:val="32"/>
          <w:szCs w:val="32"/>
        </w:rPr>
        <w:t>年  月  日</w:t>
      </w:r>
    </w:p>
    <w:p w14:paraId="0240FA6A">
      <w:pPr>
        <w:adjustRightInd w:val="0"/>
        <w:snapToGrid w:val="0"/>
        <w:jc w:val="center"/>
        <w:outlineLvl w:val="0"/>
        <w:rPr>
          <w:sz w:val="44"/>
          <w:szCs w:val="44"/>
        </w:rPr>
      </w:pPr>
      <w:r>
        <w:rPr>
          <w:szCs w:val="21"/>
        </w:rPr>
        <w:br w:type="page"/>
      </w:r>
      <w:r>
        <w:rPr>
          <w:sz w:val="44"/>
          <w:szCs w:val="44"/>
        </w:rPr>
        <w:t>目</w:t>
      </w:r>
      <w:r>
        <w:rPr>
          <w:rFonts w:hint="eastAsia"/>
          <w:sz w:val="44"/>
          <w:szCs w:val="44"/>
        </w:rPr>
        <w:t xml:space="preserve">  </w:t>
      </w:r>
      <w:r>
        <w:rPr>
          <w:sz w:val="44"/>
          <w:szCs w:val="44"/>
        </w:rPr>
        <w:t>录</w:t>
      </w:r>
    </w:p>
    <w:p w14:paraId="46DCF21D">
      <w:pPr>
        <w:adjustRightInd w:val="0"/>
        <w:snapToGrid w:val="0"/>
        <w:outlineLvl w:val="0"/>
        <w:rPr>
          <w:sz w:val="24"/>
        </w:rPr>
      </w:pPr>
      <w:r>
        <w:rPr>
          <w:szCs w:val="21"/>
        </w:rPr>
        <w:br w:type="page"/>
      </w:r>
      <w:r>
        <w:rPr>
          <w:sz w:val="24"/>
        </w:rPr>
        <w:t>附件1</w:t>
      </w:r>
    </w:p>
    <w:p w14:paraId="20F1BBB6">
      <w:pPr>
        <w:adjustRightInd w:val="0"/>
        <w:snapToGrid w:val="0"/>
        <w:jc w:val="center"/>
        <w:outlineLvl w:val="0"/>
        <w:rPr>
          <w:sz w:val="32"/>
          <w:szCs w:val="32"/>
        </w:rPr>
      </w:pPr>
      <w:r>
        <w:rPr>
          <w:sz w:val="32"/>
          <w:szCs w:val="32"/>
        </w:rPr>
        <w:t>谈判书</w:t>
      </w:r>
    </w:p>
    <w:p w14:paraId="19B6113A">
      <w:pPr>
        <w:spacing w:line="500" w:lineRule="exact"/>
        <w:ind w:left="-118" w:leftChars="-42"/>
        <w:rPr>
          <w:rFonts w:eastAsia="仿宋_GB2312"/>
          <w:szCs w:val="28"/>
        </w:rPr>
      </w:pPr>
    </w:p>
    <w:p w14:paraId="435624A0">
      <w:pPr>
        <w:pStyle w:val="18"/>
        <w:spacing w:line="440" w:lineRule="exact"/>
        <w:rPr>
          <w:rFonts w:ascii="Times New Roman" w:hAnsi="Times New Roman" w:cs="Times New Roman"/>
          <w:sz w:val="24"/>
        </w:rPr>
      </w:pPr>
      <w:r>
        <w:rPr>
          <w:rFonts w:ascii="Times New Roman" w:hAnsi="Times New Roman" w:cs="Times New Roman"/>
          <w:sz w:val="24"/>
        </w:rPr>
        <w:t>致：</w:t>
      </w:r>
      <w:r>
        <w:rPr>
          <w:rFonts w:ascii="Times New Roman" w:hAnsi="Times New Roman" w:cs="Times New Roman"/>
          <w:sz w:val="24"/>
          <w:u w:val="single"/>
        </w:rPr>
        <w:t>(</w:t>
      </w:r>
      <w:r>
        <w:rPr>
          <w:rFonts w:hint="eastAsia" w:ascii="Times New Roman" w:hAnsi="Times New Roman" w:cs="Times New Roman"/>
          <w:sz w:val="24"/>
          <w:u w:val="single"/>
        </w:rPr>
        <w:t>湖北省博物馆</w:t>
      </w:r>
      <w:r>
        <w:rPr>
          <w:rFonts w:ascii="Times New Roman" w:hAnsi="Times New Roman" w:cs="Times New Roman"/>
          <w:sz w:val="24"/>
          <w:u w:val="single"/>
        </w:rPr>
        <w:t>)</w:t>
      </w:r>
    </w:p>
    <w:p w14:paraId="284A844C">
      <w:pPr>
        <w:pStyle w:val="18"/>
        <w:spacing w:line="440" w:lineRule="exact"/>
        <w:ind w:firstLine="480"/>
        <w:rPr>
          <w:rFonts w:ascii="Times New Roman" w:hAnsi="Times New Roman" w:cs="Times New Roman"/>
          <w:sz w:val="24"/>
        </w:rPr>
      </w:pPr>
      <w:r>
        <w:rPr>
          <w:rFonts w:ascii="Times New Roman" w:hAnsi="Times New Roman" w:cs="Times New Roman"/>
          <w:sz w:val="24"/>
        </w:rPr>
        <w:t>根据贵方</w:t>
      </w:r>
      <w:r>
        <w:rPr>
          <w:rFonts w:ascii="Times New Roman" w:hAnsi="Times New Roman" w:cs="Times New Roman"/>
          <w:sz w:val="24"/>
          <w:u w:val="single"/>
        </w:rPr>
        <w:t>（项目名称/项目编号）</w:t>
      </w:r>
      <w:r>
        <w:rPr>
          <w:rFonts w:ascii="Times New Roman" w:hAnsi="Times New Roman" w:cs="Times New Roman"/>
          <w:sz w:val="24"/>
        </w:rPr>
        <w:t>项目政府采购的谈判邀请，</w:t>
      </w:r>
      <w:r>
        <w:rPr>
          <w:rFonts w:ascii="Times New Roman" w:hAnsi="Times New Roman" w:cs="Times New Roman"/>
          <w:sz w:val="24"/>
          <w:u w:val="single"/>
        </w:rPr>
        <w:t>签字代表</w:t>
      </w:r>
      <w:r>
        <w:rPr>
          <w:rFonts w:ascii="Times New Roman" w:hAnsi="Times New Roman" w:cs="Times New Roman"/>
          <w:sz w:val="24"/>
        </w:rPr>
        <w:t>（姓名和职务）经正式授权并代表谈判供应商</w:t>
      </w:r>
      <w:r>
        <w:rPr>
          <w:rFonts w:ascii="Times New Roman" w:hAnsi="Times New Roman" w:cs="Times New Roman"/>
          <w:sz w:val="24"/>
          <w:u w:val="single"/>
        </w:rPr>
        <w:t>（谈判供应商名称、地址）</w:t>
      </w:r>
      <w:r>
        <w:rPr>
          <w:rFonts w:ascii="Times New Roman" w:hAnsi="Times New Roman" w:cs="Times New Roman"/>
          <w:sz w:val="24"/>
        </w:rPr>
        <w:t>提交下述响应文件正本一份。</w:t>
      </w:r>
    </w:p>
    <w:p w14:paraId="65663169">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1.谈判书(附件1)；</w:t>
      </w:r>
    </w:p>
    <w:p w14:paraId="2328499A">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2.报价组成情况表(附件2)；</w:t>
      </w:r>
    </w:p>
    <w:p w14:paraId="1B1E6237">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3.货物（服务）清单(附件3)；</w:t>
      </w:r>
    </w:p>
    <w:p w14:paraId="65F8D473">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4.资格性符合性检查对照表(附件4)；</w:t>
      </w:r>
    </w:p>
    <w:p w14:paraId="0448AFE1">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5.技术响应、偏离情况说明表(附件5)；</w:t>
      </w:r>
    </w:p>
    <w:p w14:paraId="4F214B06">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6.合同草案条款响应、偏离情况说明表(附件6)；</w:t>
      </w:r>
    </w:p>
    <w:p w14:paraId="0CA58130">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7.法人（负责人）代表授权书(附件7)；</w:t>
      </w:r>
    </w:p>
    <w:p w14:paraId="7F743788">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8.法人或者其他组织的营业执照等证明文件，自然人的身份证明(附件8)；</w:t>
      </w:r>
    </w:p>
    <w:p w14:paraId="6344846E">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9.具备履行合同所必需的设备和专业技术能力的证明材料(附件9)；</w:t>
      </w:r>
    </w:p>
    <w:p w14:paraId="06546FFC">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10.本文件要求提供的其他资格证明文件及资料</w:t>
      </w:r>
      <w:r>
        <w:rPr>
          <w:rFonts w:ascii="Times New Roman" w:hAnsi="Times New Roman" w:cs="Times New Roman"/>
          <w:sz w:val="24"/>
        </w:rPr>
        <w:t>。</w:t>
      </w:r>
    </w:p>
    <w:p w14:paraId="48860F39">
      <w:pPr>
        <w:pStyle w:val="18"/>
        <w:spacing w:line="440" w:lineRule="exact"/>
        <w:rPr>
          <w:rFonts w:ascii="Times New Roman" w:hAnsi="Times New Roman" w:cs="Times New Roman"/>
          <w:sz w:val="24"/>
        </w:rPr>
      </w:pPr>
      <w:r>
        <w:rPr>
          <w:rFonts w:ascii="Times New Roman" w:hAnsi="Times New Roman" w:cs="Times New Roman"/>
          <w:sz w:val="24"/>
        </w:rPr>
        <w:t>在此，我方宣布同意如下：</w:t>
      </w:r>
    </w:p>
    <w:p w14:paraId="75F336BC">
      <w:pPr>
        <w:pStyle w:val="18"/>
        <w:spacing w:line="440" w:lineRule="exact"/>
        <w:ind w:firstLine="480"/>
        <w:rPr>
          <w:rFonts w:ascii="Times New Roman" w:hAnsi="Times New Roman" w:cs="Times New Roman"/>
          <w:sz w:val="24"/>
        </w:rPr>
      </w:pPr>
      <w:r>
        <w:rPr>
          <w:rFonts w:ascii="Times New Roman" w:hAnsi="Times New Roman" w:cs="Times New Roman"/>
          <w:sz w:val="24"/>
        </w:rPr>
        <w:t>1. 将按竞争性响应文件的规定履行合同责任和义务；</w:t>
      </w:r>
    </w:p>
    <w:p w14:paraId="684D3614">
      <w:pPr>
        <w:pStyle w:val="18"/>
        <w:spacing w:line="440" w:lineRule="exact"/>
        <w:ind w:left="840" w:hanging="360"/>
        <w:rPr>
          <w:rFonts w:ascii="Times New Roman" w:hAnsi="Times New Roman" w:cs="Times New Roman"/>
          <w:sz w:val="24"/>
        </w:rPr>
      </w:pPr>
      <w:r>
        <w:rPr>
          <w:rFonts w:ascii="Times New Roman" w:hAnsi="Times New Roman" w:cs="Times New Roman"/>
          <w:sz w:val="24"/>
        </w:rPr>
        <w:t>2. 已详细审查全部竞争性谈判文件，包括第（编号、补遗书）（如果有的话）；我们完全理解并同意放弃对这方面有不明及误解的权力；</w:t>
      </w:r>
    </w:p>
    <w:p w14:paraId="6ED7074A">
      <w:pPr>
        <w:pStyle w:val="18"/>
        <w:spacing w:line="440" w:lineRule="exact"/>
        <w:ind w:firstLine="480"/>
        <w:rPr>
          <w:rFonts w:ascii="Times New Roman" w:hAnsi="Times New Roman" w:cs="Times New Roman"/>
          <w:sz w:val="24"/>
        </w:rPr>
      </w:pPr>
      <w:r>
        <w:rPr>
          <w:rFonts w:ascii="Times New Roman" w:hAnsi="Times New Roman" w:cs="Times New Roman"/>
          <w:sz w:val="24"/>
        </w:rPr>
        <w:t>3. 本响应文件有效期为自谈判之日起</w:t>
      </w:r>
      <w:r>
        <w:rPr>
          <w:rFonts w:hint="eastAsia" w:ascii="Times New Roman" w:hAnsi="Times New Roman" w:cs="Times New Roman"/>
          <w:sz w:val="24"/>
          <w:u w:val="single"/>
        </w:rPr>
        <w:t>（  ）</w:t>
      </w:r>
      <w:r>
        <w:rPr>
          <w:rFonts w:ascii="Times New Roman" w:hAnsi="Times New Roman" w:cs="Times New Roman"/>
          <w:sz w:val="24"/>
        </w:rPr>
        <w:t>个日历日；</w:t>
      </w:r>
    </w:p>
    <w:p w14:paraId="2C205C86">
      <w:pPr>
        <w:pStyle w:val="18"/>
        <w:spacing w:line="440" w:lineRule="exact"/>
        <w:ind w:firstLine="480"/>
        <w:rPr>
          <w:rFonts w:ascii="Times New Roman" w:hAnsi="Times New Roman" w:cs="Times New Roman"/>
          <w:sz w:val="24"/>
        </w:rPr>
      </w:pPr>
      <w:r>
        <w:rPr>
          <w:rFonts w:ascii="Times New Roman" w:hAnsi="Times New Roman" w:cs="Times New Roman"/>
          <w:sz w:val="24"/>
        </w:rPr>
        <w:t>4.</w:t>
      </w:r>
      <w:r>
        <w:rPr>
          <w:rFonts w:hint="eastAsia" w:ascii="Times New Roman" w:hAnsi="Times New Roman" w:cs="Times New Roman"/>
          <w:sz w:val="24"/>
        </w:rPr>
        <w:t xml:space="preserve"> </w:t>
      </w:r>
      <w:r>
        <w:rPr>
          <w:rFonts w:ascii="Times New Roman" w:hAnsi="Times New Roman" w:cs="Times New Roman"/>
          <w:sz w:val="24"/>
        </w:rPr>
        <w:t>同意提供按照贵方可能要求的与其谈判有关的一切数据或资料；</w:t>
      </w:r>
    </w:p>
    <w:p w14:paraId="576EB911">
      <w:pPr>
        <w:pStyle w:val="18"/>
        <w:spacing w:line="440" w:lineRule="exact"/>
        <w:ind w:firstLine="480"/>
        <w:rPr>
          <w:rFonts w:ascii="Times New Roman" w:hAnsi="Times New Roman" w:cs="Times New Roman"/>
          <w:sz w:val="24"/>
        </w:rPr>
      </w:pPr>
      <w:r>
        <w:rPr>
          <w:rFonts w:ascii="Times New Roman" w:hAnsi="Times New Roman" w:cs="Times New Roman"/>
          <w:sz w:val="24"/>
        </w:rPr>
        <w:t>5. 与本谈判有关的一切正式往来信函请寄：</w:t>
      </w:r>
    </w:p>
    <w:p w14:paraId="212F6090">
      <w:pPr>
        <w:pStyle w:val="18"/>
        <w:spacing w:line="440" w:lineRule="exact"/>
        <w:ind w:firstLine="840"/>
        <w:rPr>
          <w:rFonts w:ascii="Times New Roman" w:hAnsi="Times New Roman" w:cs="Times New Roman"/>
          <w:sz w:val="24"/>
          <w:u w:val="single"/>
        </w:rPr>
      </w:pPr>
      <w:r>
        <w:rPr>
          <w:rFonts w:ascii="Times New Roman" w:hAnsi="Times New Roman" w:cs="Times New Roman"/>
          <w:sz w:val="24"/>
        </w:rPr>
        <w:t>地址：</w:t>
      </w:r>
    </w:p>
    <w:p w14:paraId="08C4CD4C">
      <w:pPr>
        <w:pStyle w:val="18"/>
        <w:spacing w:line="440" w:lineRule="exact"/>
        <w:ind w:firstLine="840"/>
        <w:rPr>
          <w:rFonts w:ascii="Times New Roman" w:hAnsi="Times New Roman" w:cs="Times New Roman"/>
          <w:sz w:val="24"/>
        </w:rPr>
      </w:pPr>
      <w:r>
        <w:rPr>
          <w:rFonts w:ascii="Times New Roman" w:hAnsi="Times New Roman" w:cs="Times New Roman"/>
          <w:sz w:val="24"/>
        </w:rPr>
        <w:t>电话/传真：</w:t>
      </w:r>
    </w:p>
    <w:p w14:paraId="3B6A31D8">
      <w:pPr>
        <w:pStyle w:val="18"/>
        <w:spacing w:line="440" w:lineRule="exact"/>
        <w:ind w:firstLine="840"/>
        <w:rPr>
          <w:rFonts w:ascii="Times New Roman" w:hAnsi="Times New Roman" w:cs="Times New Roman"/>
          <w:sz w:val="24"/>
        </w:rPr>
      </w:pPr>
      <w:r>
        <w:rPr>
          <w:rFonts w:ascii="Times New Roman" w:hAnsi="Times New Roman" w:cs="Times New Roman"/>
          <w:sz w:val="24"/>
        </w:rPr>
        <w:t>电子信箱：</w:t>
      </w:r>
    </w:p>
    <w:p w14:paraId="38EEDCF6">
      <w:pPr>
        <w:pStyle w:val="18"/>
        <w:spacing w:line="440" w:lineRule="exact"/>
        <w:ind w:firstLine="840"/>
        <w:rPr>
          <w:rFonts w:ascii="Times New Roman" w:hAnsi="Times New Roman" w:cs="Times New Roman"/>
          <w:sz w:val="24"/>
        </w:rPr>
      </w:pPr>
      <w:r>
        <w:rPr>
          <w:rFonts w:ascii="Times New Roman" w:hAnsi="Times New Roman" w:cs="Times New Roman"/>
          <w:sz w:val="24"/>
        </w:rPr>
        <w:t>谈判供应商（授权）代表签字：</w:t>
      </w:r>
    </w:p>
    <w:p w14:paraId="67FC9E53">
      <w:pPr>
        <w:pStyle w:val="18"/>
        <w:spacing w:line="440" w:lineRule="exact"/>
        <w:ind w:firstLine="840"/>
        <w:rPr>
          <w:rFonts w:ascii="Times New Roman" w:hAnsi="Times New Roman" w:cs="Times New Roman"/>
          <w:sz w:val="24"/>
        </w:rPr>
      </w:pPr>
      <w:r>
        <w:rPr>
          <w:rFonts w:ascii="Times New Roman" w:hAnsi="Times New Roman" w:cs="Times New Roman"/>
          <w:sz w:val="24"/>
        </w:rPr>
        <w:t>谈判供应商名称（公章）：</w:t>
      </w:r>
    </w:p>
    <w:p w14:paraId="516C02AF">
      <w:pPr>
        <w:pStyle w:val="18"/>
        <w:spacing w:line="440" w:lineRule="exact"/>
        <w:ind w:firstLine="840"/>
        <w:rPr>
          <w:rFonts w:hint="eastAsia" w:hAnsi="宋体"/>
          <w:sz w:val="24"/>
        </w:rPr>
      </w:pPr>
      <w:r>
        <w:rPr>
          <w:rFonts w:ascii="Times New Roman" w:hAnsi="Times New Roman" w:cs="Times New Roman"/>
          <w:sz w:val="24"/>
        </w:rPr>
        <w:t>日期：</w:t>
      </w:r>
      <w:r>
        <w:rPr>
          <w:rFonts w:ascii="Times New Roman" w:hAnsi="Times New Roman" w:cs="Times New Roman"/>
          <w:sz w:val="24"/>
        </w:rPr>
        <w:br w:type="page"/>
      </w:r>
      <w:r>
        <w:rPr>
          <w:rFonts w:hAnsi="宋体"/>
          <w:sz w:val="24"/>
        </w:rPr>
        <w:t>附件2</w:t>
      </w:r>
    </w:p>
    <w:p w14:paraId="4CBF1DF7">
      <w:pPr>
        <w:ind w:firstLine="3040" w:firstLineChars="950"/>
        <w:rPr>
          <w:sz w:val="32"/>
          <w:szCs w:val="32"/>
        </w:rPr>
      </w:pPr>
      <w:r>
        <w:rPr>
          <w:sz w:val="32"/>
          <w:szCs w:val="32"/>
        </w:rPr>
        <w:t>报价组成情况表</w:t>
      </w:r>
    </w:p>
    <w:p w14:paraId="1322BA5A">
      <w:pPr>
        <w:spacing w:line="500" w:lineRule="exact"/>
        <w:rPr>
          <w:rFonts w:eastAsia="仿宋_GB2312"/>
        </w:rPr>
      </w:pPr>
    </w:p>
    <w:p w14:paraId="6F5A6633">
      <w:pPr>
        <w:spacing w:line="240" w:lineRule="atLeast"/>
        <w:rPr>
          <w:sz w:val="24"/>
          <w:u w:val="single"/>
        </w:rPr>
      </w:pPr>
      <w:r>
        <w:rPr>
          <w:sz w:val="24"/>
        </w:rPr>
        <w:t>项目编号</w:t>
      </w:r>
      <w:r>
        <w:rPr>
          <w:rFonts w:hint="eastAsia"/>
          <w:sz w:val="24"/>
        </w:rPr>
        <w:t>（包号）</w:t>
      </w:r>
      <w:r>
        <w:rPr>
          <w:sz w:val="24"/>
        </w:rPr>
        <w:t>：</w:t>
      </w:r>
    </w:p>
    <w:p w14:paraId="2CBFC964">
      <w:pPr>
        <w:spacing w:line="240" w:lineRule="atLeast"/>
        <w:rPr>
          <w:rFonts w:eastAsia="仿宋_GB2312"/>
          <w:sz w:val="24"/>
          <w:u w:val="single"/>
        </w:rPr>
      </w:pPr>
      <w:r>
        <w:rPr>
          <w:sz w:val="24"/>
        </w:rPr>
        <w:t>项目名称：</w:t>
      </w:r>
    </w:p>
    <w:tbl>
      <w:tblPr>
        <w:tblStyle w:val="27"/>
        <w:tblW w:w="8265"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55"/>
        <w:gridCol w:w="1868"/>
        <w:gridCol w:w="1236"/>
        <w:gridCol w:w="805"/>
        <w:gridCol w:w="1653"/>
        <w:gridCol w:w="912"/>
        <w:gridCol w:w="1136"/>
      </w:tblGrid>
      <w:tr w14:paraId="0DE65D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437DFC9E">
            <w:pPr>
              <w:adjustRightInd w:val="0"/>
              <w:snapToGrid w:val="0"/>
              <w:ind w:left="-118" w:leftChars="-42"/>
              <w:jc w:val="center"/>
              <w:rPr>
                <w:sz w:val="24"/>
              </w:rPr>
            </w:pPr>
            <w:r>
              <w:rPr>
                <w:sz w:val="24"/>
              </w:rPr>
              <w:t>序号</w:t>
            </w:r>
          </w:p>
        </w:tc>
        <w:tc>
          <w:tcPr>
            <w:tcW w:w="1868" w:type="dxa"/>
            <w:vAlign w:val="center"/>
          </w:tcPr>
          <w:p w14:paraId="3DE07AFB">
            <w:pPr>
              <w:adjustRightInd w:val="0"/>
              <w:snapToGrid w:val="0"/>
              <w:ind w:left="-118" w:leftChars="-42"/>
              <w:jc w:val="center"/>
              <w:rPr>
                <w:sz w:val="24"/>
              </w:rPr>
            </w:pPr>
            <w:r>
              <w:rPr>
                <w:sz w:val="24"/>
              </w:rPr>
              <w:t>名称</w:t>
            </w:r>
            <w:r>
              <w:rPr>
                <w:rFonts w:hint="eastAsia"/>
                <w:sz w:val="24"/>
              </w:rPr>
              <w:t>（服务）</w:t>
            </w:r>
          </w:p>
        </w:tc>
        <w:tc>
          <w:tcPr>
            <w:tcW w:w="1236" w:type="dxa"/>
            <w:vAlign w:val="center"/>
          </w:tcPr>
          <w:p w14:paraId="607388B0">
            <w:pPr>
              <w:adjustRightInd w:val="0"/>
              <w:snapToGrid w:val="0"/>
              <w:jc w:val="center"/>
              <w:rPr>
                <w:sz w:val="24"/>
              </w:rPr>
            </w:pPr>
            <w:r>
              <w:rPr>
                <w:sz w:val="24"/>
              </w:rPr>
              <w:t>规格型号</w:t>
            </w:r>
          </w:p>
        </w:tc>
        <w:tc>
          <w:tcPr>
            <w:tcW w:w="805" w:type="dxa"/>
            <w:vAlign w:val="center"/>
          </w:tcPr>
          <w:p w14:paraId="5D784D90">
            <w:pPr>
              <w:adjustRightInd w:val="0"/>
              <w:snapToGrid w:val="0"/>
              <w:jc w:val="center"/>
              <w:rPr>
                <w:sz w:val="24"/>
              </w:rPr>
            </w:pPr>
            <w:r>
              <w:rPr>
                <w:sz w:val="24"/>
              </w:rPr>
              <w:t>数量</w:t>
            </w:r>
          </w:p>
        </w:tc>
        <w:tc>
          <w:tcPr>
            <w:tcW w:w="1653" w:type="dxa"/>
            <w:vAlign w:val="center"/>
          </w:tcPr>
          <w:p w14:paraId="4CA791CD">
            <w:pPr>
              <w:adjustRightInd w:val="0"/>
              <w:snapToGrid w:val="0"/>
              <w:jc w:val="center"/>
              <w:rPr>
                <w:sz w:val="24"/>
              </w:rPr>
            </w:pPr>
            <w:r>
              <w:rPr>
                <w:sz w:val="24"/>
              </w:rPr>
              <w:t>制造商</w:t>
            </w:r>
            <w:r>
              <w:rPr>
                <w:rFonts w:hint="eastAsia"/>
                <w:sz w:val="24"/>
              </w:rPr>
              <w:t>名称</w:t>
            </w:r>
          </w:p>
        </w:tc>
        <w:tc>
          <w:tcPr>
            <w:tcW w:w="912" w:type="dxa"/>
            <w:vAlign w:val="center"/>
          </w:tcPr>
          <w:p w14:paraId="21CE3E45">
            <w:pPr>
              <w:adjustRightInd w:val="0"/>
              <w:snapToGrid w:val="0"/>
              <w:jc w:val="center"/>
              <w:rPr>
                <w:sz w:val="24"/>
              </w:rPr>
            </w:pPr>
            <w:r>
              <w:rPr>
                <w:sz w:val="24"/>
              </w:rPr>
              <w:t>单价</w:t>
            </w:r>
          </w:p>
        </w:tc>
        <w:tc>
          <w:tcPr>
            <w:tcW w:w="1136" w:type="dxa"/>
            <w:vAlign w:val="center"/>
          </w:tcPr>
          <w:p w14:paraId="0BC5C71D">
            <w:pPr>
              <w:adjustRightInd w:val="0"/>
              <w:snapToGrid w:val="0"/>
              <w:jc w:val="center"/>
              <w:rPr>
                <w:sz w:val="24"/>
              </w:rPr>
            </w:pPr>
            <w:r>
              <w:rPr>
                <w:sz w:val="24"/>
              </w:rPr>
              <w:t>备注</w:t>
            </w:r>
          </w:p>
        </w:tc>
      </w:tr>
      <w:tr w14:paraId="343F3F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tcBorders>
              <w:bottom w:val="single" w:color="auto" w:sz="4" w:space="0"/>
            </w:tcBorders>
            <w:vAlign w:val="center"/>
          </w:tcPr>
          <w:p w14:paraId="66E5D56F">
            <w:pPr>
              <w:adjustRightInd w:val="0"/>
              <w:snapToGrid w:val="0"/>
              <w:ind w:left="-118" w:leftChars="-42"/>
              <w:jc w:val="center"/>
              <w:rPr>
                <w:sz w:val="24"/>
              </w:rPr>
            </w:pPr>
            <w:r>
              <w:rPr>
                <w:sz w:val="24"/>
              </w:rPr>
              <w:t>1</w:t>
            </w:r>
          </w:p>
        </w:tc>
        <w:tc>
          <w:tcPr>
            <w:tcW w:w="1868" w:type="dxa"/>
            <w:vAlign w:val="center"/>
          </w:tcPr>
          <w:p w14:paraId="6C13336E">
            <w:pPr>
              <w:adjustRightInd w:val="0"/>
              <w:snapToGrid w:val="0"/>
              <w:ind w:left="-118" w:leftChars="-42"/>
              <w:jc w:val="center"/>
              <w:rPr>
                <w:sz w:val="24"/>
              </w:rPr>
            </w:pPr>
          </w:p>
        </w:tc>
        <w:tc>
          <w:tcPr>
            <w:tcW w:w="1236" w:type="dxa"/>
            <w:vAlign w:val="center"/>
          </w:tcPr>
          <w:p w14:paraId="69B22561">
            <w:pPr>
              <w:adjustRightInd w:val="0"/>
              <w:snapToGrid w:val="0"/>
              <w:jc w:val="center"/>
              <w:rPr>
                <w:sz w:val="24"/>
              </w:rPr>
            </w:pPr>
          </w:p>
        </w:tc>
        <w:tc>
          <w:tcPr>
            <w:tcW w:w="805" w:type="dxa"/>
            <w:vAlign w:val="center"/>
          </w:tcPr>
          <w:p w14:paraId="3FBE80B8">
            <w:pPr>
              <w:adjustRightInd w:val="0"/>
              <w:snapToGrid w:val="0"/>
              <w:jc w:val="center"/>
              <w:rPr>
                <w:sz w:val="24"/>
              </w:rPr>
            </w:pPr>
          </w:p>
        </w:tc>
        <w:tc>
          <w:tcPr>
            <w:tcW w:w="1653" w:type="dxa"/>
            <w:vAlign w:val="center"/>
          </w:tcPr>
          <w:p w14:paraId="571B0DD9">
            <w:pPr>
              <w:adjustRightInd w:val="0"/>
              <w:snapToGrid w:val="0"/>
              <w:jc w:val="center"/>
              <w:rPr>
                <w:sz w:val="24"/>
              </w:rPr>
            </w:pPr>
          </w:p>
        </w:tc>
        <w:tc>
          <w:tcPr>
            <w:tcW w:w="912" w:type="dxa"/>
            <w:vAlign w:val="center"/>
          </w:tcPr>
          <w:p w14:paraId="15C8A33F">
            <w:pPr>
              <w:adjustRightInd w:val="0"/>
              <w:snapToGrid w:val="0"/>
              <w:jc w:val="center"/>
              <w:rPr>
                <w:sz w:val="24"/>
              </w:rPr>
            </w:pPr>
          </w:p>
        </w:tc>
        <w:tc>
          <w:tcPr>
            <w:tcW w:w="1136" w:type="dxa"/>
            <w:vAlign w:val="center"/>
          </w:tcPr>
          <w:p w14:paraId="3E0F5799">
            <w:pPr>
              <w:adjustRightInd w:val="0"/>
              <w:snapToGrid w:val="0"/>
              <w:jc w:val="center"/>
              <w:rPr>
                <w:sz w:val="24"/>
              </w:rPr>
            </w:pPr>
          </w:p>
        </w:tc>
      </w:tr>
      <w:tr w14:paraId="3A08D1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tcBorders>
              <w:top w:val="single" w:color="auto" w:sz="4" w:space="0"/>
            </w:tcBorders>
            <w:vAlign w:val="center"/>
          </w:tcPr>
          <w:p w14:paraId="568DA783">
            <w:pPr>
              <w:adjustRightInd w:val="0"/>
              <w:snapToGrid w:val="0"/>
              <w:ind w:left="-118" w:leftChars="-42"/>
              <w:jc w:val="center"/>
              <w:rPr>
                <w:sz w:val="24"/>
              </w:rPr>
            </w:pPr>
            <w:r>
              <w:rPr>
                <w:sz w:val="24"/>
              </w:rPr>
              <w:t>2</w:t>
            </w:r>
          </w:p>
        </w:tc>
        <w:tc>
          <w:tcPr>
            <w:tcW w:w="1868" w:type="dxa"/>
            <w:vAlign w:val="center"/>
          </w:tcPr>
          <w:p w14:paraId="6FA718ED">
            <w:pPr>
              <w:adjustRightInd w:val="0"/>
              <w:snapToGrid w:val="0"/>
              <w:ind w:left="-118" w:leftChars="-42"/>
              <w:jc w:val="center"/>
              <w:rPr>
                <w:sz w:val="24"/>
              </w:rPr>
            </w:pPr>
            <w:r>
              <w:rPr>
                <w:sz w:val="24"/>
              </w:rPr>
              <w:t>…</w:t>
            </w:r>
          </w:p>
        </w:tc>
        <w:tc>
          <w:tcPr>
            <w:tcW w:w="1236" w:type="dxa"/>
            <w:vAlign w:val="center"/>
          </w:tcPr>
          <w:p w14:paraId="4A27527C">
            <w:pPr>
              <w:adjustRightInd w:val="0"/>
              <w:snapToGrid w:val="0"/>
              <w:jc w:val="center"/>
              <w:rPr>
                <w:sz w:val="24"/>
              </w:rPr>
            </w:pPr>
          </w:p>
        </w:tc>
        <w:tc>
          <w:tcPr>
            <w:tcW w:w="805" w:type="dxa"/>
            <w:vAlign w:val="center"/>
          </w:tcPr>
          <w:p w14:paraId="4AE0D38E">
            <w:pPr>
              <w:adjustRightInd w:val="0"/>
              <w:snapToGrid w:val="0"/>
              <w:jc w:val="center"/>
              <w:rPr>
                <w:sz w:val="24"/>
              </w:rPr>
            </w:pPr>
          </w:p>
        </w:tc>
        <w:tc>
          <w:tcPr>
            <w:tcW w:w="1653" w:type="dxa"/>
            <w:vAlign w:val="center"/>
          </w:tcPr>
          <w:p w14:paraId="2F55B546">
            <w:pPr>
              <w:adjustRightInd w:val="0"/>
              <w:snapToGrid w:val="0"/>
              <w:jc w:val="center"/>
              <w:rPr>
                <w:sz w:val="24"/>
              </w:rPr>
            </w:pPr>
          </w:p>
        </w:tc>
        <w:tc>
          <w:tcPr>
            <w:tcW w:w="912" w:type="dxa"/>
            <w:vAlign w:val="center"/>
          </w:tcPr>
          <w:p w14:paraId="4EBADE7E">
            <w:pPr>
              <w:adjustRightInd w:val="0"/>
              <w:snapToGrid w:val="0"/>
              <w:jc w:val="center"/>
              <w:rPr>
                <w:sz w:val="24"/>
              </w:rPr>
            </w:pPr>
          </w:p>
        </w:tc>
        <w:tc>
          <w:tcPr>
            <w:tcW w:w="1136" w:type="dxa"/>
            <w:vAlign w:val="center"/>
          </w:tcPr>
          <w:p w14:paraId="73165FDE">
            <w:pPr>
              <w:adjustRightInd w:val="0"/>
              <w:snapToGrid w:val="0"/>
              <w:jc w:val="center"/>
              <w:rPr>
                <w:sz w:val="24"/>
              </w:rPr>
            </w:pPr>
          </w:p>
        </w:tc>
      </w:tr>
      <w:tr w14:paraId="6F0E6E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402E1746">
            <w:pPr>
              <w:adjustRightInd w:val="0"/>
              <w:snapToGrid w:val="0"/>
              <w:ind w:left="-118" w:leftChars="-42"/>
              <w:jc w:val="center"/>
              <w:rPr>
                <w:sz w:val="24"/>
              </w:rPr>
            </w:pPr>
            <w:r>
              <w:rPr>
                <w:sz w:val="24"/>
              </w:rPr>
              <w:t>3</w:t>
            </w:r>
          </w:p>
        </w:tc>
        <w:tc>
          <w:tcPr>
            <w:tcW w:w="1868" w:type="dxa"/>
            <w:vAlign w:val="center"/>
          </w:tcPr>
          <w:p w14:paraId="05A3486C">
            <w:pPr>
              <w:adjustRightInd w:val="0"/>
              <w:snapToGrid w:val="0"/>
              <w:ind w:left="-118" w:leftChars="-42"/>
              <w:jc w:val="center"/>
              <w:rPr>
                <w:sz w:val="24"/>
              </w:rPr>
            </w:pPr>
          </w:p>
        </w:tc>
        <w:tc>
          <w:tcPr>
            <w:tcW w:w="1236" w:type="dxa"/>
            <w:vAlign w:val="center"/>
          </w:tcPr>
          <w:p w14:paraId="2EF0D65A">
            <w:pPr>
              <w:adjustRightInd w:val="0"/>
              <w:snapToGrid w:val="0"/>
              <w:jc w:val="center"/>
              <w:rPr>
                <w:sz w:val="24"/>
              </w:rPr>
            </w:pPr>
          </w:p>
        </w:tc>
        <w:tc>
          <w:tcPr>
            <w:tcW w:w="805" w:type="dxa"/>
            <w:vAlign w:val="center"/>
          </w:tcPr>
          <w:p w14:paraId="6A52BEDF">
            <w:pPr>
              <w:adjustRightInd w:val="0"/>
              <w:snapToGrid w:val="0"/>
              <w:jc w:val="center"/>
              <w:rPr>
                <w:sz w:val="24"/>
              </w:rPr>
            </w:pPr>
          </w:p>
        </w:tc>
        <w:tc>
          <w:tcPr>
            <w:tcW w:w="1653" w:type="dxa"/>
            <w:vAlign w:val="center"/>
          </w:tcPr>
          <w:p w14:paraId="0C4045B4">
            <w:pPr>
              <w:adjustRightInd w:val="0"/>
              <w:snapToGrid w:val="0"/>
              <w:jc w:val="center"/>
              <w:rPr>
                <w:sz w:val="24"/>
              </w:rPr>
            </w:pPr>
          </w:p>
        </w:tc>
        <w:tc>
          <w:tcPr>
            <w:tcW w:w="912" w:type="dxa"/>
            <w:vAlign w:val="center"/>
          </w:tcPr>
          <w:p w14:paraId="7201CB4D">
            <w:pPr>
              <w:adjustRightInd w:val="0"/>
              <w:snapToGrid w:val="0"/>
              <w:jc w:val="center"/>
              <w:rPr>
                <w:sz w:val="24"/>
              </w:rPr>
            </w:pPr>
          </w:p>
        </w:tc>
        <w:tc>
          <w:tcPr>
            <w:tcW w:w="1136" w:type="dxa"/>
            <w:vAlign w:val="center"/>
          </w:tcPr>
          <w:p w14:paraId="45AF4F54">
            <w:pPr>
              <w:adjustRightInd w:val="0"/>
              <w:snapToGrid w:val="0"/>
              <w:jc w:val="center"/>
              <w:rPr>
                <w:sz w:val="24"/>
              </w:rPr>
            </w:pPr>
          </w:p>
        </w:tc>
      </w:tr>
      <w:tr w14:paraId="5FFA23A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63AF792">
            <w:pPr>
              <w:adjustRightInd w:val="0"/>
              <w:snapToGrid w:val="0"/>
              <w:ind w:left="-118" w:leftChars="-42"/>
              <w:jc w:val="center"/>
              <w:rPr>
                <w:sz w:val="24"/>
              </w:rPr>
            </w:pPr>
            <w:r>
              <w:rPr>
                <w:sz w:val="24"/>
              </w:rPr>
              <w:t>4</w:t>
            </w:r>
          </w:p>
        </w:tc>
        <w:tc>
          <w:tcPr>
            <w:tcW w:w="1868" w:type="dxa"/>
            <w:vAlign w:val="center"/>
          </w:tcPr>
          <w:p w14:paraId="1FC1BC0B">
            <w:pPr>
              <w:adjustRightInd w:val="0"/>
              <w:snapToGrid w:val="0"/>
              <w:ind w:left="-118" w:leftChars="-42"/>
              <w:jc w:val="center"/>
              <w:rPr>
                <w:sz w:val="24"/>
              </w:rPr>
            </w:pPr>
          </w:p>
        </w:tc>
        <w:tc>
          <w:tcPr>
            <w:tcW w:w="1236" w:type="dxa"/>
            <w:vAlign w:val="center"/>
          </w:tcPr>
          <w:p w14:paraId="4C551B5F">
            <w:pPr>
              <w:adjustRightInd w:val="0"/>
              <w:snapToGrid w:val="0"/>
              <w:jc w:val="center"/>
              <w:rPr>
                <w:sz w:val="24"/>
              </w:rPr>
            </w:pPr>
          </w:p>
        </w:tc>
        <w:tc>
          <w:tcPr>
            <w:tcW w:w="805" w:type="dxa"/>
            <w:vAlign w:val="center"/>
          </w:tcPr>
          <w:p w14:paraId="2515CA2D">
            <w:pPr>
              <w:adjustRightInd w:val="0"/>
              <w:snapToGrid w:val="0"/>
              <w:jc w:val="center"/>
              <w:rPr>
                <w:sz w:val="24"/>
              </w:rPr>
            </w:pPr>
          </w:p>
        </w:tc>
        <w:tc>
          <w:tcPr>
            <w:tcW w:w="1653" w:type="dxa"/>
            <w:vAlign w:val="center"/>
          </w:tcPr>
          <w:p w14:paraId="2CE161E5">
            <w:pPr>
              <w:adjustRightInd w:val="0"/>
              <w:snapToGrid w:val="0"/>
              <w:jc w:val="center"/>
              <w:rPr>
                <w:sz w:val="24"/>
              </w:rPr>
            </w:pPr>
          </w:p>
        </w:tc>
        <w:tc>
          <w:tcPr>
            <w:tcW w:w="912" w:type="dxa"/>
            <w:vAlign w:val="center"/>
          </w:tcPr>
          <w:p w14:paraId="74A47267">
            <w:pPr>
              <w:adjustRightInd w:val="0"/>
              <w:snapToGrid w:val="0"/>
              <w:jc w:val="center"/>
              <w:rPr>
                <w:sz w:val="24"/>
              </w:rPr>
            </w:pPr>
          </w:p>
        </w:tc>
        <w:tc>
          <w:tcPr>
            <w:tcW w:w="1136" w:type="dxa"/>
            <w:vAlign w:val="center"/>
          </w:tcPr>
          <w:p w14:paraId="357E59A0">
            <w:pPr>
              <w:adjustRightInd w:val="0"/>
              <w:snapToGrid w:val="0"/>
              <w:jc w:val="center"/>
              <w:rPr>
                <w:sz w:val="24"/>
              </w:rPr>
            </w:pPr>
          </w:p>
        </w:tc>
      </w:tr>
      <w:tr w14:paraId="6BC25B3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61BDD64">
            <w:pPr>
              <w:adjustRightInd w:val="0"/>
              <w:snapToGrid w:val="0"/>
              <w:ind w:left="-118" w:leftChars="-42"/>
              <w:jc w:val="center"/>
              <w:rPr>
                <w:sz w:val="24"/>
              </w:rPr>
            </w:pPr>
            <w:r>
              <w:rPr>
                <w:sz w:val="24"/>
              </w:rPr>
              <w:t>5</w:t>
            </w:r>
          </w:p>
        </w:tc>
        <w:tc>
          <w:tcPr>
            <w:tcW w:w="1868" w:type="dxa"/>
            <w:vAlign w:val="center"/>
          </w:tcPr>
          <w:p w14:paraId="487CA0FC">
            <w:pPr>
              <w:adjustRightInd w:val="0"/>
              <w:snapToGrid w:val="0"/>
              <w:ind w:left="-118" w:leftChars="-42"/>
              <w:jc w:val="center"/>
              <w:rPr>
                <w:sz w:val="24"/>
              </w:rPr>
            </w:pPr>
            <w:r>
              <w:rPr>
                <w:sz w:val="24"/>
              </w:rPr>
              <w:t>…</w:t>
            </w:r>
          </w:p>
        </w:tc>
        <w:tc>
          <w:tcPr>
            <w:tcW w:w="1236" w:type="dxa"/>
            <w:vAlign w:val="center"/>
          </w:tcPr>
          <w:p w14:paraId="5C968066">
            <w:pPr>
              <w:adjustRightInd w:val="0"/>
              <w:snapToGrid w:val="0"/>
              <w:jc w:val="center"/>
              <w:rPr>
                <w:sz w:val="24"/>
              </w:rPr>
            </w:pPr>
          </w:p>
        </w:tc>
        <w:tc>
          <w:tcPr>
            <w:tcW w:w="805" w:type="dxa"/>
            <w:vAlign w:val="center"/>
          </w:tcPr>
          <w:p w14:paraId="1116B2A4">
            <w:pPr>
              <w:adjustRightInd w:val="0"/>
              <w:snapToGrid w:val="0"/>
              <w:jc w:val="center"/>
              <w:rPr>
                <w:sz w:val="24"/>
              </w:rPr>
            </w:pPr>
          </w:p>
        </w:tc>
        <w:tc>
          <w:tcPr>
            <w:tcW w:w="1653" w:type="dxa"/>
            <w:vAlign w:val="center"/>
          </w:tcPr>
          <w:p w14:paraId="5AC3D0A8">
            <w:pPr>
              <w:adjustRightInd w:val="0"/>
              <w:snapToGrid w:val="0"/>
              <w:jc w:val="center"/>
              <w:rPr>
                <w:sz w:val="24"/>
              </w:rPr>
            </w:pPr>
          </w:p>
        </w:tc>
        <w:tc>
          <w:tcPr>
            <w:tcW w:w="912" w:type="dxa"/>
            <w:vAlign w:val="center"/>
          </w:tcPr>
          <w:p w14:paraId="60A5B4BF">
            <w:pPr>
              <w:adjustRightInd w:val="0"/>
              <w:snapToGrid w:val="0"/>
              <w:jc w:val="center"/>
              <w:rPr>
                <w:sz w:val="24"/>
              </w:rPr>
            </w:pPr>
          </w:p>
        </w:tc>
        <w:tc>
          <w:tcPr>
            <w:tcW w:w="1136" w:type="dxa"/>
            <w:vAlign w:val="center"/>
          </w:tcPr>
          <w:p w14:paraId="0026FAAD">
            <w:pPr>
              <w:adjustRightInd w:val="0"/>
              <w:snapToGrid w:val="0"/>
              <w:jc w:val="center"/>
              <w:rPr>
                <w:sz w:val="24"/>
              </w:rPr>
            </w:pPr>
          </w:p>
        </w:tc>
      </w:tr>
      <w:tr w14:paraId="117F0D4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E057F16">
            <w:pPr>
              <w:adjustRightInd w:val="0"/>
              <w:snapToGrid w:val="0"/>
              <w:ind w:left="-118" w:leftChars="-42"/>
              <w:jc w:val="center"/>
              <w:rPr>
                <w:sz w:val="24"/>
              </w:rPr>
            </w:pPr>
            <w:r>
              <w:rPr>
                <w:sz w:val="24"/>
              </w:rPr>
              <w:t>6</w:t>
            </w:r>
          </w:p>
        </w:tc>
        <w:tc>
          <w:tcPr>
            <w:tcW w:w="1868" w:type="dxa"/>
            <w:vAlign w:val="center"/>
          </w:tcPr>
          <w:p w14:paraId="5B8D361C">
            <w:pPr>
              <w:adjustRightInd w:val="0"/>
              <w:snapToGrid w:val="0"/>
              <w:ind w:left="-118" w:leftChars="-42"/>
              <w:jc w:val="center"/>
              <w:rPr>
                <w:sz w:val="24"/>
              </w:rPr>
            </w:pPr>
            <w:r>
              <w:rPr>
                <w:sz w:val="24"/>
              </w:rPr>
              <w:t>其它</w:t>
            </w:r>
          </w:p>
        </w:tc>
        <w:tc>
          <w:tcPr>
            <w:tcW w:w="1236" w:type="dxa"/>
            <w:vAlign w:val="center"/>
          </w:tcPr>
          <w:p w14:paraId="32124294">
            <w:pPr>
              <w:adjustRightInd w:val="0"/>
              <w:snapToGrid w:val="0"/>
              <w:jc w:val="center"/>
              <w:rPr>
                <w:sz w:val="24"/>
              </w:rPr>
            </w:pPr>
          </w:p>
        </w:tc>
        <w:tc>
          <w:tcPr>
            <w:tcW w:w="805" w:type="dxa"/>
            <w:vAlign w:val="center"/>
          </w:tcPr>
          <w:p w14:paraId="47952421">
            <w:pPr>
              <w:adjustRightInd w:val="0"/>
              <w:snapToGrid w:val="0"/>
              <w:jc w:val="center"/>
              <w:rPr>
                <w:sz w:val="24"/>
              </w:rPr>
            </w:pPr>
          </w:p>
        </w:tc>
        <w:tc>
          <w:tcPr>
            <w:tcW w:w="1653" w:type="dxa"/>
            <w:vAlign w:val="center"/>
          </w:tcPr>
          <w:p w14:paraId="18380875">
            <w:pPr>
              <w:adjustRightInd w:val="0"/>
              <w:snapToGrid w:val="0"/>
              <w:jc w:val="center"/>
              <w:rPr>
                <w:sz w:val="24"/>
              </w:rPr>
            </w:pPr>
          </w:p>
        </w:tc>
        <w:tc>
          <w:tcPr>
            <w:tcW w:w="912" w:type="dxa"/>
            <w:vAlign w:val="center"/>
          </w:tcPr>
          <w:p w14:paraId="1A3F5A9C">
            <w:pPr>
              <w:adjustRightInd w:val="0"/>
              <w:snapToGrid w:val="0"/>
              <w:jc w:val="center"/>
              <w:rPr>
                <w:sz w:val="24"/>
              </w:rPr>
            </w:pPr>
          </w:p>
        </w:tc>
        <w:tc>
          <w:tcPr>
            <w:tcW w:w="1136" w:type="dxa"/>
            <w:vAlign w:val="center"/>
          </w:tcPr>
          <w:p w14:paraId="47EFD5EE">
            <w:pPr>
              <w:adjustRightInd w:val="0"/>
              <w:snapToGrid w:val="0"/>
              <w:jc w:val="center"/>
              <w:rPr>
                <w:sz w:val="24"/>
              </w:rPr>
            </w:pPr>
          </w:p>
        </w:tc>
      </w:tr>
      <w:tr w14:paraId="3627EA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2" w:hRule="atLeast"/>
          <w:jc w:val="center"/>
        </w:trPr>
        <w:tc>
          <w:tcPr>
            <w:tcW w:w="6217" w:type="dxa"/>
            <w:gridSpan w:val="5"/>
            <w:vAlign w:val="center"/>
          </w:tcPr>
          <w:p w14:paraId="6644F485">
            <w:pPr>
              <w:adjustRightInd w:val="0"/>
              <w:snapToGrid w:val="0"/>
              <w:jc w:val="center"/>
              <w:rPr>
                <w:sz w:val="24"/>
              </w:rPr>
            </w:pPr>
            <w:r>
              <w:rPr>
                <w:sz w:val="24"/>
              </w:rPr>
              <w:t>总计</w:t>
            </w:r>
          </w:p>
        </w:tc>
        <w:tc>
          <w:tcPr>
            <w:tcW w:w="2048" w:type="dxa"/>
            <w:gridSpan w:val="2"/>
            <w:vAlign w:val="center"/>
          </w:tcPr>
          <w:p w14:paraId="47EB1507">
            <w:pPr>
              <w:adjustRightInd w:val="0"/>
              <w:snapToGrid w:val="0"/>
              <w:jc w:val="center"/>
              <w:rPr>
                <w:sz w:val="24"/>
              </w:rPr>
            </w:pPr>
          </w:p>
        </w:tc>
      </w:tr>
    </w:tbl>
    <w:p w14:paraId="7DF0331E">
      <w:pPr>
        <w:spacing w:line="240" w:lineRule="atLeast"/>
        <w:ind w:firstLine="360" w:firstLineChars="150"/>
      </w:pPr>
      <w:r>
        <w:rPr>
          <w:sz w:val="24"/>
        </w:rPr>
        <w:t>注：本表仅作为谈判小组了解报价组成情况，不作为</w:t>
      </w:r>
      <w:r>
        <w:rPr>
          <w:rFonts w:hint="eastAsia"/>
          <w:sz w:val="24"/>
        </w:rPr>
        <w:t>最终</w:t>
      </w:r>
      <w:r>
        <w:rPr>
          <w:sz w:val="24"/>
        </w:rPr>
        <w:t>成交报价。</w:t>
      </w:r>
    </w:p>
    <w:p w14:paraId="4B20991F">
      <w:pPr>
        <w:pStyle w:val="18"/>
        <w:spacing w:line="500" w:lineRule="exact"/>
        <w:rPr>
          <w:rFonts w:ascii="Times New Roman" w:hAnsi="Times New Roman" w:cs="Times New Roman"/>
          <w:sz w:val="24"/>
          <w:szCs w:val="24"/>
        </w:rPr>
      </w:pPr>
    </w:p>
    <w:p w14:paraId="5383D0E0">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供应商名称（公章）：</w:t>
      </w:r>
    </w:p>
    <w:p w14:paraId="37B9DF4B">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授权代表（签字）:</w:t>
      </w:r>
    </w:p>
    <w:p w14:paraId="476DA026">
      <w:pPr>
        <w:spacing w:line="480" w:lineRule="auto"/>
      </w:pPr>
      <w:r>
        <w:rPr>
          <w:sz w:val="24"/>
        </w:rPr>
        <w:t>时间：</w:t>
      </w:r>
    </w:p>
    <w:p w14:paraId="25AC433D">
      <w:pPr>
        <w:pStyle w:val="18"/>
        <w:spacing w:line="440" w:lineRule="exact"/>
        <w:ind w:firstLine="840"/>
        <w:rPr>
          <w:rFonts w:ascii="Times New Roman" w:hAnsi="Times New Roman" w:eastAsia="仿宋_GB2312" w:cs="Times New Roman"/>
        </w:rPr>
      </w:pPr>
    </w:p>
    <w:p w14:paraId="5A842834">
      <w:pPr>
        <w:spacing w:line="480" w:lineRule="auto"/>
        <w:jc w:val="center"/>
        <w:rPr>
          <w:rFonts w:eastAsia="仿宋_GB2312"/>
        </w:rPr>
      </w:pPr>
    </w:p>
    <w:p w14:paraId="758C96D3">
      <w:pPr>
        <w:pStyle w:val="18"/>
        <w:spacing w:line="440" w:lineRule="exact"/>
        <w:ind w:firstLine="840"/>
        <w:rPr>
          <w:bCs/>
          <w:sz w:val="24"/>
        </w:rPr>
      </w:pPr>
      <w:r>
        <w:rPr>
          <w:bCs/>
          <w:sz w:val="24"/>
        </w:rPr>
        <w:br w:type="page"/>
      </w:r>
      <w:r>
        <w:rPr>
          <w:bCs/>
          <w:sz w:val="24"/>
        </w:rPr>
        <w:t>附件3</w:t>
      </w:r>
    </w:p>
    <w:p w14:paraId="5B0AB33E">
      <w:pPr>
        <w:jc w:val="center"/>
        <w:rPr>
          <w:sz w:val="32"/>
          <w:szCs w:val="32"/>
        </w:rPr>
      </w:pPr>
      <w:r>
        <w:rPr>
          <w:rFonts w:hint="eastAsia"/>
          <w:sz w:val="32"/>
          <w:szCs w:val="32"/>
        </w:rPr>
        <w:t>货物（</w:t>
      </w:r>
      <w:r>
        <w:rPr>
          <w:sz w:val="32"/>
          <w:szCs w:val="32"/>
        </w:rPr>
        <w:t>服务</w:t>
      </w:r>
      <w:r>
        <w:rPr>
          <w:rFonts w:hint="eastAsia"/>
          <w:sz w:val="32"/>
          <w:szCs w:val="32"/>
        </w:rPr>
        <w:t>）</w:t>
      </w:r>
      <w:r>
        <w:rPr>
          <w:sz w:val="32"/>
          <w:szCs w:val="32"/>
        </w:rPr>
        <w:t>清单</w:t>
      </w:r>
    </w:p>
    <w:p w14:paraId="76A3A8AF">
      <w:pPr>
        <w:spacing w:line="240" w:lineRule="atLeast"/>
        <w:rPr>
          <w:sz w:val="24"/>
        </w:rPr>
      </w:pPr>
    </w:p>
    <w:p w14:paraId="69E9C3E7">
      <w:pPr>
        <w:spacing w:line="240" w:lineRule="atLeast"/>
        <w:rPr>
          <w:sz w:val="24"/>
        </w:rPr>
      </w:pPr>
      <w:r>
        <w:rPr>
          <w:sz w:val="24"/>
        </w:rPr>
        <w:t>项目编号</w:t>
      </w:r>
      <w:r>
        <w:rPr>
          <w:rFonts w:hint="eastAsia"/>
          <w:sz w:val="24"/>
        </w:rPr>
        <w:t>（包号）</w:t>
      </w:r>
      <w:r>
        <w:rPr>
          <w:sz w:val="24"/>
        </w:rPr>
        <w:t>：</w:t>
      </w:r>
    </w:p>
    <w:p w14:paraId="5A75ABCC">
      <w:pPr>
        <w:rPr>
          <w:b/>
          <w:bCs/>
          <w:sz w:val="32"/>
          <w:szCs w:val="32"/>
        </w:rPr>
      </w:pPr>
      <w:r>
        <w:rPr>
          <w:sz w:val="24"/>
        </w:rPr>
        <w:t>项目名称：</w:t>
      </w:r>
    </w:p>
    <w:tbl>
      <w:tblPr>
        <w:tblStyle w:val="27"/>
        <w:tblW w:w="866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21"/>
        <w:gridCol w:w="2187"/>
        <w:gridCol w:w="1559"/>
        <w:gridCol w:w="1560"/>
        <w:gridCol w:w="1701"/>
        <w:gridCol w:w="1134"/>
      </w:tblGrid>
      <w:tr w14:paraId="3DE6FF3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24CF81D">
            <w:pPr>
              <w:adjustRightInd w:val="0"/>
              <w:snapToGrid w:val="0"/>
              <w:ind w:left="-118" w:leftChars="-42"/>
              <w:jc w:val="center"/>
              <w:rPr>
                <w:sz w:val="24"/>
              </w:rPr>
            </w:pPr>
            <w:r>
              <w:rPr>
                <w:sz w:val="24"/>
              </w:rPr>
              <w:t>序号</w:t>
            </w:r>
          </w:p>
        </w:tc>
        <w:tc>
          <w:tcPr>
            <w:tcW w:w="2187" w:type="dxa"/>
            <w:vAlign w:val="center"/>
          </w:tcPr>
          <w:p w14:paraId="1808E71A">
            <w:pPr>
              <w:adjustRightInd w:val="0"/>
              <w:snapToGrid w:val="0"/>
              <w:ind w:left="-118" w:leftChars="-42"/>
              <w:jc w:val="center"/>
              <w:rPr>
                <w:sz w:val="24"/>
              </w:rPr>
            </w:pPr>
            <w:r>
              <w:rPr>
                <w:rFonts w:hint="eastAsia"/>
                <w:sz w:val="24"/>
              </w:rPr>
              <w:t>货物（</w:t>
            </w:r>
            <w:r>
              <w:rPr>
                <w:sz w:val="24"/>
              </w:rPr>
              <w:t>服务</w:t>
            </w:r>
            <w:r>
              <w:rPr>
                <w:rFonts w:hint="eastAsia"/>
                <w:sz w:val="24"/>
              </w:rPr>
              <w:t>）</w:t>
            </w:r>
            <w:r>
              <w:rPr>
                <w:sz w:val="24"/>
              </w:rPr>
              <w:t>名称</w:t>
            </w:r>
          </w:p>
        </w:tc>
        <w:tc>
          <w:tcPr>
            <w:tcW w:w="1559" w:type="dxa"/>
            <w:tcBorders>
              <w:right w:val="single" w:color="auto" w:sz="4" w:space="0"/>
            </w:tcBorders>
            <w:vAlign w:val="center"/>
          </w:tcPr>
          <w:p w14:paraId="34F3E187">
            <w:pPr>
              <w:adjustRightInd w:val="0"/>
              <w:snapToGrid w:val="0"/>
              <w:jc w:val="center"/>
              <w:rPr>
                <w:sz w:val="24"/>
              </w:rPr>
            </w:pPr>
            <w:r>
              <w:rPr>
                <w:sz w:val="24"/>
              </w:rPr>
              <w:t>制造商</w:t>
            </w:r>
            <w:r>
              <w:rPr>
                <w:rFonts w:hint="eastAsia"/>
                <w:sz w:val="24"/>
              </w:rPr>
              <w:t>名称</w:t>
            </w:r>
          </w:p>
        </w:tc>
        <w:tc>
          <w:tcPr>
            <w:tcW w:w="1560" w:type="dxa"/>
            <w:tcBorders>
              <w:left w:val="single" w:color="auto" w:sz="4" w:space="0"/>
            </w:tcBorders>
            <w:vAlign w:val="center"/>
          </w:tcPr>
          <w:p w14:paraId="5C70624C">
            <w:pPr>
              <w:adjustRightInd w:val="0"/>
              <w:snapToGrid w:val="0"/>
              <w:jc w:val="center"/>
              <w:rPr>
                <w:sz w:val="24"/>
              </w:rPr>
            </w:pPr>
            <w:r>
              <w:rPr>
                <w:sz w:val="24"/>
              </w:rPr>
              <w:t>生产地</w:t>
            </w:r>
          </w:p>
        </w:tc>
        <w:tc>
          <w:tcPr>
            <w:tcW w:w="1701" w:type="dxa"/>
            <w:vAlign w:val="center"/>
          </w:tcPr>
          <w:p w14:paraId="592CD07E">
            <w:pPr>
              <w:adjustRightInd w:val="0"/>
              <w:snapToGrid w:val="0"/>
              <w:jc w:val="center"/>
              <w:rPr>
                <w:sz w:val="24"/>
              </w:rPr>
            </w:pPr>
            <w:r>
              <w:rPr>
                <w:sz w:val="24"/>
              </w:rPr>
              <w:t>规格型号</w:t>
            </w:r>
          </w:p>
        </w:tc>
        <w:tc>
          <w:tcPr>
            <w:tcW w:w="1134" w:type="dxa"/>
            <w:vAlign w:val="center"/>
          </w:tcPr>
          <w:p w14:paraId="70ADB2E6">
            <w:pPr>
              <w:adjustRightInd w:val="0"/>
              <w:snapToGrid w:val="0"/>
              <w:jc w:val="center"/>
              <w:rPr>
                <w:sz w:val="24"/>
              </w:rPr>
            </w:pPr>
            <w:r>
              <w:rPr>
                <w:sz w:val="24"/>
              </w:rPr>
              <w:t>数量</w:t>
            </w:r>
          </w:p>
        </w:tc>
      </w:tr>
      <w:tr w14:paraId="5AECDA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516B441">
            <w:pPr>
              <w:adjustRightInd w:val="0"/>
              <w:snapToGrid w:val="0"/>
              <w:ind w:left="-118" w:leftChars="-42"/>
              <w:jc w:val="center"/>
              <w:rPr>
                <w:sz w:val="24"/>
              </w:rPr>
            </w:pPr>
            <w:r>
              <w:rPr>
                <w:sz w:val="24"/>
              </w:rPr>
              <w:t>1</w:t>
            </w:r>
          </w:p>
        </w:tc>
        <w:tc>
          <w:tcPr>
            <w:tcW w:w="2187" w:type="dxa"/>
            <w:vAlign w:val="center"/>
          </w:tcPr>
          <w:p w14:paraId="52A9CD99">
            <w:pPr>
              <w:adjustRightInd w:val="0"/>
              <w:snapToGrid w:val="0"/>
              <w:ind w:left="-118" w:leftChars="-42"/>
              <w:jc w:val="center"/>
              <w:rPr>
                <w:sz w:val="24"/>
              </w:rPr>
            </w:pPr>
          </w:p>
        </w:tc>
        <w:tc>
          <w:tcPr>
            <w:tcW w:w="1559" w:type="dxa"/>
            <w:tcBorders>
              <w:right w:val="single" w:color="auto" w:sz="4" w:space="0"/>
            </w:tcBorders>
            <w:vAlign w:val="center"/>
          </w:tcPr>
          <w:p w14:paraId="472177F0">
            <w:pPr>
              <w:adjustRightInd w:val="0"/>
              <w:snapToGrid w:val="0"/>
              <w:jc w:val="center"/>
              <w:rPr>
                <w:sz w:val="24"/>
              </w:rPr>
            </w:pPr>
          </w:p>
        </w:tc>
        <w:tc>
          <w:tcPr>
            <w:tcW w:w="1560" w:type="dxa"/>
            <w:tcBorders>
              <w:left w:val="single" w:color="auto" w:sz="4" w:space="0"/>
            </w:tcBorders>
            <w:vAlign w:val="center"/>
          </w:tcPr>
          <w:p w14:paraId="1FE12241">
            <w:pPr>
              <w:adjustRightInd w:val="0"/>
              <w:snapToGrid w:val="0"/>
              <w:jc w:val="center"/>
              <w:rPr>
                <w:sz w:val="24"/>
              </w:rPr>
            </w:pPr>
          </w:p>
        </w:tc>
        <w:tc>
          <w:tcPr>
            <w:tcW w:w="1701" w:type="dxa"/>
            <w:vAlign w:val="center"/>
          </w:tcPr>
          <w:p w14:paraId="1A20D4E4">
            <w:pPr>
              <w:adjustRightInd w:val="0"/>
              <w:snapToGrid w:val="0"/>
              <w:jc w:val="center"/>
              <w:rPr>
                <w:sz w:val="24"/>
              </w:rPr>
            </w:pPr>
          </w:p>
        </w:tc>
        <w:tc>
          <w:tcPr>
            <w:tcW w:w="1134" w:type="dxa"/>
            <w:vAlign w:val="center"/>
          </w:tcPr>
          <w:p w14:paraId="007DCFD3">
            <w:pPr>
              <w:adjustRightInd w:val="0"/>
              <w:snapToGrid w:val="0"/>
              <w:jc w:val="center"/>
              <w:rPr>
                <w:sz w:val="24"/>
              </w:rPr>
            </w:pPr>
          </w:p>
        </w:tc>
      </w:tr>
      <w:tr w14:paraId="163DB8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7D4B5144">
            <w:pPr>
              <w:adjustRightInd w:val="0"/>
              <w:snapToGrid w:val="0"/>
              <w:ind w:left="-118" w:leftChars="-42"/>
              <w:jc w:val="center"/>
              <w:rPr>
                <w:sz w:val="24"/>
              </w:rPr>
            </w:pPr>
            <w:r>
              <w:rPr>
                <w:sz w:val="24"/>
              </w:rPr>
              <w:t>2</w:t>
            </w:r>
          </w:p>
        </w:tc>
        <w:tc>
          <w:tcPr>
            <w:tcW w:w="2187" w:type="dxa"/>
            <w:vAlign w:val="center"/>
          </w:tcPr>
          <w:p w14:paraId="07AE0A60">
            <w:pPr>
              <w:adjustRightInd w:val="0"/>
              <w:snapToGrid w:val="0"/>
              <w:ind w:left="-118" w:leftChars="-42"/>
              <w:jc w:val="center"/>
              <w:rPr>
                <w:sz w:val="24"/>
              </w:rPr>
            </w:pPr>
          </w:p>
        </w:tc>
        <w:tc>
          <w:tcPr>
            <w:tcW w:w="1559" w:type="dxa"/>
            <w:tcBorders>
              <w:right w:val="single" w:color="auto" w:sz="4" w:space="0"/>
            </w:tcBorders>
            <w:vAlign w:val="center"/>
          </w:tcPr>
          <w:p w14:paraId="3912E8CE">
            <w:pPr>
              <w:adjustRightInd w:val="0"/>
              <w:snapToGrid w:val="0"/>
              <w:jc w:val="center"/>
              <w:rPr>
                <w:sz w:val="24"/>
              </w:rPr>
            </w:pPr>
          </w:p>
        </w:tc>
        <w:tc>
          <w:tcPr>
            <w:tcW w:w="1560" w:type="dxa"/>
            <w:tcBorders>
              <w:left w:val="single" w:color="auto" w:sz="4" w:space="0"/>
            </w:tcBorders>
            <w:vAlign w:val="center"/>
          </w:tcPr>
          <w:p w14:paraId="6EF7513F">
            <w:pPr>
              <w:adjustRightInd w:val="0"/>
              <w:snapToGrid w:val="0"/>
              <w:jc w:val="center"/>
              <w:rPr>
                <w:sz w:val="24"/>
              </w:rPr>
            </w:pPr>
          </w:p>
        </w:tc>
        <w:tc>
          <w:tcPr>
            <w:tcW w:w="1701" w:type="dxa"/>
            <w:vAlign w:val="center"/>
          </w:tcPr>
          <w:p w14:paraId="20901351">
            <w:pPr>
              <w:adjustRightInd w:val="0"/>
              <w:snapToGrid w:val="0"/>
              <w:jc w:val="center"/>
              <w:rPr>
                <w:sz w:val="24"/>
              </w:rPr>
            </w:pPr>
          </w:p>
        </w:tc>
        <w:tc>
          <w:tcPr>
            <w:tcW w:w="1134" w:type="dxa"/>
            <w:vAlign w:val="center"/>
          </w:tcPr>
          <w:p w14:paraId="354A1904">
            <w:pPr>
              <w:adjustRightInd w:val="0"/>
              <w:snapToGrid w:val="0"/>
              <w:jc w:val="center"/>
              <w:rPr>
                <w:sz w:val="24"/>
              </w:rPr>
            </w:pPr>
          </w:p>
        </w:tc>
      </w:tr>
      <w:tr w14:paraId="16675E9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504658DF">
            <w:pPr>
              <w:adjustRightInd w:val="0"/>
              <w:snapToGrid w:val="0"/>
              <w:ind w:left="-118" w:leftChars="-42"/>
              <w:jc w:val="center"/>
              <w:rPr>
                <w:sz w:val="24"/>
              </w:rPr>
            </w:pPr>
            <w:r>
              <w:rPr>
                <w:sz w:val="24"/>
              </w:rPr>
              <w:t>3</w:t>
            </w:r>
          </w:p>
        </w:tc>
        <w:tc>
          <w:tcPr>
            <w:tcW w:w="2187" w:type="dxa"/>
            <w:vAlign w:val="center"/>
          </w:tcPr>
          <w:p w14:paraId="260BB5FC">
            <w:pPr>
              <w:adjustRightInd w:val="0"/>
              <w:snapToGrid w:val="0"/>
              <w:ind w:left="-118" w:leftChars="-42"/>
              <w:jc w:val="center"/>
              <w:rPr>
                <w:sz w:val="24"/>
              </w:rPr>
            </w:pPr>
          </w:p>
        </w:tc>
        <w:tc>
          <w:tcPr>
            <w:tcW w:w="1559" w:type="dxa"/>
            <w:tcBorders>
              <w:right w:val="single" w:color="auto" w:sz="4" w:space="0"/>
            </w:tcBorders>
            <w:vAlign w:val="center"/>
          </w:tcPr>
          <w:p w14:paraId="31F2A99F">
            <w:pPr>
              <w:adjustRightInd w:val="0"/>
              <w:snapToGrid w:val="0"/>
              <w:jc w:val="center"/>
              <w:rPr>
                <w:sz w:val="24"/>
              </w:rPr>
            </w:pPr>
          </w:p>
        </w:tc>
        <w:tc>
          <w:tcPr>
            <w:tcW w:w="1560" w:type="dxa"/>
            <w:tcBorders>
              <w:left w:val="single" w:color="auto" w:sz="4" w:space="0"/>
            </w:tcBorders>
            <w:vAlign w:val="center"/>
          </w:tcPr>
          <w:p w14:paraId="064A9C5A">
            <w:pPr>
              <w:adjustRightInd w:val="0"/>
              <w:snapToGrid w:val="0"/>
              <w:jc w:val="center"/>
              <w:rPr>
                <w:sz w:val="24"/>
              </w:rPr>
            </w:pPr>
          </w:p>
        </w:tc>
        <w:tc>
          <w:tcPr>
            <w:tcW w:w="1701" w:type="dxa"/>
            <w:vAlign w:val="center"/>
          </w:tcPr>
          <w:p w14:paraId="1642AE45">
            <w:pPr>
              <w:adjustRightInd w:val="0"/>
              <w:snapToGrid w:val="0"/>
              <w:jc w:val="center"/>
              <w:rPr>
                <w:sz w:val="24"/>
              </w:rPr>
            </w:pPr>
          </w:p>
        </w:tc>
        <w:tc>
          <w:tcPr>
            <w:tcW w:w="1134" w:type="dxa"/>
            <w:vAlign w:val="center"/>
          </w:tcPr>
          <w:p w14:paraId="61DBD3AF">
            <w:pPr>
              <w:adjustRightInd w:val="0"/>
              <w:snapToGrid w:val="0"/>
              <w:jc w:val="center"/>
              <w:rPr>
                <w:sz w:val="24"/>
              </w:rPr>
            </w:pPr>
          </w:p>
        </w:tc>
      </w:tr>
      <w:tr w14:paraId="02B63A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E7B084E">
            <w:pPr>
              <w:adjustRightInd w:val="0"/>
              <w:snapToGrid w:val="0"/>
              <w:ind w:left="-118" w:leftChars="-42"/>
              <w:jc w:val="center"/>
              <w:rPr>
                <w:sz w:val="24"/>
              </w:rPr>
            </w:pPr>
            <w:r>
              <w:rPr>
                <w:sz w:val="24"/>
              </w:rPr>
              <w:t>4</w:t>
            </w:r>
          </w:p>
        </w:tc>
        <w:tc>
          <w:tcPr>
            <w:tcW w:w="2187" w:type="dxa"/>
            <w:vAlign w:val="center"/>
          </w:tcPr>
          <w:p w14:paraId="0F7F1875">
            <w:pPr>
              <w:adjustRightInd w:val="0"/>
              <w:snapToGrid w:val="0"/>
              <w:ind w:left="-118" w:leftChars="-42"/>
              <w:jc w:val="center"/>
              <w:rPr>
                <w:sz w:val="24"/>
              </w:rPr>
            </w:pPr>
          </w:p>
        </w:tc>
        <w:tc>
          <w:tcPr>
            <w:tcW w:w="1559" w:type="dxa"/>
            <w:tcBorders>
              <w:right w:val="single" w:color="auto" w:sz="4" w:space="0"/>
            </w:tcBorders>
            <w:vAlign w:val="center"/>
          </w:tcPr>
          <w:p w14:paraId="670CC79A">
            <w:pPr>
              <w:adjustRightInd w:val="0"/>
              <w:snapToGrid w:val="0"/>
              <w:jc w:val="center"/>
              <w:rPr>
                <w:sz w:val="24"/>
              </w:rPr>
            </w:pPr>
          </w:p>
        </w:tc>
        <w:tc>
          <w:tcPr>
            <w:tcW w:w="1560" w:type="dxa"/>
            <w:tcBorders>
              <w:left w:val="single" w:color="auto" w:sz="4" w:space="0"/>
            </w:tcBorders>
            <w:vAlign w:val="center"/>
          </w:tcPr>
          <w:p w14:paraId="5A1691E5">
            <w:pPr>
              <w:adjustRightInd w:val="0"/>
              <w:snapToGrid w:val="0"/>
              <w:jc w:val="center"/>
              <w:rPr>
                <w:sz w:val="24"/>
              </w:rPr>
            </w:pPr>
          </w:p>
        </w:tc>
        <w:tc>
          <w:tcPr>
            <w:tcW w:w="1701" w:type="dxa"/>
            <w:vAlign w:val="center"/>
          </w:tcPr>
          <w:p w14:paraId="0889728C">
            <w:pPr>
              <w:adjustRightInd w:val="0"/>
              <w:snapToGrid w:val="0"/>
              <w:jc w:val="center"/>
              <w:rPr>
                <w:sz w:val="24"/>
              </w:rPr>
            </w:pPr>
          </w:p>
        </w:tc>
        <w:tc>
          <w:tcPr>
            <w:tcW w:w="1134" w:type="dxa"/>
            <w:vAlign w:val="center"/>
          </w:tcPr>
          <w:p w14:paraId="44B639CB">
            <w:pPr>
              <w:adjustRightInd w:val="0"/>
              <w:snapToGrid w:val="0"/>
              <w:jc w:val="center"/>
              <w:rPr>
                <w:sz w:val="24"/>
              </w:rPr>
            </w:pPr>
          </w:p>
        </w:tc>
      </w:tr>
      <w:tr w14:paraId="693254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4DD0B82">
            <w:pPr>
              <w:adjustRightInd w:val="0"/>
              <w:snapToGrid w:val="0"/>
              <w:ind w:left="-118" w:leftChars="-42"/>
              <w:jc w:val="center"/>
              <w:rPr>
                <w:sz w:val="24"/>
              </w:rPr>
            </w:pPr>
            <w:r>
              <w:rPr>
                <w:sz w:val="24"/>
              </w:rPr>
              <w:t>5</w:t>
            </w:r>
          </w:p>
        </w:tc>
        <w:tc>
          <w:tcPr>
            <w:tcW w:w="2187" w:type="dxa"/>
            <w:vAlign w:val="center"/>
          </w:tcPr>
          <w:p w14:paraId="68CAA2B1">
            <w:pPr>
              <w:adjustRightInd w:val="0"/>
              <w:snapToGrid w:val="0"/>
              <w:ind w:left="-118" w:leftChars="-42"/>
              <w:jc w:val="center"/>
              <w:rPr>
                <w:sz w:val="24"/>
              </w:rPr>
            </w:pPr>
          </w:p>
        </w:tc>
        <w:tc>
          <w:tcPr>
            <w:tcW w:w="1559" w:type="dxa"/>
            <w:tcBorders>
              <w:right w:val="single" w:color="auto" w:sz="4" w:space="0"/>
            </w:tcBorders>
            <w:vAlign w:val="center"/>
          </w:tcPr>
          <w:p w14:paraId="1049C3BE">
            <w:pPr>
              <w:adjustRightInd w:val="0"/>
              <w:snapToGrid w:val="0"/>
              <w:jc w:val="center"/>
              <w:rPr>
                <w:sz w:val="24"/>
              </w:rPr>
            </w:pPr>
          </w:p>
        </w:tc>
        <w:tc>
          <w:tcPr>
            <w:tcW w:w="1560" w:type="dxa"/>
            <w:tcBorders>
              <w:left w:val="single" w:color="auto" w:sz="4" w:space="0"/>
            </w:tcBorders>
            <w:vAlign w:val="center"/>
          </w:tcPr>
          <w:p w14:paraId="0F69A2B7">
            <w:pPr>
              <w:adjustRightInd w:val="0"/>
              <w:snapToGrid w:val="0"/>
              <w:jc w:val="center"/>
              <w:rPr>
                <w:sz w:val="24"/>
              </w:rPr>
            </w:pPr>
          </w:p>
        </w:tc>
        <w:tc>
          <w:tcPr>
            <w:tcW w:w="1701" w:type="dxa"/>
            <w:vAlign w:val="center"/>
          </w:tcPr>
          <w:p w14:paraId="74A74F89">
            <w:pPr>
              <w:adjustRightInd w:val="0"/>
              <w:snapToGrid w:val="0"/>
              <w:jc w:val="center"/>
              <w:rPr>
                <w:sz w:val="24"/>
              </w:rPr>
            </w:pPr>
          </w:p>
        </w:tc>
        <w:tc>
          <w:tcPr>
            <w:tcW w:w="1134" w:type="dxa"/>
            <w:vAlign w:val="center"/>
          </w:tcPr>
          <w:p w14:paraId="12F1BBB9">
            <w:pPr>
              <w:adjustRightInd w:val="0"/>
              <w:snapToGrid w:val="0"/>
              <w:jc w:val="center"/>
              <w:rPr>
                <w:sz w:val="24"/>
              </w:rPr>
            </w:pPr>
          </w:p>
        </w:tc>
      </w:tr>
      <w:tr w14:paraId="5CB840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8259EF7">
            <w:pPr>
              <w:adjustRightInd w:val="0"/>
              <w:snapToGrid w:val="0"/>
              <w:ind w:left="-118" w:leftChars="-42"/>
              <w:jc w:val="center"/>
              <w:rPr>
                <w:sz w:val="24"/>
              </w:rPr>
            </w:pPr>
            <w:r>
              <w:rPr>
                <w:sz w:val="24"/>
              </w:rPr>
              <w:t>6</w:t>
            </w:r>
          </w:p>
        </w:tc>
        <w:tc>
          <w:tcPr>
            <w:tcW w:w="2187" w:type="dxa"/>
            <w:vAlign w:val="center"/>
          </w:tcPr>
          <w:p w14:paraId="3DE54EC6">
            <w:pPr>
              <w:adjustRightInd w:val="0"/>
              <w:snapToGrid w:val="0"/>
              <w:ind w:left="-118" w:leftChars="-42"/>
              <w:jc w:val="center"/>
              <w:rPr>
                <w:sz w:val="24"/>
              </w:rPr>
            </w:pPr>
          </w:p>
        </w:tc>
        <w:tc>
          <w:tcPr>
            <w:tcW w:w="1559" w:type="dxa"/>
            <w:tcBorders>
              <w:right w:val="single" w:color="auto" w:sz="4" w:space="0"/>
            </w:tcBorders>
            <w:vAlign w:val="center"/>
          </w:tcPr>
          <w:p w14:paraId="2B7BD4B9">
            <w:pPr>
              <w:adjustRightInd w:val="0"/>
              <w:snapToGrid w:val="0"/>
              <w:jc w:val="center"/>
              <w:rPr>
                <w:sz w:val="24"/>
              </w:rPr>
            </w:pPr>
          </w:p>
        </w:tc>
        <w:tc>
          <w:tcPr>
            <w:tcW w:w="1560" w:type="dxa"/>
            <w:tcBorders>
              <w:left w:val="single" w:color="auto" w:sz="4" w:space="0"/>
            </w:tcBorders>
            <w:vAlign w:val="center"/>
          </w:tcPr>
          <w:p w14:paraId="7C3A98AF">
            <w:pPr>
              <w:adjustRightInd w:val="0"/>
              <w:snapToGrid w:val="0"/>
              <w:jc w:val="center"/>
              <w:rPr>
                <w:sz w:val="24"/>
              </w:rPr>
            </w:pPr>
          </w:p>
        </w:tc>
        <w:tc>
          <w:tcPr>
            <w:tcW w:w="1701" w:type="dxa"/>
            <w:vAlign w:val="center"/>
          </w:tcPr>
          <w:p w14:paraId="6C7F516D">
            <w:pPr>
              <w:adjustRightInd w:val="0"/>
              <w:snapToGrid w:val="0"/>
              <w:jc w:val="center"/>
              <w:rPr>
                <w:sz w:val="24"/>
              </w:rPr>
            </w:pPr>
          </w:p>
        </w:tc>
        <w:tc>
          <w:tcPr>
            <w:tcW w:w="1134" w:type="dxa"/>
            <w:vAlign w:val="center"/>
          </w:tcPr>
          <w:p w14:paraId="6C26A70D">
            <w:pPr>
              <w:adjustRightInd w:val="0"/>
              <w:snapToGrid w:val="0"/>
              <w:jc w:val="center"/>
              <w:rPr>
                <w:sz w:val="24"/>
              </w:rPr>
            </w:pPr>
          </w:p>
        </w:tc>
      </w:tr>
      <w:tr w14:paraId="14676B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DDAD31C">
            <w:pPr>
              <w:adjustRightInd w:val="0"/>
              <w:snapToGrid w:val="0"/>
              <w:ind w:left="-118" w:leftChars="-42"/>
              <w:jc w:val="center"/>
              <w:rPr>
                <w:sz w:val="24"/>
              </w:rPr>
            </w:pPr>
            <w:r>
              <w:rPr>
                <w:sz w:val="24"/>
              </w:rPr>
              <w:t>7</w:t>
            </w:r>
          </w:p>
        </w:tc>
        <w:tc>
          <w:tcPr>
            <w:tcW w:w="2187" w:type="dxa"/>
            <w:vAlign w:val="center"/>
          </w:tcPr>
          <w:p w14:paraId="2838FBB3">
            <w:pPr>
              <w:adjustRightInd w:val="0"/>
              <w:snapToGrid w:val="0"/>
              <w:ind w:left="-118" w:leftChars="-42"/>
              <w:jc w:val="center"/>
              <w:rPr>
                <w:sz w:val="24"/>
              </w:rPr>
            </w:pPr>
          </w:p>
        </w:tc>
        <w:tc>
          <w:tcPr>
            <w:tcW w:w="1559" w:type="dxa"/>
            <w:tcBorders>
              <w:right w:val="single" w:color="auto" w:sz="4" w:space="0"/>
            </w:tcBorders>
            <w:vAlign w:val="center"/>
          </w:tcPr>
          <w:p w14:paraId="5B271549">
            <w:pPr>
              <w:adjustRightInd w:val="0"/>
              <w:snapToGrid w:val="0"/>
              <w:jc w:val="center"/>
              <w:rPr>
                <w:sz w:val="24"/>
              </w:rPr>
            </w:pPr>
          </w:p>
        </w:tc>
        <w:tc>
          <w:tcPr>
            <w:tcW w:w="1560" w:type="dxa"/>
            <w:tcBorders>
              <w:left w:val="single" w:color="auto" w:sz="4" w:space="0"/>
            </w:tcBorders>
            <w:vAlign w:val="center"/>
          </w:tcPr>
          <w:p w14:paraId="467B963D">
            <w:pPr>
              <w:adjustRightInd w:val="0"/>
              <w:snapToGrid w:val="0"/>
              <w:jc w:val="center"/>
              <w:rPr>
                <w:sz w:val="24"/>
              </w:rPr>
            </w:pPr>
          </w:p>
        </w:tc>
        <w:tc>
          <w:tcPr>
            <w:tcW w:w="1701" w:type="dxa"/>
            <w:vAlign w:val="center"/>
          </w:tcPr>
          <w:p w14:paraId="58E62081">
            <w:pPr>
              <w:adjustRightInd w:val="0"/>
              <w:snapToGrid w:val="0"/>
              <w:jc w:val="center"/>
              <w:rPr>
                <w:sz w:val="24"/>
              </w:rPr>
            </w:pPr>
          </w:p>
        </w:tc>
        <w:tc>
          <w:tcPr>
            <w:tcW w:w="1134" w:type="dxa"/>
            <w:vAlign w:val="center"/>
          </w:tcPr>
          <w:p w14:paraId="5E4A8D9B">
            <w:pPr>
              <w:adjustRightInd w:val="0"/>
              <w:snapToGrid w:val="0"/>
              <w:jc w:val="center"/>
              <w:rPr>
                <w:sz w:val="24"/>
              </w:rPr>
            </w:pPr>
          </w:p>
        </w:tc>
      </w:tr>
      <w:tr w14:paraId="239CAB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03F2577A">
            <w:pPr>
              <w:adjustRightInd w:val="0"/>
              <w:snapToGrid w:val="0"/>
              <w:ind w:left="-118" w:leftChars="-42"/>
              <w:jc w:val="center"/>
              <w:rPr>
                <w:sz w:val="24"/>
              </w:rPr>
            </w:pPr>
            <w:r>
              <w:rPr>
                <w:sz w:val="24"/>
              </w:rPr>
              <w:t>8</w:t>
            </w:r>
          </w:p>
        </w:tc>
        <w:tc>
          <w:tcPr>
            <w:tcW w:w="2187" w:type="dxa"/>
            <w:vAlign w:val="center"/>
          </w:tcPr>
          <w:p w14:paraId="5CBE7A11">
            <w:pPr>
              <w:adjustRightInd w:val="0"/>
              <w:snapToGrid w:val="0"/>
              <w:ind w:left="-118" w:leftChars="-42"/>
              <w:jc w:val="center"/>
              <w:rPr>
                <w:sz w:val="24"/>
              </w:rPr>
            </w:pPr>
          </w:p>
        </w:tc>
        <w:tc>
          <w:tcPr>
            <w:tcW w:w="1559" w:type="dxa"/>
            <w:tcBorders>
              <w:right w:val="single" w:color="auto" w:sz="4" w:space="0"/>
            </w:tcBorders>
            <w:vAlign w:val="center"/>
          </w:tcPr>
          <w:p w14:paraId="003C553E">
            <w:pPr>
              <w:adjustRightInd w:val="0"/>
              <w:snapToGrid w:val="0"/>
              <w:jc w:val="center"/>
              <w:rPr>
                <w:sz w:val="24"/>
              </w:rPr>
            </w:pPr>
          </w:p>
        </w:tc>
        <w:tc>
          <w:tcPr>
            <w:tcW w:w="1560" w:type="dxa"/>
            <w:tcBorders>
              <w:left w:val="single" w:color="auto" w:sz="4" w:space="0"/>
            </w:tcBorders>
            <w:vAlign w:val="center"/>
          </w:tcPr>
          <w:p w14:paraId="1706676D">
            <w:pPr>
              <w:adjustRightInd w:val="0"/>
              <w:snapToGrid w:val="0"/>
              <w:jc w:val="center"/>
              <w:rPr>
                <w:sz w:val="24"/>
              </w:rPr>
            </w:pPr>
          </w:p>
        </w:tc>
        <w:tc>
          <w:tcPr>
            <w:tcW w:w="1701" w:type="dxa"/>
            <w:vAlign w:val="center"/>
          </w:tcPr>
          <w:p w14:paraId="72A9653C">
            <w:pPr>
              <w:adjustRightInd w:val="0"/>
              <w:snapToGrid w:val="0"/>
              <w:jc w:val="center"/>
              <w:rPr>
                <w:sz w:val="24"/>
              </w:rPr>
            </w:pPr>
          </w:p>
        </w:tc>
        <w:tc>
          <w:tcPr>
            <w:tcW w:w="1134" w:type="dxa"/>
            <w:vAlign w:val="center"/>
          </w:tcPr>
          <w:p w14:paraId="32254932">
            <w:pPr>
              <w:adjustRightInd w:val="0"/>
              <w:snapToGrid w:val="0"/>
              <w:jc w:val="center"/>
              <w:rPr>
                <w:sz w:val="24"/>
              </w:rPr>
            </w:pPr>
          </w:p>
        </w:tc>
      </w:tr>
      <w:tr w14:paraId="27D95C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2CC8AB60">
            <w:pPr>
              <w:adjustRightInd w:val="0"/>
              <w:snapToGrid w:val="0"/>
              <w:ind w:left="-118" w:leftChars="-42"/>
              <w:jc w:val="center"/>
              <w:rPr>
                <w:sz w:val="24"/>
              </w:rPr>
            </w:pPr>
            <w:r>
              <w:rPr>
                <w:sz w:val="24"/>
              </w:rPr>
              <w:t>…</w:t>
            </w:r>
          </w:p>
        </w:tc>
        <w:tc>
          <w:tcPr>
            <w:tcW w:w="2187" w:type="dxa"/>
            <w:vAlign w:val="center"/>
          </w:tcPr>
          <w:p w14:paraId="2B41A738">
            <w:pPr>
              <w:adjustRightInd w:val="0"/>
              <w:snapToGrid w:val="0"/>
              <w:ind w:left="-118" w:leftChars="-42"/>
              <w:jc w:val="center"/>
              <w:rPr>
                <w:sz w:val="24"/>
              </w:rPr>
            </w:pPr>
          </w:p>
        </w:tc>
        <w:tc>
          <w:tcPr>
            <w:tcW w:w="1559" w:type="dxa"/>
            <w:tcBorders>
              <w:right w:val="single" w:color="auto" w:sz="4" w:space="0"/>
            </w:tcBorders>
            <w:vAlign w:val="center"/>
          </w:tcPr>
          <w:p w14:paraId="03870AA1">
            <w:pPr>
              <w:adjustRightInd w:val="0"/>
              <w:snapToGrid w:val="0"/>
              <w:jc w:val="center"/>
              <w:rPr>
                <w:sz w:val="24"/>
              </w:rPr>
            </w:pPr>
          </w:p>
        </w:tc>
        <w:tc>
          <w:tcPr>
            <w:tcW w:w="1560" w:type="dxa"/>
            <w:tcBorders>
              <w:left w:val="single" w:color="auto" w:sz="4" w:space="0"/>
            </w:tcBorders>
            <w:vAlign w:val="center"/>
          </w:tcPr>
          <w:p w14:paraId="4A71F998">
            <w:pPr>
              <w:adjustRightInd w:val="0"/>
              <w:snapToGrid w:val="0"/>
              <w:jc w:val="center"/>
              <w:rPr>
                <w:sz w:val="24"/>
              </w:rPr>
            </w:pPr>
          </w:p>
        </w:tc>
        <w:tc>
          <w:tcPr>
            <w:tcW w:w="1701" w:type="dxa"/>
            <w:vAlign w:val="center"/>
          </w:tcPr>
          <w:p w14:paraId="15F01CA9">
            <w:pPr>
              <w:adjustRightInd w:val="0"/>
              <w:snapToGrid w:val="0"/>
              <w:jc w:val="center"/>
              <w:rPr>
                <w:sz w:val="24"/>
              </w:rPr>
            </w:pPr>
          </w:p>
        </w:tc>
        <w:tc>
          <w:tcPr>
            <w:tcW w:w="1134" w:type="dxa"/>
            <w:vAlign w:val="center"/>
          </w:tcPr>
          <w:p w14:paraId="3C2FE4A2">
            <w:pPr>
              <w:adjustRightInd w:val="0"/>
              <w:snapToGrid w:val="0"/>
              <w:jc w:val="center"/>
              <w:rPr>
                <w:sz w:val="24"/>
              </w:rPr>
            </w:pPr>
          </w:p>
        </w:tc>
      </w:tr>
    </w:tbl>
    <w:p w14:paraId="35B8E4F4">
      <w:pPr>
        <w:spacing w:line="240" w:lineRule="atLeast"/>
        <w:ind w:firstLine="480" w:firstLineChars="200"/>
      </w:pPr>
      <w:r>
        <w:rPr>
          <w:sz w:val="24"/>
        </w:rPr>
        <w:t>说明：提供详细的货物和服务范围，包括货物和服务类别及制造（开发）商、备品备件等。</w:t>
      </w:r>
    </w:p>
    <w:p w14:paraId="1A6AFD91">
      <w:pPr>
        <w:spacing w:line="500" w:lineRule="exact"/>
        <w:rPr>
          <w:rFonts w:eastAsia="仿宋_GB2312"/>
          <w:sz w:val="24"/>
        </w:rPr>
      </w:pPr>
    </w:p>
    <w:p w14:paraId="3604DA93">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供应商名称（公章）：</w:t>
      </w:r>
    </w:p>
    <w:p w14:paraId="3AC439B9">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授权代表（签字）:</w:t>
      </w:r>
    </w:p>
    <w:p w14:paraId="0464171E">
      <w:pPr>
        <w:spacing w:line="480" w:lineRule="auto"/>
      </w:pPr>
      <w:r>
        <w:rPr>
          <w:sz w:val="24"/>
        </w:rPr>
        <w:t>时间：</w:t>
      </w:r>
    </w:p>
    <w:p w14:paraId="1C3B4348">
      <w:pPr>
        <w:spacing w:line="480" w:lineRule="auto"/>
        <w:rPr>
          <w:bCs/>
          <w:sz w:val="24"/>
        </w:rPr>
      </w:pPr>
      <w:r>
        <w:rPr>
          <w:rFonts w:eastAsia="仿宋_GB2312"/>
          <w:bCs/>
          <w:szCs w:val="28"/>
        </w:rPr>
        <w:br w:type="page"/>
      </w:r>
      <w:r>
        <w:rPr>
          <w:bCs/>
          <w:sz w:val="24"/>
        </w:rPr>
        <w:t>附件4</w:t>
      </w:r>
    </w:p>
    <w:p w14:paraId="1559DE69">
      <w:pPr>
        <w:spacing w:line="480" w:lineRule="auto"/>
        <w:jc w:val="center"/>
        <w:rPr>
          <w:sz w:val="32"/>
          <w:szCs w:val="32"/>
        </w:rPr>
      </w:pPr>
      <w:r>
        <w:rPr>
          <w:rFonts w:hint="eastAsia"/>
          <w:sz w:val="32"/>
          <w:szCs w:val="32"/>
        </w:rPr>
        <w:t>资格性符合性检查对照表</w:t>
      </w:r>
    </w:p>
    <w:p w14:paraId="181938AE">
      <w:pPr>
        <w:spacing w:line="240" w:lineRule="atLeast"/>
        <w:rPr>
          <w:sz w:val="24"/>
          <w:u w:val="single"/>
        </w:rPr>
      </w:pPr>
      <w:r>
        <w:rPr>
          <w:sz w:val="24"/>
        </w:rPr>
        <w:t>项目编号</w:t>
      </w:r>
      <w:r>
        <w:rPr>
          <w:rFonts w:hint="eastAsia"/>
          <w:sz w:val="24"/>
        </w:rPr>
        <w:t>（包号）</w:t>
      </w:r>
      <w:r>
        <w:rPr>
          <w:sz w:val="24"/>
        </w:rPr>
        <w:t>：</w:t>
      </w:r>
    </w:p>
    <w:p w14:paraId="045998D9">
      <w:pPr>
        <w:rPr>
          <w:sz w:val="24"/>
        </w:rPr>
      </w:pPr>
      <w:r>
        <w:rPr>
          <w:sz w:val="24"/>
        </w:rPr>
        <w:t xml:space="preserve">项目名称： </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4164"/>
        <w:gridCol w:w="1265"/>
        <w:gridCol w:w="1096"/>
        <w:gridCol w:w="1541"/>
      </w:tblGrid>
      <w:tr w14:paraId="2FCC5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A1D3041">
            <w:pPr>
              <w:jc w:val="center"/>
              <w:rPr>
                <w:rFonts w:ascii="Calibri" w:hAnsi="Calibri"/>
                <w:kern w:val="0"/>
                <w:sz w:val="24"/>
                <w:szCs w:val="20"/>
              </w:rPr>
            </w:pPr>
            <w:r>
              <w:rPr>
                <w:rFonts w:hint="eastAsia" w:ascii="Calibri" w:hAnsi="Calibri"/>
                <w:kern w:val="0"/>
                <w:sz w:val="24"/>
                <w:szCs w:val="20"/>
              </w:rPr>
              <w:t>序号</w:t>
            </w:r>
          </w:p>
        </w:tc>
        <w:tc>
          <w:tcPr>
            <w:tcW w:w="4164" w:type="dxa"/>
            <w:vAlign w:val="center"/>
          </w:tcPr>
          <w:p w14:paraId="6D41EA27">
            <w:pPr>
              <w:jc w:val="center"/>
              <w:rPr>
                <w:rFonts w:ascii="Calibri" w:hAnsi="Calibri"/>
                <w:kern w:val="0"/>
                <w:sz w:val="24"/>
                <w:szCs w:val="20"/>
              </w:rPr>
            </w:pPr>
            <w:r>
              <w:rPr>
                <w:rFonts w:hint="eastAsia" w:ascii="Calibri" w:hAnsi="Calibri"/>
                <w:kern w:val="0"/>
                <w:sz w:val="24"/>
                <w:szCs w:val="20"/>
              </w:rPr>
              <w:t>资格性符合性检查内容</w:t>
            </w:r>
          </w:p>
        </w:tc>
        <w:tc>
          <w:tcPr>
            <w:tcW w:w="1265" w:type="dxa"/>
            <w:vAlign w:val="center"/>
          </w:tcPr>
          <w:p w14:paraId="42F12517">
            <w:pPr>
              <w:ind w:left="-21" w:leftChars="-51" w:hanging="122" w:hangingChars="51"/>
              <w:jc w:val="center"/>
              <w:rPr>
                <w:rFonts w:ascii="Calibri" w:hAnsi="Calibri"/>
                <w:kern w:val="0"/>
                <w:sz w:val="24"/>
                <w:szCs w:val="20"/>
              </w:rPr>
            </w:pPr>
            <w:r>
              <w:rPr>
                <w:rFonts w:hint="eastAsia" w:ascii="Calibri" w:hAnsi="Calibri"/>
                <w:kern w:val="0"/>
                <w:sz w:val="24"/>
                <w:szCs w:val="20"/>
              </w:rPr>
              <w:t>响应文件响应情况</w:t>
            </w:r>
          </w:p>
        </w:tc>
        <w:tc>
          <w:tcPr>
            <w:tcW w:w="1096" w:type="dxa"/>
            <w:vAlign w:val="center"/>
          </w:tcPr>
          <w:p w14:paraId="2DDA94EF">
            <w:pPr>
              <w:ind w:left="-21" w:leftChars="-51" w:hanging="122" w:hangingChars="51"/>
              <w:jc w:val="center"/>
              <w:rPr>
                <w:rFonts w:ascii="Calibri" w:hAnsi="Calibri"/>
                <w:kern w:val="0"/>
                <w:sz w:val="24"/>
                <w:szCs w:val="20"/>
              </w:rPr>
            </w:pPr>
            <w:r>
              <w:rPr>
                <w:rFonts w:hint="eastAsia" w:ascii="Calibri" w:hAnsi="Calibri"/>
                <w:kern w:val="0"/>
                <w:sz w:val="24"/>
                <w:szCs w:val="20"/>
              </w:rPr>
              <w:t>偏离情况说明</w:t>
            </w:r>
          </w:p>
        </w:tc>
        <w:tc>
          <w:tcPr>
            <w:tcW w:w="1541" w:type="dxa"/>
            <w:vAlign w:val="center"/>
          </w:tcPr>
          <w:p w14:paraId="2A553168">
            <w:pPr>
              <w:ind w:left="-21" w:leftChars="-51" w:hanging="122" w:hangingChars="51"/>
              <w:jc w:val="center"/>
              <w:rPr>
                <w:rFonts w:ascii="Calibri" w:hAnsi="Calibri"/>
                <w:kern w:val="0"/>
                <w:sz w:val="24"/>
                <w:szCs w:val="20"/>
              </w:rPr>
            </w:pPr>
            <w:r>
              <w:rPr>
                <w:rFonts w:hint="eastAsia" w:ascii="Calibri" w:hAnsi="Calibri"/>
                <w:kern w:val="0"/>
                <w:sz w:val="24"/>
                <w:szCs w:val="20"/>
              </w:rPr>
              <w:t>备注</w:t>
            </w:r>
          </w:p>
        </w:tc>
      </w:tr>
      <w:tr w14:paraId="4368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3B5AFB2">
            <w:pPr>
              <w:jc w:val="center"/>
              <w:rPr>
                <w:rFonts w:ascii="Calibri" w:hAnsi="Calibri"/>
                <w:kern w:val="0"/>
                <w:sz w:val="24"/>
                <w:szCs w:val="20"/>
              </w:rPr>
            </w:pPr>
            <w:r>
              <w:rPr>
                <w:rFonts w:hint="eastAsia" w:ascii="Calibri" w:hAnsi="Calibri"/>
                <w:kern w:val="0"/>
                <w:sz w:val="24"/>
                <w:szCs w:val="20"/>
              </w:rPr>
              <w:t>1</w:t>
            </w:r>
          </w:p>
        </w:tc>
        <w:tc>
          <w:tcPr>
            <w:tcW w:w="4164" w:type="dxa"/>
          </w:tcPr>
          <w:p w14:paraId="2177E050">
            <w:pPr>
              <w:rPr>
                <w:rFonts w:ascii="Calibri" w:hAnsi="Calibri"/>
                <w:kern w:val="0"/>
                <w:sz w:val="24"/>
                <w:szCs w:val="20"/>
              </w:rPr>
            </w:pPr>
          </w:p>
        </w:tc>
        <w:tc>
          <w:tcPr>
            <w:tcW w:w="1265" w:type="dxa"/>
          </w:tcPr>
          <w:p w14:paraId="6AA821A2">
            <w:pPr>
              <w:jc w:val="center"/>
              <w:rPr>
                <w:rFonts w:ascii="Calibri" w:hAnsi="Calibri"/>
                <w:kern w:val="0"/>
                <w:sz w:val="24"/>
                <w:szCs w:val="20"/>
              </w:rPr>
            </w:pPr>
          </w:p>
        </w:tc>
        <w:tc>
          <w:tcPr>
            <w:tcW w:w="1096" w:type="dxa"/>
          </w:tcPr>
          <w:p w14:paraId="5DADF2CC">
            <w:pPr>
              <w:jc w:val="center"/>
              <w:rPr>
                <w:rFonts w:ascii="Calibri" w:hAnsi="Calibri"/>
                <w:kern w:val="0"/>
                <w:sz w:val="24"/>
                <w:szCs w:val="20"/>
              </w:rPr>
            </w:pPr>
          </w:p>
        </w:tc>
        <w:tc>
          <w:tcPr>
            <w:tcW w:w="1541" w:type="dxa"/>
            <w:vAlign w:val="center"/>
          </w:tcPr>
          <w:p w14:paraId="6802C4A9">
            <w:pPr>
              <w:ind w:left="-20" w:leftChars="-50" w:hanging="120" w:hangingChars="50"/>
              <w:jc w:val="center"/>
              <w:rPr>
                <w:rFonts w:ascii="Calibri" w:hAnsi="Calibri"/>
                <w:kern w:val="0"/>
                <w:sz w:val="24"/>
                <w:szCs w:val="20"/>
              </w:rPr>
            </w:pPr>
          </w:p>
        </w:tc>
      </w:tr>
      <w:tr w14:paraId="1974A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18DF046D">
            <w:pPr>
              <w:jc w:val="center"/>
              <w:rPr>
                <w:rFonts w:ascii="Calibri" w:hAnsi="Calibri"/>
                <w:kern w:val="0"/>
                <w:sz w:val="24"/>
                <w:szCs w:val="20"/>
              </w:rPr>
            </w:pPr>
            <w:r>
              <w:rPr>
                <w:rFonts w:hint="eastAsia" w:ascii="Calibri" w:hAnsi="Calibri"/>
                <w:kern w:val="0"/>
                <w:sz w:val="24"/>
                <w:szCs w:val="20"/>
              </w:rPr>
              <w:t>2</w:t>
            </w:r>
          </w:p>
        </w:tc>
        <w:tc>
          <w:tcPr>
            <w:tcW w:w="4164" w:type="dxa"/>
          </w:tcPr>
          <w:p w14:paraId="5319DE7A">
            <w:pPr>
              <w:rPr>
                <w:rFonts w:ascii="Calibri" w:hAnsi="Calibri"/>
                <w:kern w:val="0"/>
                <w:sz w:val="24"/>
                <w:szCs w:val="20"/>
              </w:rPr>
            </w:pPr>
          </w:p>
        </w:tc>
        <w:tc>
          <w:tcPr>
            <w:tcW w:w="1265" w:type="dxa"/>
          </w:tcPr>
          <w:p w14:paraId="037A25BA">
            <w:pPr>
              <w:jc w:val="center"/>
              <w:rPr>
                <w:rFonts w:ascii="Calibri" w:hAnsi="Calibri"/>
                <w:kern w:val="0"/>
                <w:sz w:val="24"/>
                <w:szCs w:val="20"/>
              </w:rPr>
            </w:pPr>
          </w:p>
        </w:tc>
        <w:tc>
          <w:tcPr>
            <w:tcW w:w="1096" w:type="dxa"/>
          </w:tcPr>
          <w:p w14:paraId="3B4953A5">
            <w:pPr>
              <w:jc w:val="center"/>
              <w:rPr>
                <w:rFonts w:ascii="Calibri" w:hAnsi="Calibri"/>
                <w:kern w:val="0"/>
                <w:sz w:val="24"/>
                <w:szCs w:val="20"/>
              </w:rPr>
            </w:pPr>
          </w:p>
        </w:tc>
        <w:tc>
          <w:tcPr>
            <w:tcW w:w="1541" w:type="dxa"/>
            <w:vAlign w:val="center"/>
          </w:tcPr>
          <w:p w14:paraId="1917D060">
            <w:pPr>
              <w:jc w:val="center"/>
              <w:rPr>
                <w:rFonts w:ascii="Calibri" w:hAnsi="Calibri"/>
                <w:kern w:val="0"/>
                <w:sz w:val="24"/>
                <w:szCs w:val="20"/>
              </w:rPr>
            </w:pPr>
          </w:p>
        </w:tc>
      </w:tr>
      <w:tr w14:paraId="2DAA6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CAA7566">
            <w:pPr>
              <w:jc w:val="center"/>
              <w:rPr>
                <w:rFonts w:ascii="Calibri" w:hAnsi="Calibri"/>
                <w:kern w:val="0"/>
                <w:sz w:val="24"/>
                <w:szCs w:val="20"/>
              </w:rPr>
            </w:pPr>
            <w:r>
              <w:rPr>
                <w:rFonts w:hint="eastAsia" w:ascii="Calibri" w:hAnsi="Calibri"/>
                <w:kern w:val="0"/>
                <w:sz w:val="24"/>
                <w:szCs w:val="20"/>
              </w:rPr>
              <w:t>3</w:t>
            </w:r>
          </w:p>
        </w:tc>
        <w:tc>
          <w:tcPr>
            <w:tcW w:w="4164" w:type="dxa"/>
          </w:tcPr>
          <w:p w14:paraId="25D15852">
            <w:pPr>
              <w:rPr>
                <w:rFonts w:ascii="Calibri" w:hAnsi="Calibri"/>
                <w:kern w:val="0"/>
                <w:sz w:val="24"/>
                <w:szCs w:val="20"/>
              </w:rPr>
            </w:pPr>
          </w:p>
        </w:tc>
        <w:tc>
          <w:tcPr>
            <w:tcW w:w="1265" w:type="dxa"/>
          </w:tcPr>
          <w:p w14:paraId="71D62E8E">
            <w:pPr>
              <w:jc w:val="center"/>
              <w:rPr>
                <w:rFonts w:ascii="Calibri" w:hAnsi="Calibri"/>
                <w:kern w:val="0"/>
                <w:sz w:val="24"/>
                <w:szCs w:val="20"/>
              </w:rPr>
            </w:pPr>
          </w:p>
        </w:tc>
        <w:tc>
          <w:tcPr>
            <w:tcW w:w="1096" w:type="dxa"/>
          </w:tcPr>
          <w:p w14:paraId="5E29C96A">
            <w:pPr>
              <w:jc w:val="center"/>
              <w:rPr>
                <w:rFonts w:ascii="Calibri" w:hAnsi="Calibri"/>
                <w:kern w:val="0"/>
                <w:sz w:val="24"/>
                <w:szCs w:val="20"/>
              </w:rPr>
            </w:pPr>
          </w:p>
        </w:tc>
        <w:tc>
          <w:tcPr>
            <w:tcW w:w="1541" w:type="dxa"/>
            <w:vAlign w:val="center"/>
          </w:tcPr>
          <w:p w14:paraId="650696B7">
            <w:pPr>
              <w:jc w:val="center"/>
              <w:rPr>
                <w:rFonts w:ascii="Calibri" w:hAnsi="Calibri"/>
                <w:kern w:val="0"/>
                <w:sz w:val="24"/>
                <w:szCs w:val="20"/>
              </w:rPr>
            </w:pPr>
          </w:p>
        </w:tc>
      </w:tr>
      <w:tr w14:paraId="60B1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0EC5932B">
            <w:pPr>
              <w:jc w:val="center"/>
              <w:rPr>
                <w:rFonts w:ascii="Calibri" w:hAnsi="Calibri"/>
                <w:kern w:val="0"/>
                <w:sz w:val="24"/>
                <w:szCs w:val="20"/>
              </w:rPr>
            </w:pPr>
            <w:r>
              <w:rPr>
                <w:rFonts w:hint="eastAsia" w:ascii="Calibri" w:hAnsi="Calibri"/>
                <w:kern w:val="0"/>
                <w:sz w:val="24"/>
                <w:szCs w:val="20"/>
              </w:rPr>
              <w:t>4</w:t>
            </w:r>
          </w:p>
        </w:tc>
        <w:tc>
          <w:tcPr>
            <w:tcW w:w="4164" w:type="dxa"/>
          </w:tcPr>
          <w:p w14:paraId="7C691C38">
            <w:pPr>
              <w:rPr>
                <w:rFonts w:ascii="Calibri" w:hAnsi="Calibri"/>
                <w:kern w:val="0"/>
                <w:sz w:val="24"/>
                <w:szCs w:val="20"/>
              </w:rPr>
            </w:pPr>
          </w:p>
        </w:tc>
        <w:tc>
          <w:tcPr>
            <w:tcW w:w="1265" w:type="dxa"/>
          </w:tcPr>
          <w:p w14:paraId="475AE544">
            <w:pPr>
              <w:jc w:val="center"/>
              <w:rPr>
                <w:rFonts w:ascii="Calibri" w:hAnsi="Calibri"/>
                <w:kern w:val="0"/>
                <w:sz w:val="24"/>
                <w:szCs w:val="20"/>
              </w:rPr>
            </w:pPr>
          </w:p>
        </w:tc>
        <w:tc>
          <w:tcPr>
            <w:tcW w:w="1096" w:type="dxa"/>
          </w:tcPr>
          <w:p w14:paraId="4A396B85">
            <w:pPr>
              <w:jc w:val="center"/>
              <w:rPr>
                <w:rFonts w:ascii="Calibri" w:hAnsi="Calibri"/>
                <w:kern w:val="0"/>
                <w:sz w:val="24"/>
                <w:szCs w:val="20"/>
              </w:rPr>
            </w:pPr>
          </w:p>
        </w:tc>
        <w:tc>
          <w:tcPr>
            <w:tcW w:w="1541" w:type="dxa"/>
            <w:vAlign w:val="center"/>
          </w:tcPr>
          <w:p w14:paraId="2271E508">
            <w:pPr>
              <w:jc w:val="center"/>
              <w:rPr>
                <w:rFonts w:ascii="Calibri" w:hAnsi="Calibri"/>
                <w:kern w:val="0"/>
                <w:sz w:val="24"/>
                <w:szCs w:val="20"/>
              </w:rPr>
            </w:pPr>
          </w:p>
        </w:tc>
      </w:tr>
      <w:tr w14:paraId="3EC18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9B71E81">
            <w:pPr>
              <w:jc w:val="center"/>
              <w:rPr>
                <w:rFonts w:ascii="Calibri" w:hAnsi="Calibri"/>
                <w:kern w:val="0"/>
                <w:sz w:val="24"/>
                <w:szCs w:val="20"/>
              </w:rPr>
            </w:pPr>
            <w:r>
              <w:rPr>
                <w:rFonts w:hint="eastAsia" w:ascii="Calibri" w:hAnsi="Calibri"/>
                <w:kern w:val="0"/>
                <w:sz w:val="24"/>
                <w:szCs w:val="20"/>
              </w:rPr>
              <w:t>5</w:t>
            </w:r>
          </w:p>
        </w:tc>
        <w:tc>
          <w:tcPr>
            <w:tcW w:w="4164" w:type="dxa"/>
          </w:tcPr>
          <w:p w14:paraId="051A74E5">
            <w:pPr>
              <w:rPr>
                <w:rFonts w:ascii="Calibri" w:hAnsi="Calibri"/>
                <w:kern w:val="0"/>
                <w:sz w:val="24"/>
                <w:szCs w:val="20"/>
              </w:rPr>
            </w:pPr>
          </w:p>
        </w:tc>
        <w:tc>
          <w:tcPr>
            <w:tcW w:w="1265" w:type="dxa"/>
          </w:tcPr>
          <w:p w14:paraId="6FEC0C29">
            <w:pPr>
              <w:jc w:val="center"/>
              <w:rPr>
                <w:rFonts w:ascii="Calibri" w:hAnsi="Calibri"/>
                <w:kern w:val="0"/>
                <w:sz w:val="24"/>
                <w:szCs w:val="20"/>
              </w:rPr>
            </w:pPr>
          </w:p>
        </w:tc>
        <w:tc>
          <w:tcPr>
            <w:tcW w:w="1096" w:type="dxa"/>
          </w:tcPr>
          <w:p w14:paraId="6401C3A2">
            <w:pPr>
              <w:jc w:val="center"/>
              <w:rPr>
                <w:rFonts w:ascii="Calibri" w:hAnsi="Calibri"/>
                <w:kern w:val="0"/>
                <w:sz w:val="24"/>
                <w:szCs w:val="20"/>
              </w:rPr>
            </w:pPr>
          </w:p>
        </w:tc>
        <w:tc>
          <w:tcPr>
            <w:tcW w:w="1541" w:type="dxa"/>
            <w:vAlign w:val="center"/>
          </w:tcPr>
          <w:p w14:paraId="3351873E">
            <w:pPr>
              <w:jc w:val="center"/>
              <w:rPr>
                <w:rFonts w:ascii="Calibri" w:hAnsi="Calibri"/>
                <w:kern w:val="0"/>
                <w:sz w:val="24"/>
                <w:szCs w:val="20"/>
              </w:rPr>
            </w:pPr>
          </w:p>
        </w:tc>
      </w:tr>
      <w:tr w14:paraId="3998A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7D843B8">
            <w:pPr>
              <w:jc w:val="center"/>
              <w:rPr>
                <w:rFonts w:ascii="Calibri" w:hAnsi="Calibri"/>
                <w:kern w:val="0"/>
                <w:sz w:val="24"/>
                <w:szCs w:val="20"/>
              </w:rPr>
            </w:pPr>
            <w:r>
              <w:rPr>
                <w:rFonts w:hint="eastAsia" w:ascii="Calibri" w:hAnsi="Calibri"/>
                <w:kern w:val="0"/>
                <w:sz w:val="24"/>
                <w:szCs w:val="20"/>
              </w:rPr>
              <w:t>6</w:t>
            </w:r>
          </w:p>
        </w:tc>
        <w:tc>
          <w:tcPr>
            <w:tcW w:w="4164" w:type="dxa"/>
          </w:tcPr>
          <w:p w14:paraId="3718E8A2">
            <w:pPr>
              <w:rPr>
                <w:rFonts w:ascii="Calibri" w:hAnsi="Calibri"/>
                <w:kern w:val="0"/>
                <w:sz w:val="24"/>
                <w:szCs w:val="20"/>
              </w:rPr>
            </w:pPr>
          </w:p>
        </w:tc>
        <w:tc>
          <w:tcPr>
            <w:tcW w:w="1265" w:type="dxa"/>
          </w:tcPr>
          <w:p w14:paraId="640EDDC7">
            <w:pPr>
              <w:jc w:val="left"/>
              <w:rPr>
                <w:rFonts w:ascii="Calibri" w:hAnsi="Calibri"/>
                <w:kern w:val="0"/>
                <w:sz w:val="24"/>
                <w:szCs w:val="20"/>
              </w:rPr>
            </w:pPr>
          </w:p>
        </w:tc>
        <w:tc>
          <w:tcPr>
            <w:tcW w:w="1096" w:type="dxa"/>
          </w:tcPr>
          <w:p w14:paraId="653B7A90">
            <w:pPr>
              <w:jc w:val="left"/>
              <w:rPr>
                <w:rFonts w:ascii="Calibri" w:hAnsi="Calibri"/>
                <w:kern w:val="0"/>
                <w:sz w:val="24"/>
                <w:szCs w:val="20"/>
              </w:rPr>
            </w:pPr>
          </w:p>
        </w:tc>
        <w:tc>
          <w:tcPr>
            <w:tcW w:w="1541" w:type="dxa"/>
            <w:vAlign w:val="center"/>
          </w:tcPr>
          <w:p w14:paraId="3B20335D">
            <w:pPr>
              <w:jc w:val="center"/>
              <w:rPr>
                <w:rFonts w:ascii="Calibri" w:hAnsi="Calibri"/>
                <w:kern w:val="0"/>
                <w:sz w:val="24"/>
                <w:szCs w:val="20"/>
              </w:rPr>
            </w:pPr>
          </w:p>
        </w:tc>
      </w:tr>
      <w:tr w14:paraId="35387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4E02588">
            <w:pPr>
              <w:jc w:val="center"/>
              <w:rPr>
                <w:rFonts w:ascii="Calibri" w:hAnsi="Calibri"/>
                <w:kern w:val="0"/>
                <w:sz w:val="24"/>
                <w:szCs w:val="20"/>
              </w:rPr>
            </w:pPr>
            <w:r>
              <w:rPr>
                <w:rFonts w:hint="eastAsia" w:ascii="Calibri" w:hAnsi="Calibri"/>
                <w:kern w:val="0"/>
                <w:sz w:val="24"/>
                <w:szCs w:val="20"/>
              </w:rPr>
              <w:t>7</w:t>
            </w:r>
          </w:p>
        </w:tc>
        <w:tc>
          <w:tcPr>
            <w:tcW w:w="4164" w:type="dxa"/>
          </w:tcPr>
          <w:p w14:paraId="76A75C9B">
            <w:pPr>
              <w:rPr>
                <w:rFonts w:ascii="Calibri" w:hAnsi="Calibri"/>
                <w:kern w:val="0"/>
                <w:sz w:val="24"/>
                <w:szCs w:val="20"/>
              </w:rPr>
            </w:pPr>
          </w:p>
        </w:tc>
        <w:tc>
          <w:tcPr>
            <w:tcW w:w="1265" w:type="dxa"/>
          </w:tcPr>
          <w:p w14:paraId="3DBA3F73">
            <w:pPr>
              <w:jc w:val="left"/>
              <w:rPr>
                <w:rFonts w:ascii="Calibri" w:hAnsi="Calibri"/>
                <w:kern w:val="0"/>
                <w:sz w:val="24"/>
                <w:szCs w:val="20"/>
              </w:rPr>
            </w:pPr>
          </w:p>
        </w:tc>
        <w:tc>
          <w:tcPr>
            <w:tcW w:w="1096" w:type="dxa"/>
          </w:tcPr>
          <w:p w14:paraId="748425FB">
            <w:pPr>
              <w:jc w:val="left"/>
              <w:rPr>
                <w:rFonts w:ascii="Calibri" w:hAnsi="Calibri"/>
                <w:kern w:val="0"/>
                <w:sz w:val="24"/>
                <w:szCs w:val="20"/>
              </w:rPr>
            </w:pPr>
          </w:p>
        </w:tc>
        <w:tc>
          <w:tcPr>
            <w:tcW w:w="1541" w:type="dxa"/>
            <w:vAlign w:val="center"/>
          </w:tcPr>
          <w:p w14:paraId="2EE1CBBB">
            <w:pPr>
              <w:jc w:val="center"/>
              <w:rPr>
                <w:rFonts w:ascii="Calibri" w:hAnsi="Calibri"/>
                <w:kern w:val="0"/>
                <w:sz w:val="24"/>
                <w:szCs w:val="20"/>
              </w:rPr>
            </w:pPr>
          </w:p>
        </w:tc>
      </w:tr>
      <w:tr w14:paraId="15F41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3DE6333">
            <w:pPr>
              <w:jc w:val="center"/>
              <w:rPr>
                <w:rFonts w:ascii="Calibri" w:hAnsi="Calibri"/>
                <w:kern w:val="0"/>
                <w:sz w:val="24"/>
                <w:szCs w:val="20"/>
              </w:rPr>
            </w:pPr>
            <w:r>
              <w:rPr>
                <w:rFonts w:hint="eastAsia" w:ascii="Calibri" w:hAnsi="Calibri"/>
                <w:kern w:val="0"/>
                <w:sz w:val="24"/>
                <w:szCs w:val="20"/>
              </w:rPr>
              <w:t>8</w:t>
            </w:r>
          </w:p>
        </w:tc>
        <w:tc>
          <w:tcPr>
            <w:tcW w:w="4164" w:type="dxa"/>
          </w:tcPr>
          <w:p w14:paraId="19D7B1DA">
            <w:pPr>
              <w:rPr>
                <w:rFonts w:ascii="Calibri" w:hAnsi="Calibri"/>
                <w:kern w:val="0"/>
                <w:sz w:val="24"/>
                <w:szCs w:val="20"/>
              </w:rPr>
            </w:pPr>
          </w:p>
        </w:tc>
        <w:tc>
          <w:tcPr>
            <w:tcW w:w="1265" w:type="dxa"/>
          </w:tcPr>
          <w:p w14:paraId="5CA157A1">
            <w:pPr>
              <w:jc w:val="center"/>
              <w:rPr>
                <w:rFonts w:ascii="Calibri" w:hAnsi="Calibri"/>
                <w:kern w:val="0"/>
                <w:sz w:val="24"/>
                <w:szCs w:val="20"/>
              </w:rPr>
            </w:pPr>
          </w:p>
        </w:tc>
        <w:tc>
          <w:tcPr>
            <w:tcW w:w="1096" w:type="dxa"/>
          </w:tcPr>
          <w:p w14:paraId="4EA797EF">
            <w:pPr>
              <w:jc w:val="center"/>
              <w:rPr>
                <w:rFonts w:ascii="Calibri" w:hAnsi="Calibri"/>
                <w:kern w:val="0"/>
                <w:sz w:val="24"/>
                <w:szCs w:val="20"/>
              </w:rPr>
            </w:pPr>
          </w:p>
        </w:tc>
        <w:tc>
          <w:tcPr>
            <w:tcW w:w="1541" w:type="dxa"/>
            <w:vAlign w:val="center"/>
          </w:tcPr>
          <w:p w14:paraId="0BEC4654">
            <w:pPr>
              <w:jc w:val="center"/>
              <w:rPr>
                <w:rFonts w:ascii="Calibri" w:hAnsi="Calibri"/>
                <w:kern w:val="0"/>
                <w:sz w:val="24"/>
                <w:szCs w:val="20"/>
              </w:rPr>
            </w:pPr>
          </w:p>
        </w:tc>
      </w:tr>
      <w:tr w14:paraId="443C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3062BB88">
            <w:pPr>
              <w:jc w:val="center"/>
              <w:rPr>
                <w:rFonts w:ascii="Calibri" w:hAnsi="Calibri"/>
                <w:kern w:val="0"/>
                <w:sz w:val="24"/>
                <w:szCs w:val="20"/>
              </w:rPr>
            </w:pPr>
            <w:r>
              <w:rPr>
                <w:rFonts w:hint="eastAsia" w:ascii="Calibri" w:hAnsi="Calibri"/>
                <w:kern w:val="0"/>
                <w:sz w:val="24"/>
                <w:szCs w:val="20"/>
              </w:rPr>
              <w:t>9</w:t>
            </w:r>
          </w:p>
        </w:tc>
        <w:tc>
          <w:tcPr>
            <w:tcW w:w="4164" w:type="dxa"/>
          </w:tcPr>
          <w:p w14:paraId="5F479E95">
            <w:pPr>
              <w:rPr>
                <w:rFonts w:ascii="Calibri" w:hAnsi="Calibri"/>
                <w:kern w:val="0"/>
                <w:sz w:val="24"/>
                <w:szCs w:val="20"/>
              </w:rPr>
            </w:pPr>
          </w:p>
        </w:tc>
        <w:tc>
          <w:tcPr>
            <w:tcW w:w="1265" w:type="dxa"/>
          </w:tcPr>
          <w:p w14:paraId="46446FD2">
            <w:pPr>
              <w:jc w:val="center"/>
              <w:rPr>
                <w:rFonts w:ascii="Calibri" w:hAnsi="Calibri"/>
                <w:kern w:val="0"/>
                <w:sz w:val="24"/>
                <w:szCs w:val="20"/>
              </w:rPr>
            </w:pPr>
          </w:p>
        </w:tc>
        <w:tc>
          <w:tcPr>
            <w:tcW w:w="1096" w:type="dxa"/>
          </w:tcPr>
          <w:p w14:paraId="3FA2652D">
            <w:pPr>
              <w:jc w:val="center"/>
              <w:rPr>
                <w:rFonts w:ascii="Calibri" w:hAnsi="Calibri"/>
                <w:kern w:val="0"/>
                <w:sz w:val="24"/>
                <w:szCs w:val="20"/>
              </w:rPr>
            </w:pPr>
          </w:p>
        </w:tc>
        <w:tc>
          <w:tcPr>
            <w:tcW w:w="1541" w:type="dxa"/>
            <w:vAlign w:val="center"/>
          </w:tcPr>
          <w:p w14:paraId="5D4CB1AF">
            <w:pPr>
              <w:jc w:val="center"/>
              <w:rPr>
                <w:rFonts w:ascii="Calibri" w:hAnsi="Calibri"/>
                <w:kern w:val="0"/>
                <w:sz w:val="24"/>
                <w:szCs w:val="20"/>
              </w:rPr>
            </w:pPr>
          </w:p>
        </w:tc>
      </w:tr>
      <w:tr w14:paraId="32213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69CC77D5">
            <w:pPr>
              <w:jc w:val="center"/>
              <w:rPr>
                <w:rFonts w:ascii="Calibri" w:hAnsi="Calibri"/>
                <w:kern w:val="0"/>
                <w:sz w:val="24"/>
                <w:szCs w:val="20"/>
              </w:rPr>
            </w:pPr>
            <w:r>
              <w:rPr>
                <w:rFonts w:ascii="Calibri" w:hAnsi="Calibri"/>
                <w:kern w:val="0"/>
                <w:sz w:val="24"/>
                <w:szCs w:val="20"/>
              </w:rPr>
              <w:t>…</w:t>
            </w:r>
          </w:p>
        </w:tc>
        <w:tc>
          <w:tcPr>
            <w:tcW w:w="4164" w:type="dxa"/>
          </w:tcPr>
          <w:p w14:paraId="54A59076">
            <w:pPr>
              <w:rPr>
                <w:rFonts w:ascii="Calibri" w:hAnsi="Calibri"/>
                <w:kern w:val="0"/>
                <w:sz w:val="24"/>
                <w:szCs w:val="20"/>
              </w:rPr>
            </w:pPr>
          </w:p>
        </w:tc>
        <w:tc>
          <w:tcPr>
            <w:tcW w:w="1265" w:type="dxa"/>
          </w:tcPr>
          <w:p w14:paraId="70E89312">
            <w:pPr>
              <w:jc w:val="center"/>
              <w:rPr>
                <w:rFonts w:ascii="Calibri" w:hAnsi="Calibri"/>
                <w:kern w:val="0"/>
                <w:sz w:val="24"/>
                <w:szCs w:val="20"/>
              </w:rPr>
            </w:pPr>
          </w:p>
        </w:tc>
        <w:tc>
          <w:tcPr>
            <w:tcW w:w="1096" w:type="dxa"/>
          </w:tcPr>
          <w:p w14:paraId="7DDD407B">
            <w:pPr>
              <w:jc w:val="center"/>
              <w:rPr>
                <w:rFonts w:ascii="Calibri" w:hAnsi="Calibri"/>
                <w:kern w:val="0"/>
                <w:sz w:val="24"/>
                <w:szCs w:val="20"/>
              </w:rPr>
            </w:pPr>
          </w:p>
        </w:tc>
        <w:tc>
          <w:tcPr>
            <w:tcW w:w="1541" w:type="dxa"/>
            <w:vAlign w:val="center"/>
          </w:tcPr>
          <w:p w14:paraId="56A99DE9">
            <w:pPr>
              <w:jc w:val="center"/>
              <w:rPr>
                <w:rFonts w:ascii="Calibri" w:hAnsi="Calibri"/>
                <w:kern w:val="0"/>
                <w:sz w:val="24"/>
                <w:szCs w:val="20"/>
              </w:rPr>
            </w:pPr>
          </w:p>
        </w:tc>
      </w:tr>
      <w:tr w14:paraId="4847C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0" w:type="dxa"/>
            <w:gridSpan w:val="2"/>
            <w:vAlign w:val="center"/>
          </w:tcPr>
          <w:p w14:paraId="0DC7842C">
            <w:pPr>
              <w:rPr>
                <w:rFonts w:ascii="Calibri" w:hAnsi="Calibri"/>
                <w:kern w:val="0"/>
                <w:sz w:val="24"/>
                <w:szCs w:val="20"/>
              </w:rPr>
            </w:pPr>
            <w:r>
              <w:rPr>
                <w:rFonts w:hint="eastAsia" w:ascii="Calibri" w:hAnsi="Calibri"/>
                <w:kern w:val="0"/>
                <w:sz w:val="24"/>
                <w:szCs w:val="20"/>
              </w:rPr>
              <w:t>自评结论</w:t>
            </w:r>
          </w:p>
        </w:tc>
        <w:tc>
          <w:tcPr>
            <w:tcW w:w="1265" w:type="dxa"/>
          </w:tcPr>
          <w:p w14:paraId="138EA586">
            <w:pPr>
              <w:jc w:val="center"/>
              <w:rPr>
                <w:rFonts w:ascii="Calibri" w:hAnsi="Calibri"/>
                <w:kern w:val="0"/>
                <w:sz w:val="24"/>
                <w:szCs w:val="20"/>
              </w:rPr>
            </w:pPr>
          </w:p>
        </w:tc>
        <w:tc>
          <w:tcPr>
            <w:tcW w:w="1096" w:type="dxa"/>
          </w:tcPr>
          <w:p w14:paraId="6B15E278">
            <w:pPr>
              <w:jc w:val="center"/>
              <w:rPr>
                <w:rFonts w:ascii="Calibri" w:hAnsi="Calibri"/>
                <w:kern w:val="0"/>
                <w:sz w:val="24"/>
                <w:szCs w:val="20"/>
              </w:rPr>
            </w:pPr>
          </w:p>
        </w:tc>
        <w:tc>
          <w:tcPr>
            <w:tcW w:w="1541" w:type="dxa"/>
            <w:vAlign w:val="center"/>
          </w:tcPr>
          <w:p w14:paraId="5857F7B2">
            <w:pPr>
              <w:jc w:val="center"/>
              <w:rPr>
                <w:rFonts w:ascii="Calibri" w:hAnsi="Calibri"/>
                <w:kern w:val="0"/>
                <w:sz w:val="24"/>
                <w:szCs w:val="20"/>
              </w:rPr>
            </w:pPr>
          </w:p>
        </w:tc>
      </w:tr>
    </w:tbl>
    <w:p w14:paraId="32020123">
      <w:pPr>
        <w:spacing w:line="240" w:lineRule="atLeast"/>
        <w:rPr>
          <w:sz w:val="24"/>
        </w:rPr>
      </w:pPr>
      <w:r>
        <w:rPr>
          <w:sz w:val="24"/>
        </w:rPr>
        <w:t>说明：</w:t>
      </w:r>
    </w:p>
    <w:p w14:paraId="0ECDC6F2">
      <w:pPr>
        <w:spacing w:line="240" w:lineRule="atLeast"/>
        <w:ind w:firstLine="480" w:firstLineChars="200"/>
        <w:rPr>
          <w:sz w:val="24"/>
        </w:rPr>
      </w:pPr>
      <w:r>
        <w:rPr>
          <w:sz w:val="24"/>
        </w:rPr>
        <w:t>1. 备注栏中应提供相关内容在响应文件中的页码。</w:t>
      </w:r>
    </w:p>
    <w:p w14:paraId="575B16FD">
      <w:pPr>
        <w:spacing w:line="240" w:lineRule="atLeast"/>
        <w:ind w:firstLine="480" w:firstLineChars="200"/>
        <w:rPr>
          <w:sz w:val="24"/>
        </w:rPr>
      </w:pPr>
      <w:r>
        <w:rPr>
          <w:sz w:val="24"/>
        </w:rPr>
        <w:t>2. 应对照</w:t>
      </w:r>
      <w:r>
        <w:rPr>
          <w:rFonts w:hint="eastAsia"/>
          <w:sz w:val="24"/>
        </w:rPr>
        <w:t>谈判</w:t>
      </w:r>
      <w:r>
        <w:rPr>
          <w:sz w:val="24"/>
        </w:rPr>
        <w:t>文件的要求，逐条说明所提供</w:t>
      </w:r>
      <w:r>
        <w:rPr>
          <w:rFonts w:hint="eastAsia"/>
          <w:sz w:val="24"/>
        </w:rPr>
        <w:t>资格证明文件</w:t>
      </w:r>
      <w:r>
        <w:rPr>
          <w:sz w:val="24"/>
        </w:rPr>
        <w:t>已对</w:t>
      </w:r>
      <w:r>
        <w:rPr>
          <w:rFonts w:hint="eastAsia"/>
          <w:sz w:val="24"/>
        </w:rPr>
        <w:t>谈判</w:t>
      </w:r>
      <w:r>
        <w:rPr>
          <w:sz w:val="24"/>
        </w:rPr>
        <w:t>文件要求</w:t>
      </w:r>
      <w:r>
        <w:rPr>
          <w:rFonts w:hint="eastAsia"/>
          <w:sz w:val="24"/>
        </w:rPr>
        <w:t>作</w:t>
      </w:r>
      <w:r>
        <w:rPr>
          <w:sz w:val="24"/>
        </w:rPr>
        <w:t>出了实质性的响应，并</w:t>
      </w:r>
      <w:r>
        <w:rPr>
          <w:rFonts w:hint="eastAsia"/>
          <w:sz w:val="24"/>
        </w:rPr>
        <w:t>说明</w:t>
      </w:r>
      <w:r>
        <w:rPr>
          <w:sz w:val="24"/>
        </w:rPr>
        <w:t>响应</w:t>
      </w:r>
      <w:r>
        <w:rPr>
          <w:rFonts w:hint="eastAsia"/>
          <w:sz w:val="24"/>
        </w:rPr>
        <w:t>情况</w:t>
      </w:r>
      <w:r>
        <w:rPr>
          <w:sz w:val="24"/>
        </w:rPr>
        <w:t>。如果仅注明“符合”、“满足”或简单复制</w:t>
      </w:r>
      <w:r>
        <w:rPr>
          <w:rFonts w:hint="eastAsia"/>
          <w:sz w:val="24"/>
        </w:rPr>
        <w:t>谈判</w:t>
      </w:r>
      <w:r>
        <w:rPr>
          <w:sz w:val="24"/>
        </w:rPr>
        <w:t>文件要求，将导致响应文件无效。</w:t>
      </w:r>
    </w:p>
    <w:p w14:paraId="3AA5BFDB">
      <w:pPr>
        <w:spacing w:line="440" w:lineRule="exact"/>
        <w:rPr>
          <w:sz w:val="24"/>
        </w:rPr>
      </w:pPr>
    </w:p>
    <w:p w14:paraId="7C908C92">
      <w:pPr>
        <w:spacing w:line="440" w:lineRule="exact"/>
        <w:rPr>
          <w:sz w:val="24"/>
        </w:rPr>
      </w:pPr>
    </w:p>
    <w:p w14:paraId="2A17A10C">
      <w:pPr>
        <w:spacing w:line="440" w:lineRule="exact"/>
        <w:rPr>
          <w:sz w:val="24"/>
        </w:rPr>
      </w:pPr>
    </w:p>
    <w:p w14:paraId="1FF88FA1">
      <w:pPr>
        <w:spacing w:line="440" w:lineRule="exact"/>
        <w:rPr>
          <w:sz w:val="24"/>
          <w:u w:val="single"/>
        </w:rPr>
      </w:pPr>
      <w:r>
        <w:rPr>
          <w:sz w:val="24"/>
        </w:rPr>
        <w:t>供应商名称（公章）：</w:t>
      </w:r>
    </w:p>
    <w:p w14:paraId="7E983D93">
      <w:pPr>
        <w:spacing w:line="440" w:lineRule="exact"/>
        <w:rPr>
          <w:sz w:val="24"/>
          <w:u w:val="single"/>
        </w:rPr>
      </w:pPr>
      <w:r>
        <w:rPr>
          <w:sz w:val="24"/>
        </w:rPr>
        <w:t>授权代表（签字）</w:t>
      </w:r>
      <w:r>
        <w:rPr>
          <w:rFonts w:hint="eastAsia"/>
          <w:sz w:val="24"/>
        </w:rPr>
        <w:t>：</w:t>
      </w:r>
    </w:p>
    <w:p w14:paraId="50020FFC">
      <w:pPr>
        <w:spacing w:line="440" w:lineRule="exact"/>
        <w:rPr>
          <w:sz w:val="24"/>
        </w:rPr>
      </w:pPr>
      <w:r>
        <w:rPr>
          <w:sz w:val="24"/>
        </w:rPr>
        <w:t>时间：</w:t>
      </w:r>
    </w:p>
    <w:p w14:paraId="30DA8DED">
      <w:pPr>
        <w:widowControl/>
        <w:jc w:val="left"/>
        <w:rPr>
          <w:bCs/>
          <w:sz w:val="24"/>
        </w:rPr>
      </w:pPr>
    </w:p>
    <w:p w14:paraId="67A64DB7">
      <w:pPr>
        <w:widowControl/>
        <w:jc w:val="left"/>
        <w:rPr>
          <w:bCs/>
          <w:sz w:val="24"/>
        </w:rPr>
      </w:pPr>
      <w:r>
        <w:rPr>
          <w:bCs/>
          <w:sz w:val="24"/>
        </w:rPr>
        <w:br w:type="page"/>
      </w:r>
    </w:p>
    <w:p w14:paraId="5BE63453">
      <w:pPr>
        <w:spacing w:line="480" w:lineRule="auto"/>
        <w:rPr>
          <w:bCs/>
          <w:sz w:val="24"/>
        </w:rPr>
      </w:pPr>
      <w:r>
        <w:rPr>
          <w:rFonts w:hint="eastAsia"/>
          <w:bCs/>
          <w:sz w:val="24"/>
        </w:rPr>
        <w:t>附件5</w:t>
      </w:r>
    </w:p>
    <w:p w14:paraId="15F3C6CF">
      <w:pPr>
        <w:jc w:val="center"/>
        <w:rPr>
          <w:bCs/>
          <w:sz w:val="32"/>
          <w:szCs w:val="32"/>
        </w:rPr>
      </w:pPr>
      <w:r>
        <w:rPr>
          <w:bCs/>
          <w:sz w:val="32"/>
          <w:szCs w:val="32"/>
        </w:rPr>
        <w:t>技术响应、偏离情况说明表</w:t>
      </w:r>
    </w:p>
    <w:p w14:paraId="716550B2">
      <w:pPr>
        <w:rPr>
          <w:bCs/>
          <w:sz w:val="24"/>
        </w:rPr>
      </w:pPr>
      <w:r>
        <w:rPr>
          <w:bCs/>
          <w:sz w:val="24"/>
        </w:rPr>
        <w:t>项目编号</w:t>
      </w:r>
      <w:r>
        <w:rPr>
          <w:rFonts w:hint="eastAsia"/>
          <w:sz w:val="24"/>
        </w:rPr>
        <w:t>（包号）</w:t>
      </w:r>
      <w:r>
        <w:rPr>
          <w:bCs/>
          <w:sz w:val="24"/>
        </w:rPr>
        <w:t>：</w:t>
      </w:r>
    </w:p>
    <w:p w14:paraId="0B978272">
      <w:pPr>
        <w:rPr>
          <w:bCs/>
          <w:sz w:val="24"/>
        </w:rPr>
      </w:pPr>
      <w:r>
        <w:rPr>
          <w:bCs/>
          <w:sz w:val="24"/>
        </w:rPr>
        <w:t>项目名称：</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204"/>
        <w:gridCol w:w="2269"/>
        <w:gridCol w:w="1278"/>
        <w:gridCol w:w="2315"/>
      </w:tblGrid>
      <w:tr w14:paraId="03C07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71F891D9">
            <w:pPr>
              <w:jc w:val="center"/>
              <w:rPr>
                <w:bCs/>
                <w:sz w:val="24"/>
              </w:rPr>
            </w:pPr>
            <w:r>
              <w:rPr>
                <w:bCs/>
                <w:sz w:val="24"/>
              </w:rPr>
              <w:t>序号</w:t>
            </w:r>
          </w:p>
        </w:tc>
        <w:tc>
          <w:tcPr>
            <w:tcW w:w="2204" w:type="dxa"/>
            <w:vAlign w:val="center"/>
          </w:tcPr>
          <w:p w14:paraId="1EE37455">
            <w:pPr>
              <w:rPr>
                <w:bCs/>
                <w:sz w:val="24"/>
              </w:rPr>
            </w:pPr>
            <w:r>
              <w:rPr>
                <w:bCs/>
                <w:sz w:val="24"/>
              </w:rPr>
              <w:t>谈判文件要求部分</w:t>
            </w:r>
          </w:p>
        </w:tc>
        <w:tc>
          <w:tcPr>
            <w:tcW w:w="2269" w:type="dxa"/>
            <w:vAlign w:val="center"/>
          </w:tcPr>
          <w:p w14:paraId="5A0CA887">
            <w:pPr>
              <w:ind w:leftChars="-38" w:right="-106" w:rightChars="-38" w:hanging="105" w:hangingChars="44"/>
              <w:jc w:val="center"/>
              <w:rPr>
                <w:bCs/>
                <w:sz w:val="24"/>
              </w:rPr>
            </w:pPr>
            <w:r>
              <w:rPr>
                <w:bCs/>
                <w:sz w:val="24"/>
              </w:rPr>
              <w:t>响应文件的响应部分</w:t>
            </w:r>
          </w:p>
        </w:tc>
        <w:tc>
          <w:tcPr>
            <w:tcW w:w="1278" w:type="dxa"/>
            <w:vAlign w:val="center"/>
          </w:tcPr>
          <w:p w14:paraId="45C1F211">
            <w:pPr>
              <w:jc w:val="center"/>
              <w:rPr>
                <w:bCs/>
                <w:sz w:val="24"/>
              </w:rPr>
            </w:pPr>
            <w:r>
              <w:rPr>
                <w:bCs/>
                <w:sz w:val="24"/>
              </w:rPr>
              <w:t>偏离说明</w:t>
            </w:r>
          </w:p>
        </w:tc>
        <w:tc>
          <w:tcPr>
            <w:tcW w:w="2315" w:type="dxa"/>
            <w:vAlign w:val="center"/>
          </w:tcPr>
          <w:p w14:paraId="07DD10CC">
            <w:pPr>
              <w:jc w:val="center"/>
              <w:rPr>
                <w:bCs/>
                <w:sz w:val="24"/>
              </w:rPr>
            </w:pPr>
            <w:r>
              <w:rPr>
                <w:bCs/>
                <w:sz w:val="24"/>
              </w:rPr>
              <w:t>备注</w:t>
            </w:r>
          </w:p>
        </w:tc>
      </w:tr>
      <w:tr w14:paraId="5B70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4B412C7">
            <w:pPr>
              <w:jc w:val="center"/>
              <w:rPr>
                <w:bCs/>
                <w:sz w:val="24"/>
              </w:rPr>
            </w:pPr>
            <w:r>
              <w:rPr>
                <w:bCs/>
                <w:sz w:val="24"/>
              </w:rPr>
              <w:t>1</w:t>
            </w:r>
          </w:p>
        </w:tc>
        <w:tc>
          <w:tcPr>
            <w:tcW w:w="2204" w:type="dxa"/>
            <w:vAlign w:val="center"/>
          </w:tcPr>
          <w:p w14:paraId="766B471F">
            <w:pPr>
              <w:rPr>
                <w:bCs/>
                <w:sz w:val="24"/>
              </w:rPr>
            </w:pPr>
          </w:p>
        </w:tc>
        <w:tc>
          <w:tcPr>
            <w:tcW w:w="2269" w:type="dxa"/>
            <w:vAlign w:val="center"/>
          </w:tcPr>
          <w:p w14:paraId="15D08DBA">
            <w:pPr>
              <w:rPr>
                <w:bCs/>
                <w:sz w:val="24"/>
              </w:rPr>
            </w:pPr>
          </w:p>
        </w:tc>
        <w:tc>
          <w:tcPr>
            <w:tcW w:w="1278" w:type="dxa"/>
            <w:vAlign w:val="center"/>
          </w:tcPr>
          <w:p w14:paraId="119B82AD">
            <w:pPr>
              <w:rPr>
                <w:bCs/>
                <w:sz w:val="24"/>
              </w:rPr>
            </w:pPr>
          </w:p>
        </w:tc>
        <w:tc>
          <w:tcPr>
            <w:tcW w:w="2315" w:type="dxa"/>
            <w:vAlign w:val="center"/>
          </w:tcPr>
          <w:p w14:paraId="0C7FB4B4">
            <w:pPr>
              <w:jc w:val="center"/>
              <w:rPr>
                <w:bCs/>
                <w:sz w:val="24"/>
              </w:rPr>
            </w:pPr>
          </w:p>
        </w:tc>
      </w:tr>
      <w:tr w14:paraId="0CC36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7B0167E">
            <w:pPr>
              <w:jc w:val="center"/>
              <w:rPr>
                <w:bCs/>
                <w:sz w:val="24"/>
              </w:rPr>
            </w:pPr>
            <w:r>
              <w:rPr>
                <w:bCs/>
                <w:sz w:val="24"/>
              </w:rPr>
              <w:t>2</w:t>
            </w:r>
          </w:p>
        </w:tc>
        <w:tc>
          <w:tcPr>
            <w:tcW w:w="2204" w:type="dxa"/>
            <w:vAlign w:val="center"/>
          </w:tcPr>
          <w:p w14:paraId="6395D55B">
            <w:pPr>
              <w:rPr>
                <w:bCs/>
                <w:sz w:val="24"/>
              </w:rPr>
            </w:pPr>
          </w:p>
        </w:tc>
        <w:tc>
          <w:tcPr>
            <w:tcW w:w="2269" w:type="dxa"/>
            <w:vAlign w:val="center"/>
          </w:tcPr>
          <w:p w14:paraId="41D9045A">
            <w:pPr>
              <w:rPr>
                <w:bCs/>
                <w:sz w:val="24"/>
              </w:rPr>
            </w:pPr>
          </w:p>
        </w:tc>
        <w:tc>
          <w:tcPr>
            <w:tcW w:w="1278" w:type="dxa"/>
            <w:vAlign w:val="center"/>
          </w:tcPr>
          <w:p w14:paraId="49C8B3D2">
            <w:pPr>
              <w:rPr>
                <w:bCs/>
                <w:sz w:val="24"/>
              </w:rPr>
            </w:pPr>
          </w:p>
        </w:tc>
        <w:tc>
          <w:tcPr>
            <w:tcW w:w="2315" w:type="dxa"/>
            <w:vAlign w:val="center"/>
          </w:tcPr>
          <w:p w14:paraId="0595C966">
            <w:pPr>
              <w:jc w:val="center"/>
              <w:rPr>
                <w:bCs/>
                <w:sz w:val="24"/>
              </w:rPr>
            </w:pPr>
          </w:p>
        </w:tc>
      </w:tr>
      <w:tr w14:paraId="0C79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8923FB5">
            <w:pPr>
              <w:jc w:val="center"/>
              <w:rPr>
                <w:bCs/>
                <w:sz w:val="24"/>
              </w:rPr>
            </w:pPr>
            <w:r>
              <w:rPr>
                <w:bCs/>
                <w:sz w:val="24"/>
              </w:rPr>
              <w:t>3</w:t>
            </w:r>
          </w:p>
        </w:tc>
        <w:tc>
          <w:tcPr>
            <w:tcW w:w="2204" w:type="dxa"/>
            <w:vAlign w:val="center"/>
          </w:tcPr>
          <w:p w14:paraId="3FB447FC">
            <w:pPr>
              <w:rPr>
                <w:bCs/>
                <w:sz w:val="24"/>
              </w:rPr>
            </w:pPr>
          </w:p>
        </w:tc>
        <w:tc>
          <w:tcPr>
            <w:tcW w:w="2269" w:type="dxa"/>
            <w:vAlign w:val="center"/>
          </w:tcPr>
          <w:p w14:paraId="7EC01BC9">
            <w:pPr>
              <w:rPr>
                <w:bCs/>
                <w:sz w:val="24"/>
              </w:rPr>
            </w:pPr>
          </w:p>
        </w:tc>
        <w:tc>
          <w:tcPr>
            <w:tcW w:w="1278" w:type="dxa"/>
            <w:vAlign w:val="center"/>
          </w:tcPr>
          <w:p w14:paraId="7C18BAEE">
            <w:pPr>
              <w:rPr>
                <w:bCs/>
                <w:sz w:val="24"/>
              </w:rPr>
            </w:pPr>
          </w:p>
        </w:tc>
        <w:tc>
          <w:tcPr>
            <w:tcW w:w="2315" w:type="dxa"/>
            <w:vAlign w:val="center"/>
          </w:tcPr>
          <w:p w14:paraId="02B7E813">
            <w:pPr>
              <w:jc w:val="center"/>
              <w:rPr>
                <w:bCs/>
                <w:sz w:val="24"/>
              </w:rPr>
            </w:pPr>
          </w:p>
        </w:tc>
      </w:tr>
      <w:tr w14:paraId="4E99D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F49E2B1">
            <w:pPr>
              <w:jc w:val="center"/>
              <w:rPr>
                <w:bCs/>
                <w:sz w:val="24"/>
              </w:rPr>
            </w:pPr>
            <w:r>
              <w:rPr>
                <w:bCs/>
                <w:sz w:val="24"/>
              </w:rPr>
              <w:t>4</w:t>
            </w:r>
          </w:p>
        </w:tc>
        <w:tc>
          <w:tcPr>
            <w:tcW w:w="2204" w:type="dxa"/>
            <w:vAlign w:val="center"/>
          </w:tcPr>
          <w:p w14:paraId="78C195BD">
            <w:pPr>
              <w:rPr>
                <w:bCs/>
                <w:sz w:val="24"/>
              </w:rPr>
            </w:pPr>
          </w:p>
        </w:tc>
        <w:tc>
          <w:tcPr>
            <w:tcW w:w="2269" w:type="dxa"/>
            <w:vAlign w:val="center"/>
          </w:tcPr>
          <w:p w14:paraId="2FA241D5">
            <w:pPr>
              <w:rPr>
                <w:bCs/>
                <w:sz w:val="24"/>
              </w:rPr>
            </w:pPr>
          </w:p>
        </w:tc>
        <w:tc>
          <w:tcPr>
            <w:tcW w:w="1278" w:type="dxa"/>
            <w:vAlign w:val="center"/>
          </w:tcPr>
          <w:p w14:paraId="05E51F45">
            <w:pPr>
              <w:rPr>
                <w:bCs/>
                <w:sz w:val="24"/>
              </w:rPr>
            </w:pPr>
          </w:p>
        </w:tc>
        <w:tc>
          <w:tcPr>
            <w:tcW w:w="2315" w:type="dxa"/>
            <w:vAlign w:val="center"/>
          </w:tcPr>
          <w:p w14:paraId="57DFCE26">
            <w:pPr>
              <w:jc w:val="center"/>
              <w:rPr>
                <w:bCs/>
                <w:sz w:val="24"/>
              </w:rPr>
            </w:pPr>
          </w:p>
        </w:tc>
      </w:tr>
      <w:tr w14:paraId="02AA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0D5AC31">
            <w:pPr>
              <w:jc w:val="center"/>
              <w:rPr>
                <w:bCs/>
                <w:sz w:val="24"/>
              </w:rPr>
            </w:pPr>
            <w:r>
              <w:rPr>
                <w:bCs/>
                <w:sz w:val="24"/>
              </w:rPr>
              <w:t>5</w:t>
            </w:r>
          </w:p>
        </w:tc>
        <w:tc>
          <w:tcPr>
            <w:tcW w:w="2204" w:type="dxa"/>
            <w:vAlign w:val="center"/>
          </w:tcPr>
          <w:p w14:paraId="5E25D594">
            <w:pPr>
              <w:rPr>
                <w:bCs/>
                <w:sz w:val="24"/>
              </w:rPr>
            </w:pPr>
          </w:p>
        </w:tc>
        <w:tc>
          <w:tcPr>
            <w:tcW w:w="2269" w:type="dxa"/>
            <w:vAlign w:val="center"/>
          </w:tcPr>
          <w:p w14:paraId="3A8A364E">
            <w:pPr>
              <w:rPr>
                <w:bCs/>
                <w:sz w:val="24"/>
              </w:rPr>
            </w:pPr>
          </w:p>
        </w:tc>
        <w:tc>
          <w:tcPr>
            <w:tcW w:w="1278" w:type="dxa"/>
            <w:vAlign w:val="center"/>
          </w:tcPr>
          <w:p w14:paraId="187CC0C9">
            <w:pPr>
              <w:rPr>
                <w:bCs/>
                <w:sz w:val="24"/>
              </w:rPr>
            </w:pPr>
          </w:p>
        </w:tc>
        <w:tc>
          <w:tcPr>
            <w:tcW w:w="2315" w:type="dxa"/>
            <w:vAlign w:val="center"/>
          </w:tcPr>
          <w:p w14:paraId="0ACF1C59">
            <w:pPr>
              <w:jc w:val="center"/>
              <w:rPr>
                <w:bCs/>
                <w:sz w:val="24"/>
              </w:rPr>
            </w:pPr>
          </w:p>
        </w:tc>
      </w:tr>
      <w:tr w14:paraId="25E31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85A427C">
            <w:pPr>
              <w:jc w:val="center"/>
              <w:rPr>
                <w:bCs/>
                <w:sz w:val="24"/>
              </w:rPr>
            </w:pPr>
            <w:r>
              <w:rPr>
                <w:bCs/>
                <w:sz w:val="24"/>
              </w:rPr>
              <w:t>6</w:t>
            </w:r>
          </w:p>
        </w:tc>
        <w:tc>
          <w:tcPr>
            <w:tcW w:w="2204" w:type="dxa"/>
            <w:vAlign w:val="center"/>
          </w:tcPr>
          <w:p w14:paraId="6FF460FA">
            <w:pPr>
              <w:rPr>
                <w:bCs/>
                <w:sz w:val="24"/>
              </w:rPr>
            </w:pPr>
          </w:p>
        </w:tc>
        <w:tc>
          <w:tcPr>
            <w:tcW w:w="2269" w:type="dxa"/>
            <w:vAlign w:val="center"/>
          </w:tcPr>
          <w:p w14:paraId="3013A297">
            <w:pPr>
              <w:rPr>
                <w:bCs/>
                <w:sz w:val="24"/>
              </w:rPr>
            </w:pPr>
          </w:p>
        </w:tc>
        <w:tc>
          <w:tcPr>
            <w:tcW w:w="1278" w:type="dxa"/>
            <w:vAlign w:val="center"/>
          </w:tcPr>
          <w:p w14:paraId="3A348911">
            <w:pPr>
              <w:rPr>
                <w:bCs/>
                <w:sz w:val="24"/>
              </w:rPr>
            </w:pPr>
          </w:p>
        </w:tc>
        <w:tc>
          <w:tcPr>
            <w:tcW w:w="2315" w:type="dxa"/>
            <w:vAlign w:val="center"/>
          </w:tcPr>
          <w:p w14:paraId="5EFE47DA">
            <w:pPr>
              <w:jc w:val="center"/>
              <w:rPr>
                <w:bCs/>
                <w:sz w:val="24"/>
              </w:rPr>
            </w:pPr>
          </w:p>
        </w:tc>
      </w:tr>
      <w:tr w14:paraId="66F15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9EE9184">
            <w:pPr>
              <w:jc w:val="center"/>
              <w:rPr>
                <w:bCs/>
                <w:sz w:val="24"/>
              </w:rPr>
            </w:pPr>
            <w:r>
              <w:rPr>
                <w:bCs/>
                <w:sz w:val="24"/>
              </w:rPr>
              <w:t>7</w:t>
            </w:r>
          </w:p>
        </w:tc>
        <w:tc>
          <w:tcPr>
            <w:tcW w:w="2204" w:type="dxa"/>
            <w:vAlign w:val="center"/>
          </w:tcPr>
          <w:p w14:paraId="72A25D37">
            <w:pPr>
              <w:rPr>
                <w:bCs/>
                <w:sz w:val="24"/>
              </w:rPr>
            </w:pPr>
          </w:p>
        </w:tc>
        <w:tc>
          <w:tcPr>
            <w:tcW w:w="2269" w:type="dxa"/>
            <w:vAlign w:val="center"/>
          </w:tcPr>
          <w:p w14:paraId="6A79D2CE">
            <w:pPr>
              <w:rPr>
                <w:bCs/>
                <w:sz w:val="24"/>
              </w:rPr>
            </w:pPr>
          </w:p>
        </w:tc>
        <w:tc>
          <w:tcPr>
            <w:tcW w:w="1278" w:type="dxa"/>
            <w:vAlign w:val="center"/>
          </w:tcPr>
          <w:p w14:paraId="04CE55D6">
            <w:pPr>
              <w:rPr>
                <w:bCs/>
                <w:sz w:val="24"/>
              </w:rPr>
            </w:pPr>
          </w:p>
        </w:tc>
        <w:tc>
          <w:tcPr>
            <w:tcW w:w="2315" w:type="dxa"/>
            <w:vAlign w:val="center"/>
          </w:tcPr>
          <w:p w14:paraId="0C950E7F">
            <w:pPr>
              <w:jc w:val="center"/>
              <w:rPr>
                <w:bCs/>
                <w:sz w:val="24"/>
              </w:rPr>
            </w:pPr>
          </w:p>
        </w:tc>
      </w:tr>
      <w:tr w14:paraId="0253E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8CCEE2A">
            <w:pPr>
              <w:jc w:val="center"/>
              <w:rPr>
                <w:bCs/>
                <w:sz w:val="24"/>
              </w:rPr>
            </w:pPr>
            <w:r>
              <w:rPr>
                <w:bCs/>
                <w:sz w:val="24"/>
              </w:rPr>
              <w:t>8</w:t>
            </w:r>
          </w:p>
        </w:tc>
        <w:tc>
          <w:tcPr>
            <w:tcW w:w="2204" w:type="dxa"/>
            <w:vAlign w:val="center"/>
          </w:tcPr>
          <w:p w14:paraId="5A9BD437">
            <w:pPr>
              <w:rPr>
                <w:bCs/>
                <w:sz w:val="24"/>
              </w:rPr>
            </w:pPr>
          </w:p>
        </w:tc>
        <w:tc>
          <w:tcPr>
            <w:tcW w:w="2269" w:type="dxa"/>
            <w:vAlign w:val="center"/>
          </w:tcPr>
          <w:p w14:paraId="15067453">
            <w:pPr>
              <w:rPr>
                <w:bCs/>
                <w:sz w:val="24"/>
              </w:rPr>
            </w:pPr>
          </w:p>
        </w:tc>
        <w:tc>
          <w:tcPr>
            <w:tcW w:w="1278" w:type="dxa"/>
            <w:vAlign w:val="center"/>
          </w:tcPr>
          <w:p w14:paraId="344EB853">
            <w:pPr>
              <w:rPr>
                <w:bCs/>
                <w:sz w:val="24"/>
              </w:rPr>
            </w:pPr>
          </w:p>
        </w:tc>
        <w:tc>
          <w:tcPr>
            <w:tcW w:w="2315" w:type="dxa"/>
            <w:vAlign w:val="center"/>
          </w:tcPr>
          <w:p w14:paraId="0BF348DB">
            <w:pPr>
              <w:jc w:val="center"/>
              <w:rPr>
                <w:bCs/>
                <w:sz w:val="24"/>
              </w:rPr>
            </w:pPr>
          </w:p>
        </w:tc>
      </w:tr>
      <w:tr w14:paraId="22FD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ED80E4C">
            <w:pPr>
              <w:jc w:val="center"/>
              <w:rPr>
                <w:bCs/>
                <w:sz w:val="24"/>
              </w:rPr>
            </w:pPr>
            <w:r>
              <w:rPr>
                <w:bCs/>
                <w:sz w:val="24"/>
              </w:rPr>
              <w:t>…</w:t>
            </w:r>
          </w:p>
        </w:tc>
        <w:tc>
          <w:tcPr>
            <w:tcW w:w="2204" w:type="dxa"/>
            <w:vAlign w:val="center"/>
          </w:tcPr>
          <w:p w14:paraId="19BC88BF">
            <w:pPr>
              <w:rPr>
                <w:bCs/>
                <w:sz w:val="24"/>
              </w:rPr>
            </w:pPr>
          </w:p>
        </w:tc>
        <w:tc>
          <w:tcPr>
            <w:tcW w:w="2269" w:type="dxa"/>
            <w:vAlign w:val="center"/>
          </w:tcPr>
          <w:p w14:paraId="6AD8FA00">
            <w:pPr>
              <w:rPr>
                <w:bCs/>
                <w:sz w:val="24"/>
              </w:rPr>
            </w:pPr>
          </w:p>
        </w:tc>
        <w:tc>
          <w:tcPr>
            <w:tcW w:w="1278" w:type="dxa"/>
            <w:vAlign w:val="center"/>
          </w:tcPr>
          <w:p w14:paraId="58A5C849">
            <w:pPr>
              <w:rPr>
                <w:bCs/>
                <w:sz w:val="24"/>
              </w:rPr>
            </w:pPr>
          </w:p>
        </w:tc>
        <w:tc>
          <w:tcPr>
            <w:tcW w:w="2315" w:type="dxa"/>
            <w:vAlign w:val="center"/>
          </w:tcPr>
          <w:p w14:paraId="6C4B72AC">
            <w:pPr>
              <w:jc w:val="center"/>
              <w:rPr>
                <w:bCs/>
                <w:sz w:val="24"/>
              </w:rPr>
            </w:pPr>
          </w:p>
        </w:tc>
      </w:tr>
    </w:tbl>
    <w:p w14:paraId="4EEA8637">
      <w:pPr>
        <w:adjustRightInd w:val="0"/>
        <w:snapToGrid w:val="0"/>
        <w:ind w:left="720" w:hanging="720" w:hangingChars="300"/>
        <w:rPr>
          <w:rFonts w:hint="eastAsia" w:ascii="宋体" w:hAnsi="宋体"/>
          <w:sz w:val="24"/>
        </w:rPr>
      </w:pPr>
      <w:r>
        <w:rPr>
          <w:rFonts w:ascii="宋体" w:hAnsi="宋体"/>
          <w:sz w:val="24"/>
        </w:rPr>
        <w:t>说明：</w:t>
      </w:r>
    </w:p>
    <w:p w14:paraId="48C225B2">
      <w:pPr>
        <w:spacing w:line="300" w:lineRule="auto"/>
        <w:ind w:firstLine="480" w:firstLineChars="200"/>
        <w:rPr>
          <w:sz w:val="24"/>
        </w:rPr>
      </w:pPr>
      <w:r>
        <w:rPr>
          <w:sz w:val="24"/>
        </w:rPr>
        <w:t>1. 备注栏中应提供相关内容在响应文件中的页码。</w:t>
      </w:r>
    </w:p>
    <w:p w14:paraId="7E1D2DD2">
      <w:pPr>
        <w:adjustRightInd w:val="0"/>
        <w:snapToGrid w:val="0"/>
        <w:ind w:firstLine="480" w:firstLineChars="200"/>
        <w:rPr>
          <w:rFonts w:hint="eastAsia" w:ascii="宋体" w:hAnsi="宋体"/>
          <w:sz w:val="24"/>
        </w:rPr>
      </w:pPr>
      <w:r>
        <w:rPr>
          <w:sz w:val="24"/>
        </w:rPr>
        <w:t>2. 应对照</w:t>
      </w:r>
      <w:r>
        <w:rPr>
          <w:rFonts w:hint="eastAsia"/>
          <w:sz w:val="24"/>
        </w:rPr>
        <w:t>谈判</w:t>
      </w:r>
      <w:r>
        <w:rPr>
          <w:sz w:val="24"/>
        </w:rPr>
        <w:t>文件的要求，逐条说明所提供</w:t>
      </w:r>
      <w:r>
        <w:rPr>
          <w:rFonts w:hint="eastAsia"/>
          <w:sz w:val="24"/>
        </w:rPr>
        <w:t>技术文件</w:t>
      </w:r>
      <w:r>
        <w:rPr>
          <w:sz w:val="24"/>
        </w:rPr>
        <w:t>已对</w:t>
      </w:r>
      <w:r>
        <w:rPr>
          <w:rFonts w:hint="eastAsia"/>
          <w:sz w:val="24"/>
        </w:rPr>
        <w:t>谈判</w:t>
      </w:r>
      <w:r>
        <w:rPr>
          <w:sz w:val="24"/>
        </w:rPr>
        <w:t>文件</w:t>
      </w:r>
      <w:r>
        <w:rPr>
          <w:rFonts w:hint="eastAsia"/>
          <w:sz w:val="24"/>
        </w:rPr>
        <w:t>作</w:t>
      </w:r>
      <w:r>
        <w:rPr>
          <w:sz w:val="24"/>
        </w:rPr>
        <w:t>出了实质性的响应，并</w:t>
      </w:r>
      <w:r>
        <w:rPr>
          <w:rFonts w:hint="eastAsia"/>
          <w:sz w:val="24"/>
        </w:rPr>
        <w:t>说明</w:t>
      </w:r>
      <w:r>
        <w:rPr>
          <w:sz w:val="24"/>
        </w:rPr>
        <w:t>响应</w:t>
      </w:r>
      <w:r>
        <w:rPr>
          <w:rFonts w:hint="eastAsia"/>
          <w:sz w:val="24"/>
        </w:rPr>
        <w:t>情况</w:t>
      </w:r>
      <w:r>
        <w:rPr>
          <w:sz w:val="24"/>
        </w:rPr>
        <w:t>。特别对有具体数量要求的指标，供应商必须提供具体数值。如果仅注明“符合”、“满足”或简单复制</w:t>
      </w:r>
      <w:r>
        <w:rPr>
          <w:rFonts w:hint="eastAsia"/>
          <w:sz w:val="24"/>
        </w:rPr>
        <w:t>谈判</w:t>
      </w:r>
      <w:r>
        <w:rPr>
          <w:sz w:val="24"/>
        </w:rPr>
        <w:t>文件要求，将导致响应文件无效。</w:t>
      </w:r>
    </w:p>
    <w:p w14:paraId="52238950">
      <w:pPr>
        <w:rPr>
          <w:bCs/>
          <w:szCs w:val="28"/>
        </w:rPr>
      </w:pPr>
    </w:p>
    <w:p w14:paraId="253D5B22">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供应商名称（公章）：</w:t>
      </w:r>
    </w:p>
    <w:p w14:paraId="5CF74217">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授权代表（签字）:</w:t>
      </w:r>
    </w:p>
    <w:p w14:paraId="2119DFBE">
      <w:pPr>
        <w:spacing w:line="480" w:lineRule="auto"/>
        <w:rPr>
          <w:sz w:val="24"/>
          <w:u w:val="single"/>
        </w:rPr>
      </w:pPr>
      <w:r>
        <w:rPr>
          <w:sz w:val="24"/>
        </w:rPr>
        <w:t>时间：</w:t>
      </w:r>
    </w:p>
    <w:p w14:paraId="1D608E02">
      <w:pPr>
        <w:rPr>
          <w:bCs/>
          <w:sz w:val="24"/>
        </w:rPr>
      </w:pPr>
      <w:r>
        <w:rPr>
          <w:bCs/>
          <w:szCs w:val="28"/>
        </w:rPr>
        <w:br w:type="page"/>
      </w:r>
      <w:r>
        <w:rPr>
          <w:bCs/>
          <w:sz w:val="24"/>
        </w:rPr>
        <w:t>附件</w:t>
      </w:r>
      <w:r>
        <w:rPr>
          <w:rFonts w:hint="eastAsia"/>
          <w:bCs/>
          <w:sz w:val="24"/>
        </w:rPr>
        <w:t>6</w:t>
      </w:r>
    </w:p>
    <w:p w14:paraId="0FC48FB4">
      <w:pPr>
        <w:jc w:val="center"/>
        <w:rPr>
          <w:bCs/>
          <w:sz w:val="32"/>
          <w:szCs w:val="32"/>
        </w:rPr>
      </w:pPr>
      <w:r>
        <w:rPr>
          <w:bCs/>
          <w:sz w:val="32"/>
          <w:szCs w:val="32"/>
        </w:rPr>
        <w:t>合同草案条款响应、偏离情况说明表</w:t>
      </w:r>
    </w:p>
    <w:p w14:paraId="56200B60">
      <w:pPr>
        <w:rPr>
          <w:bCs/>
          <w:sz w:val="24"/>
        </w:rPr>
      </w:pPr>
      <w:r>
        <w:rPr>
          <w:bCs/>
          <w:sz w:val="24"/>
        </w:rPr>
        <w:t>项目名称：</w:t>
      </w:r>
    </w:p>
    <w:p w14:paraId="598C31F0">
      <w:pPr>
        <w:rPr>
          <w:bCs/>
          <w:sz w:val="24"/>
        </w:rPr>
      </w:pPr>
      <w:r>
        <w:rPr>
          <w:bCs/>
          <w:sz w:val="24"/>
        </w:rPr>
        <w:t>项目编号：</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061"/>
        <w:gridCol w:w="2269"/>
        <w:gridCol w:w="1277"/>
        <w:gridCol w:w="2459"/>
      </w:tblGrid>
      <w:tr w14:paraId="4A95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4E395F7D">
            <w:pPr>
              <w:rPr>
                <w:bCs/>
                <w:sz w:val="24"/>
              </w:rPr>
            </w:pPr>
            <w:r>
              <w:rPr>
                <w:bCs/>
                <w:sz w:val="24"/>
              </w:rPr>
              <w:t>序号</w:t>
            </w:r>
          </w:p>
        </w:tc>
        <w:tc>
          <w:tcPr>
            <w:tcW w:w="2061" w:type="dxa"/>
            <w:vAlign w:val="center"/>
          </w:tcPr>
          <w:p w14:paraId="4019ACBE">
            <w:pPr>
              <w:ind w:right="-106" w:rightChars="-38"/>
              <w:jc w:val="center"/>
              <w:rPr>
                <w:bCs/>
                <w:sz w:val="24"/>
              </w:rPr>
            </w:pPr>
            <w:r>
              <w:rPr>
                <w:bCs/>
                <w:sz w:val="24"/>
              </w:rPr>
              <w:t>谈判文件要求部分</w:t>
            </w:r>
          </w:p>
        </w:tc>
        <w:tc>
          <w:tcPr>
            <w:tcW w:w="2269" w:type="dxa"/>
            <w:vAlign w:val="center"/>
          </w:tcPr>
          <w:p w14:paraId="7440752C">
            <w:pPr>
              <w:ind w:left="2" w:leftChars="-38" w:right="-106" w:rightChars="-38" w:hanging="108" w:hangingChars="45"/>
              <w:jc w:val="center"/>
              <w:rPr>
                <w:bCs/>
                <w:sz w:val="24"/>
              </w:rPr>
            </w:pPr>
            <w:r>
              <w:rPr>
                <w:bCs/>
                <w:sz w:val="24"/>
              </w:rPr>
              <w:t>响应文件的响应部分</w:t>
            </w:r>
          </w:p>
        </w:tc>
        <w:tc>
          <w:tcPr>
            <w:tcW w:w="1277" w:type="dxa"/>
            <w:vAlign w:val="center"/>
          </w:tcPr>
          <w:p w14:paraId="7EA79851">
            <w:pPr>
              <w:jc w:val="center"/>
              <w:rPr>
                <w:bCs/>
                <w:sz w:val="24"/>
              </w:rPr>
            </w:pPr>
            <w:r>
              <w:rPr>
                <w:bCs/>
                <w:sz w:val="24"/>
              </w:rPr>
              <w:t>偏离说明</w:t>
            </w:r>
          </w:p>
        </w:tc>
        <w:tc>
          <w:tcPr>
            <w:tcW w:w="2459" w:type="dxa"/>
            <w:vAlign w:val="center"/>
          </w:tcPr>
          <w:p w14:paraId="7640C8DC">
            <w:pPr>
              <w:jc w:val="center"/>
              <w:rPr>
                <w:bCs/>
                <w:sz w:val="24"/>
              </w:rPr>
            </w:pPr>
            <w:r>
              <w:rPr>
                <w:bCs/>
                <w:sz w:val="24"/>
              </w:rPr>
              <w:t>备注</w:t>
            </w:r>
          </w:p>
        </w:tc>
      </w:tr>
      <w:tr w14:paraId="72EE3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E38EF51">
            <w:pPr>
              <w:rPr>
                <w:bCs/>
                <w:sz w:val="24"/>
              </w:rPr>
            </w:pPr>
            <w:r>
              <w:rPr>
                <w:bCs/>
                <w:sz w:val="24"/>
              </w:rPr>
              <w:t>1</w:t>
            </w:r>
          </w:p>
        </w:tc>
        <w:tc>
          <w:tcPr>
            <w:tcW w:w="2061" w:type="dxa"/>
            <w:vAlign w:val="center"/>
          </w:tcPr>
          <w:p w14:paraId="4C942DEA">
            <w:pPr>
              <w:rPr>
                <w:bCs/>
                <w:sz w:val="24"/>
              </w:rPr>
            </w:pPr>
          </w:p>
        </w:tc>
        <w:tc>
          <w:tcPr>
            <w:tcW w:w="2269" w:type="dxa"/>
            <w:vAlign w:val="center"/>
          </w:tcPr>
          <w:p w14:paraId="5D2886C7">
            <w:pPr>
              <w:rPr>
                <w:bCs/>
                <w:sz w:val="24"/>
              </w:rPr>
            </w:pPr>
          </w:p>
        </w:tc>
        <w:tc>
          <w:tcPr>
            <w:tcW w:w="1277" w:type="dxa"/>
            <w:vAlign w:val="center"/>
          </w:tcPr>
          <w:p w14:paraId="430E0520">
            <w:pPr>
              <w:rPr>
                <w:bCs/>
                <w:sz w:val="24"/>
              </w:rPr>
            </w:pPr>
          </w:p>
        </w:tc>
        <w:tc>
          <w:tcPr>
            <w:tcW w:w="2459" w:type="dxa"/>
            <w:vAlign w:val="center"/>
          </w:tcPr>
          <w:p w14:paraId="3610DD7C">
            <w:pPr>
              <w:jc w:val="center"/>
              <w:rPr>
                <w:bCs/>
                <w:sz w:val="24"/>
              </w:rPr>
            </w:pPr>
          </w:p>
        </w:tc>
      </w:tr>
      <w:tr w14:paraId="43C65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657E9E6">
            <w:pPr>
              <w:rPr>
                <w:bCs/>
                <w:sz w:val="24"/>
              </w:rPr>
            </w:pPr>
            <w:r>
              <w:rPr>
                <w:bCs/>
                <w:sz w:val="24"/>
              </w:rPr>
              <w:t>2</w:t>
            </w:r>
          </w:p>
        </w:tc>
        <w:tc>
          <w:tcPr>
            <w:tcW w:w="2061" w:type="dxa"/>
            <w:vAlign w:val="center"/>
          </w:tcPr>
          <w:p w14:paraId="09D2A814">
            <w:pPr>
              <w:rPr>
                <w:bCs/>
                <w:sz w:val="24"/>
              </w:rPr>
            </w:pPr>
          </w:p>
        </w:tc>
        <w:tc>
          <w:tcPr>
            <w:tcW w:w="2269" w:type="dxa"/>
            <w:vAlign w:val="center"/>
          </w:tcPr>
          <w:p w14:paraId="0E8C09AF">
            <w:pPr>
              <w:rPr>
                <w:bCs/>
                <w:sz w:val="24"/>
              </w:rPr>
            </w:pPr>
          </w:p>
        </w:tc>
        <w:tc>
          <w:tcPr>
            <w:tcW w:w="1277" w:type="dxa"/>
            <w:vAlign w:val="center"/>
          </w:tcPr>
          <w:p w14:paraId="1275EA3C">
            <w:pPr>
              <w:rPr>
                <w:bCs/>
                <w:sz w:val="24"/>
              </w:rPr>
            </w:pPr>
          </w:p>
        </w:tc>
        <w:tc>
          <w:tcPr>
            <w:tcW w:w="2459" w:type="dxa"/>
            <w:vAlign w:val="center"/>
          </w:tcPr>
          <w:p w14:paraId="4579B2B0">
            <w:pPr>
              <w:jc w:val="center"/>
              <w:rPr>
                <w:bCs/>
                <w:sz w:val="24"/>
              </w:rPr>
            </w:pPr>
          </w:p>
        </w:tc>
      </w:tr>
      <w:tr w14:paraId="573EB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8CAECB7">
            <w:pPr>
              <w:rPr>
                <w:bCs/>
                <w:sz w:val="24"/>
              </w:rPr>
            </w:pPr>
            <w:r>
              <w:rPr>
                <w:bCs/>
                <w:sz w:val="24"/>
              </w:rPr>
              <w:t>3</w:t>
            </w:r>
          </w:p>
        </w:tc>
        <w:tc>
          <w:tcPr>
            <w:tcW w:w="2061" w:type="dxa"/>
            <w:vAlign w:val="center"/>
          </w:tcPr>
          <w:p w14:paraId="5B61853D">
            <w:pPr>
              <w:rPr>
                <w:bCs/>
                <w:sz w:val="24"/>
              </w:rPr>
            </w:pPr>
          </w:p>
        </w:tc>
        <w:tc>
          <w:tcPr>
            <w:tcW w:w="2269" w:type="dxa"/>
            <w:vAlign w:val="center"/>
          </w:tcPr>
          <w:p w14:paraId="6FFB9B31">
            <w:pPr>
              <w:rPr>
                <w:bCs/>
                <w:sz w:val="24"/>
              </w:rPr>
            </w:pPr>
          </w:p>
        </w:tc>
        <w:tc>
          <w:tcPr>
            <w:tcW w:w="1277" w:type="dxa"/>
            <w:vAlign w:val="center"/>
          </w:tcPr>
          <w:p w14:paraId="567A8A81">
            <w:pPr>
              <w:rPr>
                <w:bCs/>
                <w:sz w:val="24"/>
              </w:rPr>
            </w:pPr>
          </w:p>
        </w:tc>
        <w:tc>
          <w:tcPr>
            <w:tcW w:w="2459" w:type="dxa"/>
            <w:vAlign w:val="center"/>
          </w:tcPr>
          <w:p w14:paraId="41C46702">
            <w:pPr>
              <w:jc w:val="center"/>
              <w:rPr>
                <w:bCs/>
                <w:sz w:val="24"/>
              </w:rPr>
            </w:pPr>
          </w:p>
        </w:tc>
      </w:tr>
      <w:tr w14:paraId="13BBF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4679B76">
            <w:pPr>
              <w:rPr>
                <w:bCs/>
                <w:sz w:val="24"/>
              </w:rPr>
            </w:pPr>
            <w:r>
              <w:rPr>
                <w:bCs/>
                <w:sz w:val="24"/>
              </w:rPr>
              <w:t>4</w:t>
            </w:r>
          </w:p>
        </w:tc>
        <w:tc>
          <w:tcPr>
            <w:tcW w:w="2061" w:type="dxa"/>
            <w:vAlign w:val="center"/>
          </w:tcPr>
          <w:p w14:paraId="20B1F4E5">
            <w:pPr>
              <w:rPr>
                <w:bCs/>
                <w:sz w:val="24"/>
              </w:rPr>
            </w:pPr>
          </w:p>
        </w:tc>
        <w:tc>
          <w:tcPr>
            <w:tcW w:w="2269" w:type="dxa"/>
            <w:vAlign w:val="center"/>
          </w:tcPr>
          <w:p w14:paraId="25A2AB57">
            <w:pPr>
              <w:rPr>
                <w:bCs/>
                <w:sz w:val="24"/>
              </w:rPr>
            </w:pPr>
          </w:p>
        </w:tc>
        <w:tc>
          <w:tcPr>
            <w:tcW w:w="1277" w:type="dxa"/>
            <w:vAlign w:val="center"/>
          </w:tcPr>
          <w:p w14:paraId="3A6083C5">
            <w:pPr>
              <w:rPr>
                <w:bCs/>
                <w:sz w:val="24"/>
              </w:rPr>
            </w:pPr>
          </w:p>
        </w:tc>
        <w:tc>
          <w:tcPr>
            <w:tcW w:w="2459" w:type="dxa"/>
            <w:vAlign w:val="center"/>
          </w:tcPr>
          <w:p w14:paraId="2C755BEE">
            <w:pPr>
              <w:jc w:val="center"/>
              <w:rPr>
                <w:bCs/>
                <w:sz w:val="24"/>
              </w:rPr>
            </w:pPr>
          </w:p>
        </w:tc>
      </w:tr>
      <w:tr w14:paraId="4CC2D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3E8CC99">
            <w:pPr>
              <w:rPr>
                <w:bCs/>
                <w:sz w:val="24"/>
              </w:rPr>
            </w:pPr>
            <w:r>
              <w:rPr>
                <w:bCs/>
                <w:sz w:val="24"/>
              </w:rPr>
              <w:t>5</w:t>
            </w:r>
          </w:p>
        </w:tc>
        <w:tc>
          <w:tcPr>
            <w:tcW w:w="2061" w:type="dxa"/>
            <w:vAlign w:val="center"/>
          </w:tcPr>
          <w:p w14:paraId="22402950">
            <w:pPr>
              <w:rPr>
                <w:bCs/>
                <w:sz w:val="24"/>
              </w:rPr>
            </w:pPr>
          </w:p>
        </w:tc>
        <w:tc>
          <w:tcPr>
            <w:tcW w:w="2269" w:type="dxa"/>
            <w:vAlign w:val="center"/>
          </w:tcPr>
          <w:p w14:paraId="7E6644FD">
            <w:pPr>
              <w:rPr>
                <w:bCs/>
                <w:sz w:val="24"/>
              </w:rPr>
            </w:pPr>
          </w:p>
        </w:tc>
        <w:tc>
          <w:tcPr>
            <w:tcW w:w="1277" w:type="dxa"/>
            <w:vAlign w:val="center"/>
          </w:tcPr>
          <w:p w14:paraId="1FE1909A">
            <w:pPr>
              <w:rPr>
                <w:bCs/>
                <w:sz w:val="24"/>
              </w:rPr>
            </w:pPr>
          </w:p>
        </w:tc>
        <w:tc>
          <w:tcPr>
            <w:tcW w:w="2459" w:type="dxa"/>
            <w:vAlign w:val="center"/>
          </w:tcPr>
          <w:p w14:paraId="36652CFD">
            <w:pPr>
              <w:jc w:val="center"/>
              <w:rPr>
                <w:bCs/>
                <w:sz w:val="24"/>
              </w:rPr>
            </w:pPr>
          </w:p>
        </w:tc>
      </w:tr>
      <w:tr w14:paraId="6D32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5CA877ED">
            <w:pPr>
              <w:rPr>
                <w:bCs/>
                <w:sz w:val="24"/>
              </w:rPr>
            </w:pPr>
            <w:r>
              <w:rPr>
                <w:bCs/>
                <w:sz w:val="24"/>
              </w:rPr>
              <w:t>6</w:t>
            </w:r>
          </w:p>
        </w:tc>
        <w:tc>
          <w:tcPr>
            <w:tcW w:w="2061" w:type="dxa"/>
            <w:vAlign w:val="center"/>
          </w:tcPr>
          <w:p w14:paraId="26596206">
            <w:pPr>
              <w:rPr>
                <w:bCs/>
                <w:sz w:val="24"/>
              </w:rPr>
            </w:pPr>
          </w:p>
        </w:tc>
        <w:tc>
          <w:tcPr>
            <w:tcW w:w="2269" w:type="dxa"/>
            <w:vAlign w:val="center"/>
          </w:tcPr>
          <w:p w14:paraId="44D15C96">
            <w:pPr>
              <w:rPr>
                <w:bCs/>
                <w:sz w:val="24"/>
              </w:rPr>
            </w:pPr>
          </w:p>
        </w:tc>
        <w:tc>
          <w:tcPr>
            <w:tcW w:w="1277" w:type="dxa"/>
            <w:vAlign w:val="center"/>
          </w:tcPr>
          <w:p w14:paraId="37C4C333">
            <w:pPr>
              <w:rPr>
                <w:bCs/>
                <w:sz w:val="24"/>
              </w:rPr>
            </w:pPr>
          </w:p>
        </w:tc>
        <w:tc>
          <w:tcPr>
            <w:tcW w:w="2459" w:type="dxa"/>
            <w:vAlign w:val="center"/>
          </w:tcPr>
          <w:p w14:paraId="299CF22A">
            <w:pPr>
              <w:jc w:val="center"/>
              <w:rPr>
                <w:bCs/>
                <w:sz w:val="24"/>
              </w:rPr>
            </w:pPr>
          </w:p>
        </w:tc>
      </w:tr>
      <w:tr w14:paraId="7E48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EC7A02A">
            <w:pPr>
              <w:rPr>
                <w:bCs/>
                <w:sz w:val="24"/>
              </w:rPr>
            </w:pPr>
            <w:r>
              <w:rPr>
                <w:bCs/>
                <w:sz w:val="24"/>
              </w:rPr>
              <w:t>7</w:t>
            </w:r>
          </w:p>
        </w:tc>
        <w:tc>
          <w:tcPr>
            <w:tcW w:w="2061" w:type="dxa"/>
            <w:vAlign w:val="center"/>
          </w:tcPr>
          <w:p w14:paraId="33265871">
            <w:pPr>
              <w:rPr>
                <w:bCs/>
                <w:sz w:val="24"/>
              </w:rPr>
            </w:pPr>
          </w:p>
        </w:tc>
        <w:tc>
          <w:tcPr>
            <w:tcW w:w="2269" w:type="dxa"/>
            <w:vAlign w:val="center"/>
          </w:tcPr>
          <w:p w14:paraId="4FF6257C">
            <w:pPr>
              <w:rPr>
                <w:bCs/>
                <w:sz w:val="24"/>
              </w:rPr>
            </w:pPr>
          </w:p>
        </w:tc>
        <w:tc>
          <w:tcPr>
            <w:tcW w:w="1277" w:type="dxa"/>
            <w:vAlign w:val="center"/>
          </w:tcPr>
          <w:p w14:paraId="70A77923">
            <w:pPr>
              <w:rPr>
                <w:bCs/>
                <w:sz w:val="24"/>
              </w:rPr>
            </w:pPr>
          </w:p>
        </w:tc>
        <w:tc>
          <w:tcPr>
            <w:tcW w:w="2459" w:type="dxa"/>
            <w:vAlign w:val="center"/>
          </w:tcPr>
          <w:p w14:paraId="70F06323">
            <w:pPr>
              <w:jc w:val="center"/>
              <w:rPr>
                <w:bCs/>
                <w:sz w:val="24"/>
              </w:rPr>
            </w:pPr>
          </w:p>
        </w:tc>
      </w:tr>
      <w:tr w14:paraId="7D0B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34E4B561">
            <w:pPr>
              <w:rPr>
                <w:bCs/>
                <w:sz w:val="24"/>
              </w:rPr>
            </w:pPr>
            <w:r>
              <w:rPr>
                <w:bCs/>
                <w:sz w:val="24"/>
              </w:rPr>
              <w:t>8</w:t>
            </w:r>
          </w:p>
        </w:tc>
        <w:tc>
          <w:tcPr>
            <w:tcW w:w="2061" w:type="dxa"/>
            <w:vAlign w:val="center"/>
          </w:tcPr>
          <w:p w14:paraId="58BD17AE">
            <w:pPr>
              <w:rPr>
                <w:bCs/>
                <w:sz w:val="24"/>
              </w:rPr>
            </w:pPr>
          </w:p>
        </w:tc>
        <w:tc>
          <w:tcPr>
            <w:tcW w:w="2269" w:type="dxa"/>
            <w:vAlign w:val="center"/>
          </w:tcPr>
          <w:p w14:paraId="5CEE62EA">
            <w:pPr>
              <w:rPr>
                <w:bCs/>
                <w:sz w:val="24"/>
              </w:rPr>
            </w:pPr>
          </w:p>
        </w:tc>
        <w:tc>
          <w:tcPr>
            <w:tcW w:w="1277" w:type="dxa"/>
            <w:vAlign w:val="center"/>
          </w:tcPr>
          <w:p w14:paraId="38BDF45E">
            <w:pPr>
              <w:rPr>
                <w:bCs/>
                <w:sz w:val="24"/>
              </w:rPr>
            </w:pPr>
          </w:p>
        </w:tc>
        <w:tc>
          <w:tcPr>
            <w:tcW w:w="2459" w:type="dxa"/>
            <w:vAlign w:val="center"/>
          </w:tcPr>
          <w:p w14:paraId="5808B3A7">
            <w:pPr>
              <w:jc w:val="center"/>
              <w:rPr>
                <w:bCs/>
                <w:sz w:val="24"/>
              </w:rPr>
            </w:pPr>
          </w:p>
        </w:tc>
      </w:tr>
      <w:tr w14:paraId="48412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003AB54">
            <w:pPr>
              <w:rPr>
                <w:bCs/>
                <w:sz w:val="24"/>
              </w:rPr>
            </w:pPr>
            <w:r>
              <w:rPr>
                <w:bCs/>
                <w:sz w:val="24"/>
              </w:rPr>
              <w:t>…</w:t>
            </w:r>
          </w:p>
        </w:tc>
        <w:tc>
          <w:tcPr>
            <w:tcW w:w="2061" w:type="dxa"/>
            <w:vAlign w:val="center"/>
          </w:tcPr>
          <w:p w14:paraId="08FE1592">
            <w:pPr>
              <w:rPr>
                <w:bCs/>
                <w:sz w:val="24"/>
              </w:rPr>
            </w:pPr>
          </w:p>
        </w:tc>
        <w:tc>
          <w:tcPr>
            <w:tcW w:w="2269" w:type="dxa"/>
            <w:vAlign w:val="center"/>
          </w:tcPr>
          <w:p w14:paraId="07284AC0">
            <w:pPr>
              <w:rPr>
                <w:bCs/>
                <w:sz w:val="24"/>
              </w:rPr>
            </w:pPr>
          </w:p>
        </w:tc>
        <w:tc>
          <w:tcPr>
            <w:tcW w:w="1277" w:type="dxa"/>
            <w:vAlign w:val="center"/>
          </w:tcPr>
          <w:p w14:paraId="30577FB9">
            <w:pPr>
              <w:rPr>
                <w:bCs/>
                <w:sz w:val="24"/>
              </w:rPr>
            </w:pPr>
          </w:p>
        </w:tc>
        <w:tc>
          <w:tcPr>
            <w:tcW w:w="2459" w:type="dxa"/>
            <w:vAlign w:val="center"/>
          </w:tcPr>
          <w:p w14:paraId="1623E2B1">
            <w:pPr>
              <w:jc w:val="center"/>
              <w:rPr>
                <w:bCs/>
                <w:sz w:val="24"/>
              </w:rPr>
            </w:pPr>
          </w:p>
        </w:tc>
      </w:tr>
    </w:tbl>
    <w:p w14:paraId="41C633BB">
      <w:pPr>
        <w:pStyle w:val="16"/>
        <w:spacing w:line="300" w:lineRule="auto"/>
        <w:ind w:firstLine="0"/>
        <w:rPr>
          <w:rFonts w:hint="eastAsia" w:ascii="宋体" w:hAnsi="宋体"/>
          <w:sz w:val="24"/>
          <w:szCs w:val="24"/>
        </w:rPr>
      </w:pPr>
      <w:r>
        <w:rPr>
          <w:rFonts w:ascii="宋体" w:hAnsi="宋体"/>
          <w:sz w:val="24"/>
          <w:szCs w:val="24"/>
        </w:rPr>
        <w:t>说明：</w:t>
      </w:r>
    </w:p>
    <w:p w14:paraId="5F94490C">
      <w:pPr>
        <w:spacing w:line="300" w:lineRule="auto"/>
        <w:ind w:firstLine="480" w:firstLineChars="200"/>
        <w:rPr>
          <w:sz w:val="24"/>
        </w:rPr>
      </w:pPr>
      <w:r>
        <w:rPr>
          <w:sz w:val="24"/>
        </w:rPr>
        <w:t>1. 备注栏中应提供相关内容在响应文件中的页码。</w:t>
      </w:r>
    </w:p>
    <w:p w14:paraId="04A98A3E">
      <w:pPr>
        <w:ind w:firstLine="480" w:firstLineChars="200"/>
        <w:rPr>
          <w:b/>
          <w:bCs/>
          <w:sz w:val="24"/>
        </w:rPr>
      </w:pPr>
      <w:r>
        <w:rPr>
          <w:sz w:val="24"/>
        </w:rPr>
        <w:t>2. 应对照</w:t>
      </w:r>
      <w:r>
        <w:rPr>
          <w:rFonts w:hint="eastAsia"/>
          <w:sz w:val="24"/>
        </w:rPr>
        <w:t>谈判</w:t>
      </w:r>
      <w:r>
        <w:rPr>
          <w:sz w:val="24"/>
        </w:rPr>
        <w:t>文件的要求，逐条说明所提供服务已对</w:t>
      </w:r>
      <w:r>
        <w:rPr>
          <w:rFonts w:hint="eastAsia"/>
          <w:sz w:val="24"/>
        </w:rPr>
        <w:t>谈判</w:t>
      </w:r>
      <w:r>
        <w:rPr>
          <w:sz w:val="24"/>
        </w:rPr>
        <w:t>文件的</w:t>
      </w:r>
      <w:r>
        <w:rPr>
          <w:rFonts w:hint="eastAsia"/>
          <w:sz w:val="24"/>
        </w:rPr>
        <w:t>合同草案条款作</w:t>
      </w:r>
      <w:r>
        <w:rPr>
          <w:sz w:val="24"/>
        </w:rPr>
        <w:t>出了实质性的响应，并</w:t>
      </w:r>
      <w:r>
        <w:rPr>
          <w:rFonts w:hint="eastAsia"/>
          <w:sz w:val="24"/>
        </w:rPr>
        <w:t>说明</w:t>
      </w:r>
      <w:r>
        <w:rPr>
          <w:sz w:val="24"/>
        </w:rPr>
        <w:t>响应</w:t>
      </w:r>
      <w:r>
        <w:rPr>
          <w:rFonts w:hint="eastAsia"/>
          <w:sz w:val="24"/>
        </w:rPr>
        <w:t>情况</w:t>
      </w:r>
      <w:r>
        <w:rPr>
          <w:sz w:val="24"/>
        </w:rPr>
        <w:t>。特别对有具体数量要求的指标，供应商</w:t>
      </w:r>
      <w:r>
        <w:rPr>
          <w:rFonts w:hint="eastAsia"/>
          <w:sz w:val="24"/>
        </w:rPr>
        <w:t>应</w:t>
      </w:r>
      <w:r>
        <w:rPr>
          <w:sz w:val="24"/>
        </w:rPr>
        <w:t>提供具体数值。如果仅注明“符合”、“满足”或简单复制</w:t>
      </w:r>
      <w:r>
        <w:rPr>
          <w:rFonts w:hint="eastAsia"/>
          <w:sz w:val="24"/>
        </w:rPr>
        <w:t>谈判</w:t>
      </w:r>
      <w:r>
        <w:rPr>
          <w:sz w:val="24"/>
        </w:rPr>
        <w:t>文件要求，将导致响应文件无效。</w:t>
      </w:r>
    </w:p>
    <w:p w14:paraId="44334A56">
      <w:pPr>
        <w:spacing w:line="440" w:lineRule="exact"/>
        <w:rPr>
          <w:sz w:val="24"/>
        </w:rPr>
      </w:pPr>
    </w:p>
    <w:p w14:paraId="7BCAFA90">
      <w:pPr>
        <w:spacing w:line="440" w:lineRule="exact"/>
        <w:rPr>
          <w:sz w:val="24"/>
          <w:u w:val="single"/>
        </w:rPr>
      </w:pPr>
      <w:r>
        <w:rPr>
          <w:sz w:val="24"/>
        </w:rPr>
        <w:t>供应商名称（公章）：</w:t>
      </w:r>
    </w:p>
    <w:p w14:paraId="64A6A457">
      <w:pPr>
        <w:spacing w:line="440" w:lineRule="exact"/>
        <w:rPr>
          <w:sz w:val="24"/>
        </w:rPr>
      </w:pPr>
      <w:r>
        <w:rPr>
          <w:sz w:val="24"/>
        </w:rPr>
        <w:t>授权代表（签字）：</w:t>
      </w:r>
    </w:p>
    <w:p w14:paraId="6D94A99C">
      <w:pPr>
        <w:spacing w:line="440" w:lineRule="exact"/>
        <w:rPr>
          <w:sz w:val="24"/>
        </w:rPr>
      </w:pPr>
      <w:r>
        <w:rPr>
          <w:sz w:val="24"/>
        </w:rPr>
        <w:t>时间：</w:t>
      </w:r>
    </w:p>
    <w:p w14:paraId="2D44C4ED">
      <w:pPr>
        <w:ind w:firstLine="480" w:firstLineChars="200"/>
        <w:rPr>
          <w:rFonts w:hint="eastAsia" w:ascii="宋体" w:hAnsi="宋体"/>
          <w:sz w:val="24"/>
        </w:rPr>
      </w:pPr>
    </w:p>
    <w:p w14:paraId="4548DCFD">
      <w:pPr>
        <w:pStyle w:val="18"/>
        <w:spacing w:line="500" w:lineRule="exact"/>
        <w:rPr>
          <w:rFonts w:ascii="Times New Roman" w:hAnsi="Times New Roman" w:cs="Times New Roman"/>
          <w:sz w:val="24"/>
          <w:szCs w:val="24"/>
        </w:rPr>
      </w:pPr>
    </w:p>
    <w:p w14:paraId="15B186C8">
      <w:pPr>
        <w:rPr>
          <w:bCs/>
          <w:sz w:val="24"/>
        </w:rPr>
      </w:pPr>
      <w:r>
        <w:rPr>
          <w:bCs/>
          <w:sz w:val="24"/>
        </w:rPr>
        <w:t>附件</w:t>
      </w:r>
      <w:r>
        <w:rPr>
          <w:rFonts w:hint="eastAsia"/>
          <w:bCs/>
          <w:sz w:val="24"/>
        </w:rPr>
        <w:t>7</w:t>
      </w:r>
    </w:p>
    <w:p w14:paraId="3099CAF0">
      <w:pPr>
        <w:jc w:val="center"/>
        <w:rPr>
          <w:bCs/>
          <w:sz w:val="32"/>
          <w:szCs w:val="32"/>
        </w:rPr>
      </w:pPr>
      <w:r>
        <w:rPr>
          <w:bCs/>
          <w:sz w:val="32"/>
          <w:szCs w:val="32"/>
        </w:rPr>
        <w:t>法人</w:t>
      </w:r>
      <w:r>
        <w:rPr>
          <w:rFonts w:hint="eastAsia"/>
          <w:bCs/>
          <w:sz w:val="32"/>
          <w:szCs w:val="32"/>
        </w:rPr>
        <w:t>（负责人）</w:t>
      </w:r>
      <w:r>
        <w:rPr>
          <w:bCs/>
          <w:sz w:val="32"/>
          <w:szCs w:val="32"/>
        </w:rPr>
        <w:t>代表授权书</w:t>
      </w:r>
    </w:p>
    <w:p w14:paraId="2682CEE4">
      <w:pPr>
        <w:spacing w:before="156" w:beforeLines="50" w:after="312" w:afterLines="100"/>
        <w:rPr>
          <w:bCs/>
          <w:sz w:val="24"/>
        </w:rPr>
      </w:pPr>
    </w:p>
    <w:p w14:paraId="4C077013">
      <w:pPr>
        <w:spacing w:before="156" w:beforeLines="50" w:after="312" w:afterLines="100"/>
        <w:rPr>
          <w:bCs/>
          <w:sz w:val="24"/>
        </w:rPr>
      </w:pPr>
      <w:r>
        <w:rPr>
          <w:rFonts w:hint="eastAsia"/>
          <w:bCs/>
          <w:sz w:val="24"/>
        </w:rPr>
        <w:t>（湖北省博物馆）</w:t>
      </w:r>
      <w:r>
        <w:rPr>
          <w:bCs/>
          <w:sz w:val="24"/>
        </w:rPr>
        <w:t>：</w:t>
      </w:r>
    </w:p>
    <w:p w14:paraId="00581A09">
      <w:pPr>
        <w:spacing w:line="440" w:lineRule="exact"/>
        <w:ind w:firstLine="480" w:firstLineChars="200"/>
        <w:rPr>
          <w:bCs/>
          <w:sz w:val="24"/>
        </w:rPr>
      </w:pPr>
      <w:r>
        <w:rPr>
          <w:bCs/>
          <w:sz w:val="24"/>
          <w:u w:val="single"/>
        </w:rPr>
        <w:t>（谈判供应商名称）</w:t>
      </w:r>
      <w:r>
        <w:rPr>
          <w:bCs/>
          <w:sz w:val="24"/>
        </w:rPr>
        <w:t>在下面签字的（</w:t>
      </w:r>
      <w:r>
        <w:rPr>
          <w:bCs/>
          <w:sz w:val="24"/>
          <w:u w:val="single"/>
        </w:rPr>
        <w:t>法定代表人姓名、职务</w:t>
      </w:r>
      <w:r>
        <w:rPr>
          <w:bCs/>
          <w:sz w:val="24"/>
        </w:rPr>
        <w:t>）代表本公司授权（供应商名称）的下面签字的</w:t>
      </w:r>
      <w:r>
        <w:rPr>
          <w:bCs/>
          <w:sz w:val="24"/>
          <w:u w:val="single"/>
        </w:rPr>
        <w:t>（被授权代表的姓名、职务）</w:t>
      </w:r>
      <w:r>
        <w:rPr>
          <w:bCs/>
          <w:sz w:val="24"/>
        </w:rPr>
        <w:t>为本公司的合法代理人，就（</w:t>
      </w:r>
      <w:r>
        <w:rPr>
          <w:bCs/>
          <w:sz w:val="24"/>
          <w:u w:val="single"/>
        </w:rPr>
        <w:t>项目名称、项目编号</w:t>
      </w:r>
      <w:r>
        <w:rPr>
          <w:bCs/>
          <w:sz w:val="24"/>
        </w:rPr>
        <w:t>）的谈判，以本公司的名义处理一切与之有关的事务。</w:t>
      </w:r>
    </w:p>
    <w:p w14:paraId="3840AEF8">
      <w:pPr>
        <w:spacing w:line="440" w:lineRule="exact"/>
        <w:ind w:firstLine="480" w:firstLineChars="200"/>
        <w:rPr>
          <w:bCs/>
          <w:sz w:val="24"/>
        </w:rPr>
      </w:pPr>
      <w:r>
        <w:rPr>
          <w:bCs/>
          <w:sz w:val="24"/>
        </w:rPr>
        <w:t>本授权书自</w:t>
      </w:r>
      <w:r>
        <w:rPr>
          <w:rFonts w:hint="eastAsia"/>
          <w:bCs/>
          <w:sz w:val="24"/>
        </w:rPr>
        <w:t xml:space="preserve">    </w:t>
      </w:r>
      <w:r>
        <w:rPr>
          <w:bCs/>
          <w:sz w:val="24"/>
        </w:rPr>
        <w:t>年</w:t>
      </w:r>
      <w:r>
        <w:rPr>
          <w:rFonts w:hint="eastAsia"/>
          <w:bCs/>
          <w:sz w:val="24"/>
        </w:rPr>
        <w:t xml:space="preserve">  </w:t>
      </w:r>
      <w:r>
        <w:rPr>
          <w:bCs/>
          <w:sz w:val="24"/>
        </w:rPr>
        <w:t>月</w:t>
      </w:r>
      <w:r>
        <w:rPr>
          <w:rFonts w:hint="eastAsia"/>
          <w:bCs/>
          <w:sz w:val="24"/>
        </w:rPr>
        <w:t xml:space="preserve">  </w:t>
      </w:r>
      <w:r>
        <w:rPr>
          <w:bCs/>
          <w:sz w:val="24"/>
        </w:rPr>
        <w:t>日至</w:t>
      </w:r>
      <w:r>
        <w:rPr>
          <w:rFonts w:hint="eastAsia"/>
          <w:bCs/>
          <w:sz w:val="24"/>
        </w:rPr>
        <w:t xml:space="preserve">   </w:t>
      </w:r>
      <w:r>
        <w:rPr>
          <w:bCs/>
          <w:sz w:val="24"/>
        </w:rPr>
        <w:t>年</w:t>
      </w:r>
      <w:r>
        <w:rPr>
          <w:rFonts w:hint="eastAsia"/>
          <w:bCs/>
          <w:sz w:val="24"/>
        </w:rPr>
        <w:t xml:space="preserve">  </w:t>
      </w:r>
      <w:r>
        <w:rPr>
          <w:bCs/>
          <w:sz w:val="24"/>
        </w:rPr>
        <w:t>月</w:t>
      </w:r>
      <w:r>
        <w:rPr>
          <w:rFonts w:hint="eastAsia"/>
          <w:bCs/>
          <w:sz w:val="24"/>
        </w:rPr>
        <w:t xml:space="preserve">  </w:t>
      </w:r>
      <w:r>
        <w:rPr>
          <w:bCs/>
          <w:sz w:val="24"/>
        </w:rPr>
        <w:t>日止签字有效。</w:t>
      </w:r>
    </w:p>
    <w:p w14:paraId="5E56A23A">
      <w:pPr>
        <w:spacing w:line="440" w:lineRule="exact"/>
        <w:ind w:firstLine="480" w:firstLineChars="200"/>
        <w:rPr>
          <w:bCs/>
          <w:sz w:val="24"/>
        </w:rPr>
      </w:pPr>
      <w:r>
        <w:rPr>
          <w:bCs/>
          <w:sz w:val="24"/>
        </w:rPr>
        <w:t>特此声明。</w:t>
      </w:r>
    </w:p>
    <w:p w14:paraId="1A10B18B">
      <w:pPr>
        <w:spacing w:before="156" w:beforeLines="50" w:after="312" w:afterLines="100" w:line="440" w:lineRule="exact"/>
        <w:rPr>
          <w:bCs/>
          <w:sz w:val="24"/>
        </w:rPr>
      </w:pPr>
    </w:p>
    <w:p w14:paraId="0A7AD30D">
      <w:pPr>
        <w:spacing w:before="312" w:beforeLines="100" w:after="100" w:afterAutospacing="1"/>
        <w:ind w:firstLine="480" w:firstLineChars="200"/>
        <w:rPr>
          <w:bCs/>
          <w:sz w:val="24"/>
        </w:rPr>
      </w:pPr>
      <w:r>
        <w:rPr>
          <w:bCs/>
          <w:sz w:val="24"/>
        </w:rPr>
        <w:t>委托人名称（公章）：</w:t>
      </w:r>
      <w:r>
        <w:rPr>
          <w:rFonts w:hint="eastAsia"/>
          <w:bCs/>
          <w:sz w:val="24"/>
        </w:rPr>
        <w:t xml:space="preserve">                     </w:t>
      </w:r>
      <w:r>
        <w:rPr>
          <w:bCs/>
          <w:sz w:val="24"/>
        </w:rPr>
        <w:t>被授权人（签章）：</w:t>
      </w:r>
    </w:p>
    <w:p w14:paraId="38340175">
      <w:pPr>
        <w:spacing w:before="312" w:beforeLines="100" w:after="100" w:afterAutospacing="1"/>
        <w:ind w:firstLine="480" w:firstLineChars="200"/>
        <w:rPr>
          <w:bCs/>
          <w:sz w:val="24"/>
          <w:u w:val="single"/>
        </w:rPr>
      </w:pPr>
      <w:r>
        <w:rPr>
          <w:bCs/>
          <w:sz w:val="24"/>
        </w:rPr>
        <w:t>法定</w:t>
      </w:r>
      <w:r>
        <w:rPr>
          <w:rFonts w:hint="eastAsia"/>
          <w:bCs/>
          <w:sz w:val="24"/>
        </w:rPr>
        <w:t>（负责人）</w:t>
      </w:r>
      <w:r>
        <w:rPr>
          <w:bCs/>
          <w:sz w:val="24"/>
        </w:rPr>
        <w:t>代表人（签章）：</w:t>
      </w:r>
      <w:r>
        <w:rPr>
          <w:rFonts w:hint="eastAsia"/>
          <w:bCs/>
          <w:sz w:val="24"/>
        </w:rPr>
        <w:t xml:space="preserve">           </w:t>
      </w:r>
      <w:r>
        <w:rPr>
          <w:bCs/>
          <w:sz w:val="24"/>
        </w:rPr>
        <w:t>身份证号码：</w:t>
      </w:r>
    </w:p>
    <w:p w14:paraId="3866F1A4">
      <w:pPr>
        <w:spacing w:before="312" w:beforeLines="100" w:after="100" w:afterAutospacing="1"/>
        <w:ind w:firstLine="480" w:firstLineChars="200"/>
        <w:rPr>
          <w:bCs/>
          <w:sz w:val="24"/>
          <w:u w:val="single"/>
        </w:rPr>
      </w:pPr>
      <w:r>
        <w:rPr>
          <w:bCs/>
          <w:sz w:val="24"/>
        </w:rPr>
        <w:t>电话：电话（手机）：</w:t>
      </w:r>
    </w:p>
    <w:p w14:paraId="0B82CDF0">
      <w:pPr>
        <w:spacing w:before="312" w:beforeLines="100" w:after="100" w:afterAutospacing="1"/>
        <w:ind w:firstLine="480" w:firstLineChars="200"/>
        <w:rPr>
          <w:bCs/>
          <w:sz w:val="24"/>
          <w:u w:val="single"/>
        </w:rPr>
      </w:pPr>
      <w:r>
        <w:rPr>
          <w:bCs/>
          <w:sz w:val="24"/>
        </w:rPr>
        <w:t>传真：办公电话/传真：</w:t>
      </w:r>
    </w:p>
    <w:p w14:paraId="5F665714">
      <w:pPr>
        <w:spacing w:before="156" w:beforeLines="50" w:after="312" w:afterLines="100"/>
        <w:rPr>
          <w:bCs/>
          <w:sz w:val="24"/>
          <w:u w:val="single"/>
        </w:rPr>
      </w:pP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536B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trPr>
        <w:tc>
          <w:tcPr>
            <w:tcW w:w="8522" w:type="dxa"/>
          </w:tcPr>
          <w:p w14:paraId="1D04EBE5">
            <w:pPr>
              <w:spacing w:before="156" w:beforeLines="50" w:after="312" w:afterLines="100"/>
              <w:rPr>
                <w:bCs/>
                <w:sz w:val="24"/>
              </w:rPr>
            </w:pPr>
            <w:r>
              <w:rPr>
                <w:bCs/>
                <w:sz w:val="24"/>
              </w:rPr>
              <w:t>粘贴被授权人身份证（复印件）</w:t>
            </w:r>
          </w:p>
        </w:tc>
      </w:tr>
    </w:tbl>
    <w:p w14:paraId="07C75F9C">
      <w:pPr>
        <w:spacing w:before="156" w:beforeLines="50" w:after="312" w:afterLines="100"/>
        <w:rPr>
          <w:bCs/>
          <w:sz w:val="24"/>
        </w:rPr>
      </w:pPr>
    </w:p>
    <w:p w14:paraId="4350384E">
      <w:pPr>
        <w:spacing w:before="156" w:beforeLines="50" w:after="312" w:afterLines="100"/>
        <w:rPr>
          <w:bCs/>
          <w:sz w:val="24"/>
        </w:rPr>
      </w:pPr>
      <w:r>
        <w:rPr>
          <w:rFonts w:eastAsia="仿宋_GB2312"/>
          <w:bCs/>
          <w:sz w:val="24"/>
        </w:rPr>
        <w:br w:type="page"/>
      </w:r>
      <w:r>
        <w:rPr>
          <w:bCs/>
          <w:sz w:val="24"/>
        </w:rPr>
        <w:t>附件</w:t>
      </w:r>
      <w:r>
        <w:rPr>
          <w:rFonts w:hint="eastAsia"/>
          <w:bCs/>
          <w:sz w:val="24"/>
        </w:rPr>
        <w:t>8</w:t>
      </w:r>
    </w:p>
    <w:p w14:paraId="4EF7F74B">
      <w:pPr>
        <w:spacing w:line="500" w:lineRule="exact"/>
        <w:jc w:val="center"/>
        <w:rPr>
          <w:bCs/>
          <w:sz w:val="32"/>
          <w:szCs w:val="32"/>
        </w:rPr>
      </w:pPr>
      <w:r>
        <w:rPr>
          <w:rFonts w:hint="eastAsia"/>
          <w:bCs/>
          <w:sz w:val="32"/>
          <w:szCs w:val="32"/>
        </w:rPr>
        <w:t>法人或者其他组织的营业执照等证明文件，自然人的</w:t>
      </w:r>
    </w:p>
    <w:p w14:paraId="5DFA3CC0">
      <w:pPr>
        <w:spacing w:line="500" w:lineRule="exact"/>
        <w:jc w:val="center"/>
        <w:rPr>
          <w:bCs/>
          <w:sz w:val="32"/>
          <w:szCs w:val="32"/>
        </w:rPr>
      </w:pPr>
      <w:r>
        <w:rPr>
          <w:rFonts w:hint="eastAsia"/>
          <w:bCs/>
          <w:sz w:val="32"/>
          <w:szCs w:val="32"/>
        </w:rPr>
        <w:t>身份证明等</w:t>
      </w:r>
      <w:r>
        <w:rPr>
          <w:bCs/>
          <w:sz w:val="32"/>
          <w:szCs w:val="32"/>
        </w:rPr>
        <w:t>证明材料</w:t>
      </w:r>
    </w:p>
    <w:p w14:paraId="0322D981">
      <w:pPr>
        <w:rPr>
          <w:rFonts w:eastAsia="仿宋_GB2312"/>
          <w:bCs/>
          <w:szCs w:val="28"/>
        </w:rPr>
      </w:pPr>
    </w:p>
    <w:p w14:paraId="60AB443A">
      <w:pPr>
        <w:spacing w:line="440" w:lineRule="exact"/>
        <w:ind w:left="360" w:hanging="360" w:hangingChars="150"/>
        <w:jc w:val="center"/>
        <w:rPr>
          <w:bCs/>
          <w:sz w:val="24"/>
        </w:rPr>
      </w:pPr>
      <w:r>
        <w:rPr>
          <w:rFonts w:hint="eastAsia"/>
          <w:bCs/>
          <w:sz w:val="24"/>
        </w:rPr>
        <w:t>（</w:t>
      </w:r>
      <w:r>
        <w:rPr>
          <w:bCs/>
          <w:sz w:val="24"/>
        </w:rPr>
        <w:t>企业法人营业执照、税务登记证，供应商是自然人的身份证明材料</w:t>
      </w:r>
      <w:r>
        <w:rPr>
          <w:rFonts w:hint="eastAsia"/>
          <w:bCs/>
          <w:sz w:val="24"/>
        </w:rPr>
        <w:t>等）</w:t>
      </w:r>
    </w:p>
    <w:p w14:paraId="6A772135">
      <w:pPr>
        <w:spacing w:line="440" w:lineRule="exact"/>
        <w:ind w:left="360" w:hanging="360" w:hangingChars="150"/>
        <w:rPr>
          <w:bCs/>
          <w:sz w:val="24"/>
        </w:rPr>
      </w:pPr>
    </w:p>
    <w:p w14:paraId="6058086F">
      <w:pPr>
        <w:widowControl/>
        <w:jc w:val="left"/>
        <w:rPr>
          <w:bCs/>
          <w:sz w:val="24"/>
        </w:rPr>
      </w:pPr>
      <w:r>
        <w:rPr>
          <w:bCs/>
          <w:sz w:val="24"/>
        </w:rPr>
        <w:br w:type="page"/>
      </w:r>
    </w:p>
    <w:p w14:paraId="3AA52D01">
      <w:pPr>
        <w:spacing w:line="440" w:lineRule="exact"/>
        <w:ind w:left="360" w:hanging="360" w:hangingChars="150"/>
        <w:rPr>
          <w:bCs/>
          <w:sz w:val="24"/>
        </w:rPr>
      </w:pPr>
      <w:r>
        <w:rPr>
          <w:bCs/>
          <w:sz w:val="24"/>
        </w:rPr>
        <w:t>附件</w:t>
      </w:r>
      <w:r>
        <w:rPr>
          <w:rFonts w:hint="eastAsia"/>
          <w:bCs/>
          <w:sz w:val="24"/>
        </w:rPr>
        <w:t>9</w:t>
      </w:r>
    </w:p>
    <w:p w14:paraId="32DB73CF">
      <w:pPr>
        <w:spacing w:line="440" w:lineRule="exact"/>
        <w:ind w:left="3" w:leftChars="1" w:firstLine="480" w:firstLineChars="200"/>
        <w:rPr>
          <w:bCs/>
          <w:sz w:val="24"/>
        </w:rPr>
      </w:pPr>
    </w:p>
    <w:p w14:paraId="372DCEAE">
      <w:pPr>
        <w:widowControl/>
        <w:jc w:val="left"/>
        <w:rPr>
          <w:bCs/>
          <w:sz w:val="24"/>
        </w:rPr>
      </w:pPr>
    </w:p>
    <w:p w14:paraId="55928708">
      <w:pPr>
        <w:spacing w:line="440" w:lineRule="exact"/>
        <w:jc w:val="center"/>
        <w:rPr>
          <w:rFonts w:hint="eastAsia" w:ascii="宋体" w:hAnsi="宋体"/>
          <w:bCs/>
          <w:sz w:val="32"/>
          <w:szCs w:val="32"/>
        </w:rPr>
      </w:pPr>
      <w:r>
        <w:rPr>
          <w:rFonts w:hint="eastAsia" w:ascii="宋体" w:hAnsi="宋体"/>
          <w:bCs/>
          <w:sz w:val="32"/>
          <w:szCs w:val="32"/>
        </w:rPr>
        <w:t>具备履行合同所必需的设备和专业技术能力的</w:t>
      </w:r>
    </w:p>
    <w:p w14:paraId="15FC5E5D">
      <w:pPr>
        <w:spacing w:line="440" w:lineRule="exact"/>
        <w:jc w:val="center"/>
        <w:rPr>
          <w:rFonts w:hint="eastAsia" w:ascii="宋体" w:hAnsi="宋体"/>
          <w:bCs/>
          <w:sz w:val="32"/>
          <w:szCs w:val="32"/>
        </w:rPr>
      </w:pPr>
      <w:r>
        <w:rPr>
          <w:rFonts w:hint="eastAsia" w:ascii="宋体" w:hAnsi="宋体"/>
          <w:bCs/>
          <w:sz w:val="32"/>
          <w:szCs w:val="32"/>
        </w:rPr>
        <w:t>证明材料</w:t>
      </w:r>
    </w:p>
    <w:p w14:paraId="1453E76E">
      <w:pPr>
        <w:spacing w:line="440" w:lineRule="exact"/>
        <w:jc w:val="center"/>
        <w:rPr>
          <w:rFonts w:hint="eastAsia" w:ascii="宋体" w:hAnsi="宋体"/>
          <w:bCs/>
          <w:sz w:val="32"/>
          <w:szCs w:val="32"/>
        </w:rPr>
      </w:pPr>
    </w:p>
    <w:p w14:paraId="1CC7C7CA">
      <w:pPr>
        <w:spacing w:line="500" w:lineRule="exact"/>
        <w:jc w:val="center"/>
        <w:rPr>
          <w:bCs/>
          <w:sz w:val="24"/>
        </w:rPr>
      </w:pPr>
      <w:r>
        <w:rPr>
          <w:rFonts w:hint="eastAsia" w:ascii="宋体" w:hAnsi="宋体"/>
          <w:bCs/>
          <w:sz w:val="24"/>
        </w:rPr>
        <w:t>（提供履行合同所必需的设备和专业技术能力的相关文件）</w:t>
      </w:r>
    </w:p>
    <w:p w14:paraId="57C947CE">
      <w:pPr>
        <w:widowControl/>
        <w:jc w:val="left"/>
        <w:rPr>
          <w:sz w:val="24"/>
        </w:rPr>
      </w:pPr>
      <w:r>
        <w:rPr>
          <w:sz w:val="24"/>
        </w:rPr>
        <w:br w:type="page"/>
      </w:r>
    </w:p>
    <w:p w14:paraId="72725759">
      <w:pPr>
        <w:tabs>
          <w:tab w:val="left" w:pos="7665"/>
        </w:tabs>
        <w:jc w:val="center"/>
        <w:outlineLvl w:val="1"/>
      </w:pPr>
      <w:r>
        <w:rPr>
          <w:rFonts w:ascii="宋体" w:hAnsi="宋体"/>
          <w:bCs/>
          <w:sz w:val="32"/>
          <w:szCs w:val="32"/>
        </w:rPr>
        <w:t>其他</w:t>
      </w:r>
      <w:r>
        <w:rPr>
          <w:rFonts w:hint="eastAsia" w:ascii="宋体" w:hAnsi="宋体"/>
          <w:bCs/>
          <w:sz w:val="32"/>
          <w:szCs w:val="32"/>
        </w:rPr>
        <w:t>资格证明文件及</w:t>
      </w:r>
      <w:r>
        <w:rPr>
          <w:rFonts w:ascii="宋体" w:hAnsi="宋体"/>
          <w:bCs/>
          <w:sz w:val="32"/>
          <w:szCs w:val="32"/>
        </w:rPr>
        <w:t>资料</w:t>
      </w:r>
    </w:p>
    <w:sectPr>
      <w:headerReference r:id="rId11" w:type="default"/>
      <w:footerReference r:id="rId12" w:type="default"/>
      <w:footerReference r:id="rId13"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Arial">
    <w:panose1 w:val="020B0604020202020204"/>
    <w:charset w:val="00"/>
    <w:family w:val="swiss"/>
    <w:pitch w:val="default"/>
    <w:sig w:usb0="E0002AFF" w:usb1="C0007843" w:usb2="00000009" w:usb3="00000000" w:csb0="400001FF" w:csb1="FFFF0000"/>
  </w:font>
  <w:font w:name="Heiti SC Light">
    <w:altName w:val="Segoe Print"/>
    <w:panose1 w:val="00000000000000000000"/>
    <w:charset w:val="5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modern"/>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Noto Sans Mono CJK JP Regular">
    <w:altName w:val="Arial"/>
    <w:panose1 w:val="00000000000000000000"/>
    <w:charset w:val="00"/>
    <w:family w:val="auto"/>
    <w:pitch w:val="default"/>
    <w:sig w:usb0="00000000" w:usb1="00000000" w:usb2="00000000" w:usb3="00000000" w:csb0="00000001" w:csb1="00000000"/>
  </w:font>
  <w:font w:name="仿宋_GB2312">
    <w:altName w:val="仿宋"/>
    <w:panose1 w:val="02010609030101010101"/>
    <w:charset w:val="86"/>
    <w:family w:val="modern"/>
    <w:pitch w:val="default"/>
    <w:sig w:usb0="00000000" w:usb1="00000000" w:usb2="00000010" w:usb3="00000000" w:csb0="00040000"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D49DA">
    <w:pPr>
      <w:pStyle w:val="20"/>
      <w:jc w:val="center"/>
    </w:pPr>
    <w:r>
      <w:fldChar w:fldCharType="begin"/>
    </w:r>
    <w:r>
      <w:instrText xml:space="preserve">PAGE   \* MERGEFORMAT</w:instrText>
    </w:r>
    <w:r>
      <w:fldChar w:fldCharType="separate"/>
    </w:r>
    <w:r>
      <w:rPr>
        <w:lang w:val="zh-CN"/>
      </w:rPr>
      <w:t>10</w:t>
    </w:r>
    <w:r>
      <w:rPr>
        <w:lang w:val="zh-CN"/>
      </w:rPr>
      <w:fldChar w:fldCharType="end"/>
    </w:r>
  </w:p>
  <w:p w14:paraId="6940A2B1">
    <w:pPr>
      <w:ind w:right="360"/>
      <w:jc w:val="right"/>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328C0">
    <w:pPr>
      <w:framePr w:wrap="around" w:vAnchor="text" w:hAnchor="margin" w:xAlign="right" w:y="1"/>
    </w:pPr>
    <w:r>
      <w:fldChar w:fldCharType="begin"/>
    </w:r>
    <w:r>
      <w:instrText xml:space="preserve">PAGE  </w:instrText>
    </w:r>
    <w:r>
      <w:fldChar w:fldCharType="end"/>
    </w:r>
  </w:p>
  <w:p w14:paraId="6B547EB0">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EB437">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96040">
    <w:pPr>
      <w:pStyle w:val="20"/>
      <w:jc w:val="center"/>
    </w:pPr>
    <w:r>
      <w:rPr>
        <w:kern w:val="0"/>
        <w:szCs w:val="21"/>
      </w:rPr>
      <w:fldChar w:fldCharType="begin"/>
    </w:r>
    <w:r>
      <w:rPr>
        <w:kern w:val="0"/>
        <w:szCs w:val="21"/>
      </w:rPr>
      <w:instrText xml:space="preserve"> PAGE </w:instrText>
    </w:r>
    <w:r>
      <w:rPr>
        <w:kern w:val="0"/>
        <w:szCs w:val="21"/>
      </w:rPr>
      <w:fldChar w:fldCharType="separate"/>
    </w:r>
    <w:r>
      <w:rPr>
        <w:kern w:val="0"/>
        <w:szCs w:val="21"/>
      </w:rPr>
      <w:t>15</w:t>
    </w:r>
    <w:r>
      <w:rPr>
        <w:kern w:val="0"/>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65029">
    <w:pPr>
      <w:pStyle w:val="20"/>
      <w:framePr w:wrap="around" w:vAnchor="text" w:hAnchor="margin" w:xAlign="right" w:y="1"/>
      <w:rPr>
        <w:rStyle w:val="30"/>
      </w:rPr>
    </w:pPr>
    <w:r>
      <w:rPr>
        <w:rStyle w:val="30"/>
      </w:rPr>
      <w:fldChar w:fldCharType="begin"/>
    </w:r>
    <w:r>
      <w:rPr>
        <w:rStyle w:val="30"/>
      </w:rPr>
      <w:instrText xml:space="preserve">PAGE  </w:instrText>
    </w:r>
    <w:r>
      <w:rPr>
        <w:rStyle w:val="30"/>
      </w:rPr>
      <w:fldChar w:fldCharType="end"/>
    </w:r>
  </w:p>
  <w:p w14:paraId="28CFC2DF">
    <w:pPr>
      <w:pStyle w:val="2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2BE4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02CA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B363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A37C2">
    <w:pPr>
      <w:rPr>
        <w:rFonts w:ascii="仿宋_GB2312" w:eastAsia="仿宋_GB231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71D77">
    <w:pPr>
      <w:rPr>
        <w:rFonts w:ascii="仿宋_GB2312" w:eastAsia="仿宋_GB231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CC21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12"/>
      <w:lvlText w:val=""/>
      <w:lvlJc w:val="left"/>
      <w:pPr>
        <w:tabs>
          <w:tab w:val="left" w:pos="360"/>
        </w:tabs>
        <w:ind w:left="360" w:hanging="360" w:hangingChars="200"/>
      </w:pPr>
      <w:rPr>
        <w:rFonts w:hint="default" w:ascii="Wingdings" w:hAnsi="Wingdings"/>
      </w:rPr>
    </w:lvl>
  </w:abstractNum>
  <w:abstractNum w:abstractNumId="1">
    <w:nsid w:val="45C42C9A"/>
    <w:multiLevelType w:val="multilevel"/>
    <w:tmpl w:val="45C42C9A"/>
    <w:lvl w:ilvl="0" w:tentative="0">
      <w:start w:val="1"/>
      <w:numFmt w:val="decimal"/>
      <w:pStyle w:val="2"/>
      <w:lvlText w:val="%1"/>
      <w:lvlJc w:val="left"/>
      <w:pPr>
        <w:tabs>
          <w:tab w:val="left" w:pos="432"/>
        </w:tabs>
        <w:ind w:left="432" w:hanging="432"/>
      </w:pPr>
    </w:lvl>
    <w:lvl w:ilvl="1" w:tentative="0">
      <w:start w:val="1"/>
      <w:numFmt w:val="decimal"/>
      <w:pStyle w:val="3"/>
      <w:lvlText w:val="%1.%2"/>
      <w:lvlJc w:val="left"/>
      <w:pPr>
        <w:tabs>
          <w:tab w:val="left" w:pos="576"/>
        </w:tabs>
        <w:ind w:left="576" w:hanging="576"/>
      </w:pPr>
    </w:lvl>
    <w:lvl w:ilvl="2" w:tentative="0">
      <w:start w:val="1"/>
      <w:numFmt w:val="decimal"/>
      <w:pStyle w:val="4"/>
      <w:lvlText w:val="%1.%2.%3"/>
      <w:lvlJc w:val="left"/>
      <w:pPr>
        <w:tabs>
          <w:tab w:val="left" w:pos="1260"/>
        </w:tabs>
        <w:ind w:left="1260" w:hanging="720"/>
      </w:pPr>
    </w:lvl>
    <w:lvl w:ilvl="3" w:tentative="0">
      <w:start w:val="1"/>
      <w:numFmt w:val="decimal"/>
      <w:pStyle w:val="5"/>
      <w:lvlText w:val="%1.%2.%3.%4"/>
      <w:lvlJc w:val="left"/>
      <w:pPr>
        <w:tabs>
          <w:tab w:val="left" w:pos="864"/>
        </w:tabs>
        <w:ind w:left="864" w:hanging="864"/>
      </w:pPr>
    </w:lvl>
    <w:lvl w:ilvl="4" w:tentative="0">
      <w:start w:val="1"/>
      <w:numFmt w:val="decimal"/>
      <w:pStyle w:val="6"/>
      <w:lvlText w:val="%1.%2.%3.%4.%5"/>
      <w:lvlJc w:val="left"/>
      <w:pPr>
        <w:tabs>
          <w:tab w:val="left" w:pos="1008"/>
        </w:tabs>
        <w:ind w:left="1008" w:hanging="1008"/>
      </w:pPr>
    </w:lvl>
    <w:lvl w:ilvl="5" w:tentative="0">
      <w:start w:val="1"/>
      <w:numFmt w:val="decimal"/>
      <w:pStyle w:val="7"/>
      <w:lvlText w:val="%1.%2.%3.%4.%5.%6"/>
      <w:lvlJc w:val="left"/>
      <w:pPr>
        <w:tabs>
          <w:tab w:val="left" w:pos="1152"/>
        </w:tabs>
        <w:ind w:left="1152" w:hanging="1152"/>
      </w:pPr>
    </w:lvl>
    <w:lvl w:ilvl="6" w:tentative="0">
      <w:start w:val="1"/>
      <w:numFmt w:val="decimal"/>
      <w:pStyle w:val="8"/>
      <w:lvlText w:val="%1.%2.%3.%4.%5.%6.%7"/>
      <w:lvlJc w:val="left"/>
      <w:pPr>
        <w:tabs>
          <w:tab w:val="left" w:pos="1296"/>
        </w:tabs>
        <w:ind w:left="1296" w:hanging="1296"/>
      </w:pPr>
    </w:lvl>
    <w:lvl w:ilvl="7" w:tentative="0">
      <w:start w:val="1"/>
      <w:numFmt w:val="decimal"/>
      <w:pStyle w:val="9"/>
      <w:lvlText w:val="%1.%2.%3.%4.%5.%6.%7.%8"/>
      <w:lvlJc w:val="left"/>
      <w:pPr>
        <w:tabs>
          <w:tab w:val="left" w:pos="1440"/>
        </w:tabs>
        <w:ind w:left="1440" w:hanging="1440"/>
      </w:pPr>
    </w:lvl>
    <w:lvl w:ilvl="8" w:tentative="0">
      <w:start w:val="1"/>
      <w:numFmt w:val="decimal"/>
      <w:pStyle w:val="10"/>
      <w:lvlText w:val="%1.%2.%3.%4.%5.%6.%7.%8.%9"/>
      <w:lvlJc w:val="left"/>
      <w:pPr>
        <w:tabs>
          <w:tab w:val="left" w:pos="1584"/>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YzhhOGNlYjBhZWM1YzlkNzAwODI0ZTY2YTM3MGM4ODQifQ=="/>
  </w:docVars>
  <w:rsids>
    <w:rsidRoot w:val="00B10CEE"/>
    <w:rsid w:val="00005FFD"/>
    <w:rsid w:val="00011C41"/>
    <w:rsid w:val="000177F1"/>
    <w:rsid w:val="0002385B"/>
    <w:rsid w:val="00024E1A"/>
    <w:rsid w:val="00026127"/>
    <w:rsid w:val="00027B5C"/>
    <w:rsid w:val="000320DE"/>
    <w:rsid w:val="00032919"/>
    <w:rsid w:val="0003616F"/>
    <w:rsid w:val="00037800"/>
    <w:rsid w:val="000500D9"/>
    <w:rsid w:val="00050568"/>
    <w:rsid w:val="000553A8"/>
    <w:rsid w:val="00056D72"/>
    <w:rsid w:val="000609E3"/>
    <w:rsid w:val="00061FBF"/>
    <w:rsid w:val="000638D5"/>
    <w:rsid w:val="00063AD6"/>
    <w:rsid w:val="0007331D"/>
    <w:rsid w:val="00074DEC"/>
    <w:rsid w:val="000765C9"/>
    <w:rsid w:val="00076BD9"/>
    <w:rsid w:val="000834C2"/>
    <w:rsid w:val="0009057C"/>
    <w:rsid w:val="00095A23"/>
    <w:rsid w:val="000A3CC6"/>
    <w:rsid w:val="000A670B"/>
    <w:rsid w:val="000B284C"/>
    <w:rsid w:val="000B403F"/>
    <w:rsid w:val="000C21EB"/>
    <w:rsid w:val="000C5B15"/>
    <w:rsid w:val="000D1869"/>
    <w:rsid w:val="000E161F"/>
    <w:rsid w:val="000E41DF"/>
    <w:rsid w:val="000F3592"/>
    <w:rsid w:val="000F5347"/>
    <w:rsid w:val="001014B4"/>
    <w:rsid w:val="001048F7"/>
    <w:rsid w:val="00107AFB"/>
    <w:rsid w:val="001135E5"/>
    <w:rsid w:val="00117677"/>
    <w:rsid w:val="00133A4D"/>
    <w:rsid w:val="00137ED6"/>
    <w:rsid w:val="001444FE"/>
    <w:rsid w:val="00147D7B"/>
    <w:rsid w:val="001655DB"/>
    <w:rsid w:val="001733E1"/>
    <w:rsid w:val="001749F0"/>
    <w:rsid w:val="001770E0"/>
    <w:rsid w:val="0018521F"/>
    <w:rsid w:val="0018673E"/>
    <w:rsid w:val="00187A58"/>
    <w:rsid w:val="0019030E"/>
    <w:rsid w:val="001964EC"/>
    <w:rsid w:val="001A0A20"/>
    <w:rsid w:val="001B797A"/>
    <w:rsid w:val="001C2598"/>
    <w:rsid w:val="001C3B1B"/>
    <w:rsid w:val="001D06A7"/>
    <w:rsid w:val="001D52B3"/>
    <w:rsid w:val="001D5BAD"/>
    <w:rsid w:val="001E365D"/>
    <w:rsid w:val="001F0893"/>
    <w:rsid w:val="001F7336"/>
    <w:rsid w:val="00204D70"/>
    <w:rsid w:val="00206EAC"/>
    <w:rsid w:val="00210735"/>
    <w:rsid w:val="00212BB5"/>
    <w:rsid w:val="002356FE"/>
    <w:rsid w:val="00236ACA"/>
    <w:rsid w:val="00270F16"/>
    <w:rsid w:val="00271374"/>
    <w:rsid w:val="002A4A9F"/>
    <w:rsid w:val="002A5A29"/>
    <w:rsid w:val="002A6568"/>
    <w:rsid w:val="002B43FE"/>
    <w:rsid w:val="002E77B5"/>
    <w:rsid w:val="002F057F"/>
    <w:rsid w:val="002F22C6"/>
    <w:rsid w:val="002F2C4C"/>
    <w:rsid w:val="002F4450"/>
    <w:rsid w:val="00301514"/>
    <w:rsid w:val="003036A3"/>
    <w:rsid w:val="00315079"/>
    <w:rsid w:val="00322166"/>
    <w:rsid w:val="003325EE"/>
    <w:rsid w:val="003329D9"/>
    <w:rsid w:val="00334233"/>
    <w:rsid w:val="0033742E"/>
    <w:rsid w:val="00343CD2"/>
    <w:rsid w:val="00345330"/>
    <w:rsid w:val="0034601D"/>
    <w:rsid w:val="00352077"/>
    <w:rsid w:val="00367552"/>
    <w:rsid w:val="00370D67"/>
    <w:rsid w:val="003778E0"/>
    <w:rsid w:val="003A16BC"/>
    <w:rsid w:val="003A33A7"/>
    <w:rsid w:val="003A7A9A"/>
    <w:rsid w:val="003B041C"/>
    <w:rsid w:val="003B118E"/>
    <w:rsid w:val="003B79CC"/>
    <w:rsid w:val="003B7BF3"/>
    <w:rsid w:val="003C4D79"/>
    <w:rsid w:val="003C6C22"/>
    <w:rsid w:val="003D133C"/>
    <w:rsid w:val="003D63C7"/>
    <w:rsid w:val="003D6B22"/>
    <w:rsid w:val="003E2520"/>
    <w:rsid w:val="003F12BA"/>
    <w:rsid w:val="003F50DE"/>
    <w:rsid w:val="00402CEB"/>
    <w:rsid w:val="004121CD"/>
    <w:rsid w:val="00427193"/>
    <w:rsid w:val="00432073"/>
    <w:rsid w:val="00433066"/>
    <w:rsid w:val="004601AA"/>
    <w:rsid w:val="00461AA3"/>
    <w:rsid w:val="00467A55"/>
    <w:rsid w:val="00482074"/>
    <w:rsid w:val="004832D0"/>
    <w:rsid w:val="004845E2"/>
    <w:rsid w:val="00487B68"/>
    <w:rsid w:val="00491219"/>
    <w:rsid w:val="00493214"/>
    <w:rsid w:val="004A4C07"/>
    <w:rsid w:val="004B1581"/>
    <w:rsid w:val="004B30C5"/>
    <w:rsid w:val="004B6F6A"/>
    <w:rsid w:val="004C4C24"/>
    <w:rsid w:val="004C66DD"/>
    <w:rsid w:val="004E01E8"/>
    <w:rsid w:val="004E0CD3"/>
    <w:rsid w:val="004F12D5"/>
    <w:rsid w:val="004F434D"/>
    <w:rsid w:val="004F6151"/>
    <w:rsid w:val="00506857"/>
    <w:rsid w:val="0051122A"/>
    <w:rsid w:val="0053006B"/>
    <w:rsid w:val="00534683"/>
    <w:rsid w:val="005466BB"/>
    <w:rsid w:val="005467A8"/>
    <w:rsid w:val="00546F17"/>
    <w:rsid w:val="0055135B"/>
    <w:rsid w:val="005517EC"/>
    <w:rsid w:val="00553914"/>
    <w:rsid w:val="005562E3"/>
    <w:rsid w:val="005569C8"/>
    <w:rsid w:val="00560C50"/>
    <w:rsid w:val="00565346"/>
    <w:rsid w:val="00573399"/>
    <w:rsid w:val="005777EA"/>
    <w:rsid w:val="00581C7B"/>
    <w:rsid w:val="00584BF5"/>
    <w:rsid w:val="0058596B"/>
    <w:rsid w:val="0058757A"/>
    <w:rsid w:val="005A1D9A"/>
    <w:rsid w:val="005A3ED1"/>
    <w:rsid w:val="005B5AF8"/>
    <w:rsid w:val="005B5EBA"/>
    <w:rsid w:val="005C5EEA"/>
    <w:rsid w:val="005D0A3B"/>
    <w:rsid w:val="005D132B"/>
    <w:rsid w:val="005D4689"/>
    <w:rsid w:val="005D6296"/>
    <w:rsid w:val="005D7A94"/>
    <w:rsid w:val="005E033E"/>
    <w:rsid w:val="005E1832"/>
    <w:rsid w:val="005E436A"/>
    <w:rsid w:val="005E66E3"/>
    <w:rsid w:val="005F7153"/>
    <w:rsid w:val="006124B6"/>
    <w:rsid w:val="006157DD"/>
    <w:rsid w:val="00617B2D"/>
    <w:rsid w:val="00625ADB"/>
    <w:rsid w:val="00631884"/>
    <w:rsid w:val="00635655"/>
    <w:rsid w:val="00636196"/>
    <w:rsid w:val="00636576"/>
    <w:rsid w:val="00641CF1"/>
    <w:rsid w:val="00646836"/>
    <w:rsid w:val="0066645A"/>
    <w:rsid w:val="0066685A"/>
    <w:rsid w:val="00666BBB"/>
    <w:rsid w:val="0067140B"/>
    <w:rsid w:val="00671465"/>
    <w:rsid w:val="00675420"/>
    <w:rsid w:val="0067700A"/>
    <w:rsid w:val="00691AF9"/>
    <w:rsid w:val="00694469"/>
    <w:rsid w:val="006950A7"/>
    <w:rsid w:val="00695E1A"/>
    <w:rsid w:val="006A1281"/>
    <w:rsid w:val="006A2CAD"/>
    <w:rsid w:val="006A573C"/>
    <w:rsid w:val="006C24F6"/>
    <w:rsid w:val="006D1686"/>
    <w:rsid w:val="006D337B"/>
    <w:rsid w:val="006D3F78"/>
    <w:rsid w:val="006D699F"/>
    <w:rsid w:val="006E037A"/>
    <w:rsid w:val="006E0B88"/>
    <w:rsid w:val="006E44BA"/>
    <w:rsid w:val="006E4AD9"/>
    <w:rsid w:val="007031B2"/>
    <w:rsid w:val="0071611D"/>
    <w:rsid w:val="00733253"/>
    <w:rsid w:val="00734792"/>
    <w:rsid w:val="00740F07"/>
    <w:rsid w:val="00741CFF"/>
    <w:rsid w:val="00743C97"/>
    <w:rsid w:val="00751368"/>
    <w:rsid w:val="00751D76"/>
    <w:rsid w:val="00754E0A"/>
    <w:rsid w:val="007624E3"/>
    <w:rsid w:val="00766B73"/>
    <w:rsid w:val="00776770"/>
    <w:rsid w:val="00784E0E"/>
    <w:rsid w:val="00786F69"/>
    <w:rsid w:val="007875B2"/>
    <w:rsid w:val="0079176F"/>
    <w:rsid w:val="007973C6"/>
    <w:rsid w:val="007A0A46"/>
    <w:rsid w:val="007A4516"/>
    <w:rsid w:val="007C0B2D"/>
    <w:rsid w:val="007C5316"/>
    <w:rsid w:val="007C67FD"/>
    <w:rsid w:val="007D01BC"/>
    <w:rsid w:val="007D7E94"/>
    <w:rsid w:val="007E173B"/>
    <w:rsid w:val="007E2328"/>
    <w:rsid w:val="007F0145"/>
    <w:rsid w:val="007F5F9E"/>
    <w:rsid w:val="00801764"/>
    <w:rsid w:val="008038AC"/>
    <w:rsid w:val="00812748"/>
    <w:rsid w:val="0081731D"/>
    <w:rsid w:val="00824951"/>
    <w:rsid w:val="00832F19"/>
    <w:rsid w:val="008338A4"/>
    <w:rsid w:val="00837418"/>
    <w:rsid w:val="00837734"/>
    <w:rsid w:val="008433C2"/>
    <w:rsid w:val="00846E7C"/>
    <w:rsid w:val="00847324"/>
    <w:rsid w:val="00855EE4"/>
    <w:rsid w:val="00872177"/>
    <w:rsid w:val="00872C3F"/>
    <w:rsid w:val="0088104E"/>
    <w:rsid w:val="0089007C"/>
    <w:rsid w:val="00892B2A"/>
    <w:rsid w:val="00897533"/>
    <w:rsid w:val="008A5600"/>
    <w:rsid w:val="008A67DF"/>
    <w:rsid w:val="008A696D"/>
    <w:rsid w:val="008A7F29"/>
    <w:rsid w:val="008B2D5E"/>
    <w:rsid w:val="008B36CC"/>
    <w:rsid w:val="008B403B"/>
    <w:rsid w:val="008B41A6"/>
    <w:rsid w:val="008C07DA"/>
    <w:rsid w:val="008C5A75"/>
    <w:rsid w:val="008C6D19"/>
    <w:rsid w:val="008C78A9"/>
    <w:rsid w:val="008C7EDC"/>
    <w:rsid w:val="008D310D"/>
    <w:rsid w:val="008D3859"/>
    <w:rsid w:val="008F2E73"/>
    <w:rsid w:val="008F5276"/>
    <w:rsid w:val="008F57E8"/>
    <w:rsid w:val="0090149B"/>
    <w:rsid w:val="00912A90"/>
    <w:rsid w:val="00913A31"/>
    <w:rsid w:val="00921D6F"/>
    <w:rsid w:val="009224B9"/>
    <w:rsid w:val="00925A4E"/>
    <w:rsid w:val="00945509"/>
    <w:rsid w:val="00945F7B"/>
    <w:rsid w:val="00950E14"/>
    <w:rsid w:val="009614A7"/>
    <w:rsid w:val="00962F07"/>
    <w:rsid w:val="00970923"/>
    <w:rsid w:val="00972A7E"/>
    <w:rsid w:val="00974044"/>
    <w:rsid w:val="00982221"/>
    <w:rsid w:val="00984E56"/>
    <w:rsid w:val="009946F7"/>
    <w:rsid w:val="009A00B8"/>
    <w:rsid w:val="009A0A20"/>
    <w:rsid w:val="009A6BBD"/>
    <w:rsid w:val="009B0A7F"/>
    <w:rsid w:val="009B0ED7"/>
    <w:rsid w:val="009B1CFC"/>
    <w:rsid w:val="009B434E"/>
    <w:rsid w:val="009C0C5D"/>
    <w:rsid w:val="009C421D"/>
    <w:rsid w:val="009C5142"/>
    <w:rsid w:val="009D2F9C"/>
    <w:rsid w:val="009D7C8B"/>
    <w:rsid w:val="009E2048"/>
    <w:rsid w:val="009E27BB"/>
    <w:rsid w:val="009F534E"/>
    <w:rsid w:val="009F57DF"/>
    <w:rsid w:val="009F7AC1"/>
    <w:rsid w:val="00A0152C"/>
    <w:rsid w:val="00A016C8"/>
    <w:rsid w:val="00A07EEF"/>
    <w:rsid w:val="00A202BE"/>
    <w:rsid w:val="00A21260"/>
    <w:rsid w:val="00A270CB"/>
    <w:rsid w:val="00A3361A"/>
    <w:rsid w:val="00A50381"/>
    <w:rsid w:val="00A51053"/>
    <w:rsid w:val="00A517EE"/>
    <w:rsid w:val="00A56502"/>
    <w:rsid w:val="00A57452"/>
    <w:rsid w:val="00A616B7"/>
    <w:rsid w:val="00A61FD6"/>
    <w:rsid w:val="00A71C99"/>
    <w:rsid w:val="00A72A9D"/>
    <w:rsid w:val="00A756A1"/>
    <w:rsid w:val="00A77A1C"/>
    <w:rsid w:val="00A81BE9"/>
    <w:rsid w:val="00A905EA"/>
    <w:rsid w:val="00A907D4"/>
    <w:rsid w:val="00AA06F6"/>
    <w:rsid w:val="00AA6949"/>
    <w:rsid w:val="00AA7676"/>
    <w:rsid w:val="00AB1478"/>
    <w:rsid w:val="00AB44F6"/>
    <w:rsid w:val="00AB4B88"/>
    <w:rsid w:val="00AB4F86"/>
    <w:rsid w:val="00AB5E46"/>
    <w:rsid w:val="00AC2841"/>
    <w:rsid w:val="00AC342E"/>
    <w:rsid w:val="00AC691A"/>
    <w:rsid w:val="00AD38BD"/>
    <w:rsid w:val="00AE69B6"/>
    <w:rsid w:val="00AE7877"/>
    <w:rsid w:val="00AF5576"/>
    <w:rsid w:val="00AF6C96"/>
    <w:rsid w:val="00B0636C"/>
    <w:rsid w:val="00B10CEE"/>
    <w:rsid w:val="00B14395"/>
    <w:rsid w:val="00B15450"/>
    <w:rsid w:val="00B22C0F"/>
    <w:rsid w:val="00B247EE"/>
    <w:rsid w:val="00B255E9"/>
    <w:rsid w:val="00B37580"/>
    <w:rsid w:val="00B42733"/>
    <w:rsid w:val="00B427DB"/>
    <w:rsid w:val="00B442BA"/>
    <w:rsid w:val="00B4490C"/>
    <w:rsid w:val="00B46B23"/>
    <w:rsid w:val="00B5126F"/>
    <w:rsid w:val="00B56A08"/>
    <w:rsid w:val="00B637E4"/>
    <w:rsid w:val="00B658A1"/>
    <w:rsid w:val="00B764A0"/>
    <w:rsid w:val="00B80E29"/>
    <w:rsid w:val="00B80EFB"/>
    <w:rsid w:val="00BA092B"/>
    <w:rsid w:val="00BA6A28"/>
    <w:rsid w:val="00BB09DF"/>
    <w:rsid w:val="00BC7360"/>
    <w:rsid w:val="00BD014E"/>
    <w:rsid w:val="00BD1078"/>
    <w:rsid w:val="00BD25D8"/>
    <w:rsid w:val="00BD6887"/>
    <w:rsid w:val="00BE09DD"/>
    <w:rsid w:val="00BE6DC4"/>
    <w:rsid w:val="00BF2FA9"/>
    <w:rsid w:val="00C016BF"/>
    <w:rsid w:val="00C04389"/>
    <w:rsid w:val="00C05C30"/>
    <w:rsid w:val="00C11B2E"/>
    <w:rsid w:val="00C2578E"/>
    <w:rsid w:val="00C27B89"/>
    <w:rsid w:val="00C353F0"/>
    <w:rsid w:val="00C440DA"/>
    <w:rsid w:val="00C47BFB"/>
    <w:rsid w:val="00C53AFF"/>
    <w:rsid w:val="00C604FC"/>
    <w:rsid w:val="00C60A53"/>
    <w:rsid w:val="00C635C3"/>
    <w:rsid w:val="00C63F6C"/>
    <w:rsid w:val="00C71C47"/>
    <w:rsid w:val="00C8075B"/>
    <w:rsid w:val="00C87726"/>
    <w:rsid w:val="00C904A3"/>
    <w:rsid w:val="00C93A67"/>
    <w:rsid w:val="00C95955"/>
    <w:rsid w:val="00C964F2"/>
    <w:rsid w:val="00CA1489"/>
    <w:rsid w:val="00CA5F94"/>
    <w:rsid w:val="00CB458D"/>
    <w:rsid w:val="00CD1FC4"/>
    <w:rsid w:val="00CE4643"/>
    <w:rsid w:val="00CE47A6"/>
    <w:rsid w:val="00CE6AA9"/>
    <w:rsid w:val="00D002F0"/>
    <w:rsid w:val="00D01F9A"/>
    <w:rsid w:val="00D02EBB"/>
    <w:rsid w:val="00D12539"/>
    <w:rsid w:val="00D235CB"/>
    <w:rsid w:val="00D37451"/>
    <w:rsid w:val="00D404AE"/>
    <w:rsid w:val="00D43DA9"/>
    <w:rsid w:val="00D509A3"/>
    <w:rsid w:val="00D53242"/>
    <w:rsid w:val="00D53B2D"/>
    <w:rsid w:val="00D56690"/>
    <w:rsid w:val="00D71C8E"/>
    <w:rsid w:val="00D74E7D"/>
    <w:rsid w:val="00D840A2"/>
    <w:rsid w:val="00D851A6"/>
    <w:rsid w:val="00D93C3A"/>
    <w:rsid w:val="00DA5C39"/>
    <w:rsid w:val="00DC0115"/>
    <w:rsid w:val="00DC05A5"/>
    <w:rsid w:val="00DC2FAA"/>
    <w:rsid w:val="00DC3AEE"/>
    <w:rsid w:val="00DE01BE"/>
    <w:rsid w:val="00DE287A"/>
    <w:rsid w:val="00DF0F26"/>
    <w:rsid w:val="00DF7C2F"/>
    <w:rsid w:val="00E00192"/>
    <w:rsid w:val="00E04346"/>
    <w:rsid w:val="00E226F3"/>
    <w:rsid w:val="00E239AC"/>
    <w:rsid w:val="00E24DE5"/>
    <w:rsid w:val="00E24FB2"/>
    <w:rsid w:val="00E2525A"/>
    <w:rsid w:val="00E45EBF"/>
    <w:rsid w:val="00E47A7A"/>
    <w:rsid w:val="00E519EC"/>
    <w:rsid w:val="00E70662"/>
    <w:rsid w:val="00E94523"/>
    <w:rsid w:val="00E95489"/>
    <w:rsid w:val="00E96947"/>
    <w:rsid w:val="00EA1AEA"/>
    <w:rsid w:val="00EA3C4A"/>
    <w:rsid w:val="00EA5809"/>
    <w:rsid w:val="00EB39FE"/>
    <w:rsid w:val="00EC0AA5"/>
    <w:rsid w:val="00ED2180"/>
    <w:rsid w:val="00ED3DD9"/>
    <w:rsid w:val="00EE28D9"/>
    <w:rsid w:val="00EE2D0A"/>
    <w:rsid w:val="00EE36EB"/>
    <w:rsid w:val="00EE48A1"/>
    <w:rsid w:val="00EE61CD"/>
    <w:rsid w:val="00EE63B1"/>
    <w:rsid w:val="00EF3523"/>
    <w:rsid w:val="00EF4822"/>
    <w:rsid w:val="00F01ACB"/>
    <w:rsid w:val="00F02146"/>
    <w:rsid w:val="00F12BC1"/>
    <w:rsid w:val="00F34045"/>
    <w:rsid w:val="00F35895"/>
    <w:rsid w:val="00F360DA"/>
    <w:rsid w:val="00F41141"/>
    <w:rsid w:val="00F51AE0"/>
    <w:rsid w:val="00F600CA"/>
    <w:rsid w:val="00F67AD9"/>
    <w:rsid w:val="00F73098"/>
    <w:rsid w:val="00F8404C"/>
    <w:rsid w:val="00F92593"/>
    <w:rsid w:val="00F93F9A"/>
    <w:rsid w:val="00F968C6"/>
    <w:rsid w:val="00FC1453"/>
    <w:rsid w:val="00FD0892"/>
    <w:rsid w:val="00FD58F6"/>
    <w:rsid w:val="00FE026B"/>
    <w:rsid w:val="00FE5A8A"/>
    <w:rsid w:val="00FE6C0D"/>
    <w:rsid w:val="00FF0CBB"/>
    <w:rsid w:val="00FF1DE8"/>
    <w:rsid w:val="00FF6097"/>
    <w:rsid w:val="0E5538D1"/>
    <w:rsid w:val="0EFC079A"/>
    <w:rsid w:val="15EE2487"/>
    <w:rsid w:val="33C024F3"/>
    <w:rsid w:val="38573674"/>
    <w:rsid w:val="3E095D5F"/>
    <w:rsid w:val="45E14D15"/>
    <w:rsid w:val="6B9D2F4E"/>
    <w:rsid w:val="72D25191"/>
    <w:rsid w:val="7E3049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87"/>
    <w:qFormat/>
    <w:uiPriority w:val="0"/>
    <w:pPr>
      <w:keepNext/>
      <w:keepLines/>
      <w:numPr>
        <w:ilvl w:val="0"/>
        <w:numId w:val="1"/>
      </w:numPr>
      <w:spacing w:before="340" w:after="330" w:line="578" w:lineRule="auto"/>
      <w:ind w:left="0" w:firstLine="0"/>
      <w:outlineLvl w:val="0"/>
    </w:pPr>
    <w:rPr>
      <w:rFonts w:ascii="Calibri" w:hAnsi="Calibri" w:eastAsia="仿宋"/>
      <w:b/>
      <w:bCs/>
      <w:kern w:val="44"/>
      <w:sz w:val="30"/>
      <w:szCs w:val="44"/>
    </w:rPr>
  </w:style>
  <w:style w:type="paragraph" w:styleId="3">
    <w:name w:val="heading 2"/>
    <w:basedOn w:val="1"/>
    <w:next w:val="1"/>
    <w:link w:val="88"/>
    <w:qFormat/>
    <w:uiPriority w:val="0"/>
    <w:pPr>
      <w:keepNext/>
      <w:keepLines/>
      <w:numPr>
        <w:ilvl w:val="1"/>
        <w:numId w:val="1"/>
      </w:numPr>
      <w:tabs>
        <w:tab w:val="left" w:pos="432"/>
        <w:tab w:val="clear" w:pos="576"/>
      </w:tabs>
      <w:spacing w:before="260" w:after="260" w:line="416" w:lineRule="auto"/>
      <w:ind w:left="0" w:firstLine="0"/>
      <w:outlineLvl w:val="1"/>
    </w:pPr>
    <w:rPr>
      <w:rFonts w:ascii="Cambria" w:hAnsi="Cambria"/>
      <w:b/>
      <w:bCs/>
      <w:szCs w:val="32"/>
    </w:rPr>
  </w:style>
  <w:style w:type="paragraph" w:styleId="4">
    <w:name w:val="heading 3"/>
    <w:basedOn w:val="1"/>
    <w:next w:val="1"/>
    <w:link w:val="89"/>
    <w:qFormat/>
    <w:uiPriority w:val="0"/>
    <w:pPr>
      <w:keepNext/>
      <w:keepLines/>
      <w:numPr>
        <w:ilvl w:val="2"/>
        <w:numId w:val="1"/>
      </w:numPr>
      <w:tabs>
        <w:tab w:val="left" w:pos="432"/>
        <w:tab w:val="clear" w:pos="1260"/>
      </w:tabs>
      <w:spacing w:before="260" w:after="260" w:line="416" w:lineRule="auto"/>
      <w:ind w:left="0" w:firstLine="0"/>
      <w:outlineLvl w:val="2"/>
    </w:pPr>
    <w:rPr>
      <w:rFonts w:ascii="Calibri" w:hAnsi="Calibri"/>
      <w:b/>
      <w:bCs/>
      <w:sz w:val="32"/>
      <w:szCs w:val="32"/>
    </w:rPr>
  </w:style>
  <w:style w:type="paragraph" w:styleId="5">
    <w:name w:val="heading 4"/>
    <w:basedOn w:val="1"/>
    <w:next w:val="1"/>
    <w:link w:val="90"/>
    <w:qFormat/>
    <w:uiPriority w:val="0"/>
    <w:pPr>
      <w:keepNext/>
      <w:keepLines/>
      <w:numPr>
        <w:ilvl w:val="3"/>
        <w:numId w:val="1"/>
      </w:numPr>
      <w:tabs>
        <w:tab w:val="left" w:pos="432"/>
        <w:tab w:val="clear" w:pos="864"/>
      </w:tabs>
      <w:spacing w:before="280" w:after="290" w:line="376" w:lineRule="auto"/>
      <w:ind w:left="0" w:firstLine="0"/>
      <w:outlineLvl w:val="3"/>
    </w:pPr>
    <w:rPr>
      <w:rFonts w:ascii="Cambria" w:hAnsi="Cambria"/>
      <w:b/>
      <w:bCs/>
      <w:szCs w:val="28"/>
    </w:rPr>
  </w:style>
  <w:style w:type="paragraph" w:styleId="6">
    <w:name w:val="heading 5"/>
    <w:basedOn w:val="1"/>
    <w:next w:val="1"/>
    <w:link w:val="91"/>
    <w:qFormat/>
    <w:uiPriority w:val="0"/>
    <w:pPr>
      <w:keepNext/>
      <w:keepLines/>
      <w:widowControl/>
      <w:numPr>
        <w:ilvl w:val="4"/>
        <w:numId w:val="1"/>
      </w:numPr>
      <w:tabs>
        <w:tab w:val="left" w:pos="432"/>
      </w:tabs>
      <w:spacing w:before="280" w:after="290" w:line="376" w:lineRule="auto"/>
      <w:jc w:val="left"/>
      <w:outlineLvl w:val="4"/>
    </w:pPr>
    <w:rPr>
      <w:b/>
      <w:bCs/>
      <w:kern w:val="0"/>
      <w:szCs w:val="28"/>
    </w:rPr>
  </w:style>
  <w:style w:type="paragraph" w:styleId="7">
    <w:name w:val="heading 6"/>
    <w:basedOn w:val="1"/>
    <w:next w:val="1"/>
    <w:link w:val="92"/>
    <w:qFormat/>
    <w:uiPriority w:val="0"/>
    <w:pPr>
      <w:keepNext/>
      <w:keepLines/>
      <w:widowControl/>
      <w:numPr>
        <w:ilvl w:val="5"/>
        <w:numId w:val="1"/>
      </w:numPr>
      <w:tabs>
        <w:tab w:val="left" w:pos="432"/>
      </w:tabs>
      <w:spacing w:before="240" w:after="64" w:line="320" w:lineRule="auto"/>
      <w:jc w:val="left"/>
      <w:outlineLvl w:val="5"/>
    </w:pPr>
    <w:rPr>
      <w:rFonts w:ascii="Arial" w:hAnsi="Arial" w:eastAsia="黑体"/>
      <w:b/>
      <w:bCs/>
      <w:kern w:val="0"/>
      <w:sz w:val="24"/>
    </w:rPr>
  </w:style>
  <w:style w:type="paragraph" w:styleId="8">
    <w:name w:val="heading 7"/>
    <w:basedOn w:val="1"/>
    <w:next w:val="1"/>
    <w:link w:val="93"/>
    <w:qFormat/>
    <w:uiPriority w:val="0"/>
    <w:pPr>
      <w:keepNext/>
      <w:keepLines/>
      <w:widowControl/>
      <w:numPr>
        <w:ilvl w:val="6"/>
        <w:numId w:val="1"/>
      </w:numPr>
      <w:tabs>
        <w:tab w:val="left" w:pos="432"/>
      </w:tabs>
      <w:spacing w:before="240" w:after="64" w:line="320" w:lineRule="auto"/>
      <w:jc w:val="left"/>
      <w:outlineLvl w:val="6"/>
    </w:pPr>
    <w:rPr>
      <w:b/>
      <w:bCs/>
      <w:kern w:val="0"/>
      <w:sz w:val="24"/>
    </w:rPr>
  </w:style>
  <w:style w:type="paragraph" w:styleId="9">
    <w:name w:val="heading 8"/>
    <w:basedOn w:val="1"/>
    <w:next w:val="1"/>
    <w:link w:val="94"/>
    <w:qFormat/>
    <w:uiPriority w:val="0"/>
    <w:pPr>
      <w:keepNext/>
      <w:keepLines/>
      <w:widowControl/>
      <w:numPr>
        <w:ilvl w:val="7"/>
        <w:numId w:val="1"/>
      </w:numPr>
      <w:tabs>
        <w:tab w:val="left" w:pos="432"/>
      </w:tabs>
      <w:spacing w:before="240" w:after="64" w:line="320" w:lineRule="auto"/>
      <w:jc w:val="left"/>
      <w:outlineLvl w:val="7"/>
    </w:pPr>
    <w:rPr>
      <w:rFonts w:ascii="Arial" w:hAnsi="Arial" w:eastAsia="黑体"/>
      <w:kern w:val="0"/>
      <w:sz w:val="24"/>
    </w:rPr>
  </w:style>
  <w:style w:type="paragraph" w:styleId="10">
    <w:name w:val="heading 9"/>
    <w:basedOn w:val="1"/>
    <w:next w:val="1"/>
    <w:link w:val="95"/>
    <w:qFormat/>
    <w:uiPriority w:val="0"/>
    <w:pPr>
      <w:keepNext/>
      <w:keepLines/>
      <w:widowControl/>
      <w:numPr>
        <w:ilvl w:val="8"/>
        <w:numId w:val="1"/>
      </w:numPr>
      <w:tabs>
        <w:tab w:val="left" w:pos="432"/>
      </w:tabs>
      <w:spacing w:before="240" w:after="64" w:line="320" w:lineRule="auto"/>
      <w:jc w:val="left"/>
      <w:outlineLvl w:val="8"/>
    </w:pPr>
    <w:rPr>
      <w:rFonts w:ascii="Arial" w:hAnsi="Arial" w:eastAsia="黑体"/>
      <w:kern w:val="0"/>
      <w:sz w:val="21"/>
      <w:szCs w:val="21"/>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link w:val="98"/>
    <w:qFormat/>
    <w:uiPriority w:val="0"/>
    <w:pPr>
      <w:ind w:firstLine="420"/>
    </w:pPr>
    <w:rPr>
      <w:rFonts w:ascii="Calibri" w:hAnsi="Calibri" w:cs="黑体"/>
      <w:sz w:val="21"/>
      <w:szCs w:val="22"/>
    </w:rPr>
  </w:style>
  <w:style w:type="paragraph" w:styleId="12">
    <w:name w:val="List Bullet"/>
    <w:basedOn w:val="1"/>
    <w:qFormat/>
    <w:uiPriority w:val="0"/>
    <w:pPr>
      <w:numPr>
        <w:ilvl w:val="0"/>
        <w:numId w:val="2"/>
      </w:numPr>
    </w:pPr>
    <w:rPr>
      <w:sz w:val="21"/>
    </w:rPr>
  </w:style>
  <w:style w:type="paragraph" w:styleId="13">
    <w:name w:val="Document Map"/>
    <w:basedOn w:val="1"/>
    <w:link w:val="96"/>
    <w:semiHidden/>
    <w:qFormat/>
    <w:uiPriority w:val="0"/>
    <w:rPr>
      <w:rFonts w:ascii="Heiti SC Light" w:hAnsi="Calibri" w:eastAsia="Times New Roman"/>
      <w:sz w:val="24"/>
    </w:rPr>
  </w:style>
  <w:style w:type="paragraph" w:styleId="14">
    <w:name w:val="annotation text"/>
    <w:basedOn w:val="1"/>
    <w:link w:val="97"/>
    <w:qFormat/>
    <w:uiPriority w:val="0"/>
    <w:pPr>
      <w:jc w:val="left"/>
    </w:pPr>
    <w:rPr>
      <w:rFonts w:ascii="Calibri" w:hAnsi="Calibri" w:cs="黑体"/>
      <w:szCs w:val="22"/>
    </w:rPr>
  </w:style>
  <w:style w:type="paragraph" w:styleId="15">
    <w:name w:val="Body Text"/>
    <w:basedOn w:val="1"/>
    <w:link w:val="101"/>
    <w:qFormat/>
    <w:uiPriority w:val="0"/>
    <w:pPr>
      <w:spacing w:line="420" w:lineRule="auto"/>
    </w:pPr>
    <w:rPr>
      <w:sz w:val="24"/>
    </w:rPr>
  </w:style>
  <w:style w:type="paragraph" w:styleId="16">
    <w:name w:val="Body Text Indent"/>
    <w:basedOn w:val="1"/>
    <w:link w:val="85"/>
    <w:qFormat/>
    <w:uiPriority w:val="0"/>
    <w:pPr>
      <w:ind w:firstLine="600"/>
    </w:pPr>
    <w:rPr>
      <w:sz w:val="32"/>
      <w:szCs w:val="20"/>
    </w:rPr>
  </w:style>
  <w:style w:type="paragraph" w:styleId="17">
    <w:name w:val="toc 3"/>
    <w:basedOn w:val="1"/>
    <w:next w:val="1"/>
    <w:qFormat/>
    <w:uiPriority w:val="0"/>
    <w:pPr>
      <w:ind w:left="840" w:leftChars="400"/>
    </w:pPr>
    <w:rPr>
      <w:sz w:val="21"/>
    </w:rPr>
  </w:style>
  <w:style w:type="paragraph" w:styleId="18">
    <w:name w:val="Plain Text"/>
    <w:basedOn w:val="1"/>
    <w:link w:val="84"/>
    <w:qFormat/>
    <w:uiPriority w:val="0"/>
    <w:rPr>
      <w:rFonts w:ascii="宋体" w:hAnsi="Courier New" w:cs="Courier New"/>
      <w:sz w:val="21"/>
      <w:szCs w:val="21"/>
    </w:rPr>
  </w:style>
  <w:style w:type="paragraph" w:styleId="19">
    <w:name w:val="Balloon Text"/>
    <w:basedOn w:val="1"/>
    <w:link w:val="86"/>
    <w:unhideWhenUsed/>
    <w:qFormat/>
    <w:uiPriority w:val="0"/>
    <w:rPr>
      <w:sz w:val="18"/>
      <w:szCs w:val="18"/>
    </w:rPr>
  </w:style>
  <w:style w:type="paragraph" w:styleId="20">
    <w:name w:val="footer"/>
    <w:basedOn w:val="1"/>
    <w:link w:val="83"/>
    <w:qFormat/>
    <w:uiPriority w:val="99"/>
    <w:pPr>
      <w:tabs>
        <w:tab w:val="center" w:pos="4153"/>
        <w:tab w:val="right" w:pos="8306"/>
      </w:tabs>
      <w:snapToGrid w:val="0"/>
      <w:jc w:val="left"/>
    </w:pPr>
    <w:rPr>
      <w:sz w:val="18"/>
      <w:szCs w:val="18"/>
    </w:rPr>
  </w:style>
  <w:style w:type="paragraph" w:styleId="21">
    <w:name w:val="header"/>
    <w:basedOn w:val="1"/>
    <w:link w:val="106"/>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0"/>
    <w:rPr>
      <w:sz w:val="21"/>
    </w:rPr>
  </w:style>
  <w:style w:type="paragraph" w:styleId="23">
    <w:name w:val="Body Text Indent 3"/>
    <w:basedOn w:val="1"/>
    <w:link w:val="103"/>
    <w:qFormat/>
    <w:uiPriority w:val="0"/>
    <w:pPr>
      <w:spacing w:after="120"/>
      <w:ind w:left="420" w:leftChars="200"/>
    </w:pPr>
    <w:rPr>
      <w:sz w:val="16"/>
      <w:szCs w:val="16"/>
    </w:rPr>
  </w:style>
  <w:style w:type="paragraph" w:styleId="24">
    <w:name w:val="Normal (Web)"/>
    <w:basedOn w:val="1"/>
    <w:qFormat/>
    <w:uiPriority w:val="0"/>
    <w:rPr>
      <w:sz w:val="24"/>
      <w:szCs w:val="20"/>
    </w:rPr>
  </w:style>
  <w:style w:type="paragraph" w:styleId="25">
    <w:name w:val="Title"/>
    <w:basedOn w:val="1"/>
    <w:next w:val="1"/>
    <w:link w:val="104"/>
    <w:qFormat/>
    <w:uiPriority w:val="0"/>
    <w:pPr>
      <w:spacing w:before="240" w:after="60"/>
      <w:jc w:val="center"/>
      <w:outlineLvl w:val="0"/>
    </w:pPr>
    <w:rPr>
      <w:rFonts w:ascii="Cambria" w:hAnsi="Cambria"/>
      <w:b/>
      <w:bCs/>
      <w:sz w:val="32"/>
      <w:szCs w:val="32"/>
    </w:rPr>
  </w:style>
  <w:style w:type="paragraph" w:styleId="26">
    <w:name w:val="annotation subject"/>
    <w:basedOn w:val="14"/>
    <w:next w:val="14"/>
    <w:link w:val="107"/>
    <w:unhideWhenUsed/>
    <w:qFormat/>
    <w:uiPriority w:val="99"/>
    <w:rPr>
      <w:rFonts w:ascii="Times New Roman" w:hAnsi="Times New Roman" w:cs="Times New Roman"/>
      <w:b/>
      <w:bCs/>
      <w:szCs w:val="24"/>
    </w:rPr>
  </w:style>
  <w:style w:type="table" w:styleId="28">
    <w:name w:val="Table Grid"/>
    <w:basedOn w:val="27"/>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qFormat/>
    <w:uiPriority w:val="0"/>
  </w:style>
  <w:style w:type="character" w:styleId="31">
    <w:name w:val="FollowedHyperlink"/>
    <w:qFormat/>
    <w:uiPriority w:val="99"/>
    <w:rPr>
      <w:color w:val="800080"/>
      <w:u w:val="single"/>
    </w:rPr>
  </w:style>
  <w:style w:type="character" w:styleId="32">
    <w:name w:val="Hyperlink"/>
    <w:qFormat/>
    <w:uiPriority w:val="99"/>
    <w:rPr>
      <w:color w:val="0000FF"/>
      <w:u w:val="single"/>
    </w:rPr>
  </w:style>
  <w:style w:type="character" w:styleId="33">
    <w:name w:val="annotation reference"/>
    <w:qFormat/>
    <w:uiPriority w:val="0"/>
    <w:rPr>
      <w:sz w:val="21"/>
    </w:rPr>
  </w:style>
  <w:style w:type="paragraph" w:customStyle="1" w:styleId="34">
    <w:name w:val="列表段落1"/>
    <w:basedOn w:val="1"/>
    <w:qFormat/>
    <w:uiPriority w:val="0"/>
    <w:pPr>
      <w:ind w:firstLine="420" w:firstLineChars="200"/>
    </w:pPr>
  </w:style>
  <w:style w:type="paragraph" w:customStyle="1" w:styleId="35">
    <w:name w:val="列出段落1"/>
    <w:basedOn w:val="1"/>
    <w:qFormat/>
    <w:uiPriority w:val="0"/>
    <w:pPr>
      <w:ind w:firstLine="420" w:firstLineChars="200"/>
    </w:pPr>
    <w:rPr>
      <w:rFonts w:ascii="Calibri" w:hAnsi="Calibri"/>
      <w:sz w:val="21"/>
      <w:szCs w:val="22"/>
    </w:rPr>
  </w:style>
  <w:style w:type="paragraph" w:customStyle="1" w:styleId="36">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
    <w:name w:val="Char Char"/>
    <w:basedOn w:val="1"/>
    <w:autoRedefine/>
    <w:qFormat/>
    <w:uiPriority w:val="0"/>
    <w:rPr>
      <w:rFonts w:ascii="Tahoma" w:hAnsi="Tahoma"/>
      <w:sz w:val="24"/>
      <w:szCs w:val="20"/>
    </w:rPr>
  </w:style>
  <w:style w:type="paragraph" w:customStyle="1" w:styleId="38">
    <w:name w:val="大汉方案正文"/>
    <w:basedOn w:val="1"/>
    <w:autoRedefine/>
    <w:qFormat/>
    <w:uiPriority w:val="0"/>
    <w:pPr>
      <w:spacing w:line="360" w:lineRule="auto"/>
      <w:ind w:firstLine="200" w:firstLineChars="200"/>
    </w:pPr>
    <w:rPr>
      <w:rFonts w:ascii="Arial" w:hAnsi="Arial"/>
      <w:sz w:val="24"/>
      <w:szCs w:val="20"/>
    </w:rPr>
  </w:style>
  <w:style w:type="paragraph" w:customStyle="1" w:styleId="39">
    <w:name w:val="retrait3"/>
    <w:basedOn w:val="1"/>
    <w:autoRedefine/>
    <w:qFormat/>
    <w:uiPriority w:val="0"/>
    <w:pPr>
      <w:widowControl/>
      <w:spacing w:before="20" w:after="20"/>
      <w:ind w:left="851"/>
      <w:jc w:val="left"/>
    </w:pPr>
    <w:rPr>
      <w:rFonts w:ascii="Arial" w:hAnsi="Arial"/>
      <w:kern w:val="0"/>
      <w:sz w:val="24"/>
      <w:szCs w:val="20"/>
    </w:rPr>
  </w:style>
  <w:style w:type="paragraph" w:customStyle="1" w:styleId="40">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4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2">
    <w:name w:val="列出段落2"/>
    <w:basedOn w:val="1"/>
    <w:qFormat/>
    <w:uiPriority w:val="0"/>
    <w:pPr>
      <w:ind w:firstLine="420" w:firstLineChars="200"/>
    </w:pPr>
    <w:rPr>
      <w:rFonts w:ascii="Calibri" w:hAnsi="Calibri"/>
      <w:sz w:val="21"/>
      <w:szCs w:val="22"/>
    </w:rPr>
  </w:style>
  <w:style w:type="paragraph" w:customStyle="1" w:styleId="43">
    <w:name w:val="无间隔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Char Char11 Char Char Char Char"/>
    <w:basedOn w:val="1"/>
    <w:autoRedefine/>
    <w:qFormat/>
    <w:uiPriority w:val="0"/>
    <w:pPr>
      <w:tabs>
        <w:tab w:val="left" w:pos="360"/>
      </w:tabs>
    </w:pPr>
    <w:rPr>
      <w:sz w:val="21"/>
    </w:rPr>
  </w:style>
  <w:style w:type="paragraph" w:customStyle="1" w:styleId="45">
    <w:name w:val="xl65"/>
    <w:basedOn w:val="1"/>
    <w:autoRedefine/>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6">
    <w:name w:val="xl66"/>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7">
    <w:name w:val="xl67"/>
    <w:basedOn w:val="1"/>
    <w:autoRedefine/>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8">
    <w:name w:val="xl68"/>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9">
    <w:name w:val="xl69"/>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0">
    <w:name w:val="xl70"/>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1">
    <w:name w:val="xl71"/>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2">
    <w:name w:val="xl72"/>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3">
    <w:name w:val="xl73"/>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4">
    <w:name w:val="xl74"/>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5">
    <w:name w:val="xl75"/>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6">
    <w:name w:val="xl76"/>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7">
    <w:name w:val="xl77"/>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8">
    <w:name w:val="xl78"/>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9">
    <w:name w:val="xl79"/>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60">
    <w:name w:val="xl80"/>
    <w:basedOn w:val="1"/>
    <w:qFormat/>
    <w:uiPriority w:val="0"/>
    <w:pPr>
      <w:widowControl/>
      <w:spacing w:before="100" w:beforeAutospacing="1" w:after="100" w:afterAutospacing="1"/>
      <w:jc w:val="left"/>
      <w:textAlignment w:val="bottom"/>
    </w:pPr>
    <w:rPr>
      <w:rFonts w:ascii="宋体" w:hAnsi="宋体" w:cs="宋体"/>
      <w:b/>
      <w:bCs/>
      <w:kern w:val="0"/>
      <w:sz w:val="18"/>
      <w:szCs w:val="18"/>
    </w:rPr>
  </w:style>
  <w:style w:type="paragraph" w:customStyle="1" w:styleId="61">
    <w:name w:val="xl81"/>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2">
    <w:name w:val="xl82"/>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63">
    <w:name w:val="xl8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4">
    <w:name w:val="xl8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5">
    <w:name w:val="xl8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6">
    <w:name w:val="xl86"/>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7">
    <w:name w:val="xl87"/>
    <w:basedOn w:val="1"/>
    <w:qFormat/>
    <w:uiPriority w:val="0"/>
    <w:pPr>
      <w:widowControl/>
      <w:spacing w:before="100" w:beforeAutospacing="1" w:after="100" w:afterAutospacing="1"/>
      <w:jc w:val="left"/>
      <w:textAlignment w:val="bottom"/>
    </w:pPr>
    <w:rPr>
      <w:rFonts w:ascii="宋体" w:hAnsi="宋体" w:cs="宋体"/>
      <w:b/>
      <w:bCs/>
      <w:kern w:val="0"/>
      <w:sz w:val="16"/>
      <w:szCs w:val="16"/>
    </w:rPr>
  </w:style>
  <w:style w:type="paragraph" w:customStyle="1" w:styleId="68">
    <w:name w:val="xl88"/>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69">
    <w:name w:val="xl89"/>
    <w:basedOn w:val="1"/>
    <w:qFormat/>
    <w:uiPriority w:val="0"/>
    <w:pPr>
      <w:widowControl/>
      <w:spacing w:before="100" w:beforeAutospacing="1" w:after="100" w:afterAutospacing="1"/>
      <w:jc w:val="center"/>
      <w:textAlignment w:val="bottom"/>
    </w:pPr>
    <w:rPr>
      <w:rFonts w:ascii="宋体" w:hAnsi="宋体" w:cs="宋体"/>
      <w:kern w:val="0"/>
      <w:sz w:val="18"/>
      <w:szCs w:val="18"/>
      <w:u w:val="single"/>
    </w:rPr>
  </w:style>
  <w:style w:type="paragraph" w:customStyle="1" w:styleId="70">
    <w:name w:val="xl90"/>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1">
    <w:name w:val="xl91"/>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2">
    <w:name w:val="xl92"/>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3">
    <w:name w:val="xl9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4">
    <w:name w:val="xl9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5">
    <w:name w:val="xl9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6">
    <w:name w:val="xl96"/>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7">
    <w:name w:val="xl97"/>
    <w:basedOn w:val="1"/>
    <w:qFormat/>
    <w:uiPriority w:val="0"/>
    <w:pPr>
      <w:widowControl/>
      <w:spacing w:before="100" w:beforeAutospacing="1" w:after="100" w:afterAutospacing="1"/>
      <w:jc w:val="center"/>
      <w:textAlignment w:val="bottom"/>
    </w:pPr>
    <w:rPr>
      <w:rFonts w:ascii="宋体" w:hAnsi="宋体" w:cs="宋体"/>
      <w:b/>
      <w:bCs/>
      <w:color w:val="DD0806"/>
      <w:kern w:val="0"/>
      <w:sz w:val="18"/>
      <w:szCs w:val="18"/>
    </w:rPr>
  </w:style>
  <w:style w:type="paragraph" w:customStyle="1" w:styleId="78">
    <w:name w:val="xl98"/>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79">
    <w:name w:val="xl99"/>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80">
    <w:name w:val="xl100"/>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81">
    <w:name w:val="xl101"/>
    <w:basedOn w:val="1"/>
    <w:qFormat/>
    <w:uiPriority w:val="0"/>
    <w:pPr>
      <w:widowControl/>
      <w:spacing w:before="100" w:beforeAutospacing="1" w:after="100" w:afterAutospacing="1"/>
      <w:jc w:val="center"/>
      <w:textAlignment w:val="bottom"/>
    </w:pPr>
    <w:rPr>
      <w:rFonts w:ascii="宋体" w:hAnsi="宋体" w:cs="宋体"/>
      <w:b/>
      <w:bCs/>
      <w:kern w:val="0"/>
      <w:sz w:val="18"/>
      <w:szCs w:val="18"/>
      <w:u w:val="single"/>
    </w:rPr>
  </w:style>
  <w:style w:type="paragraph" w:customStyle="1" w:styleId="82">
    <w:name w:val="Table Paragraph"/>
    <w:basedOn w:val="1"/>
    <w:qFormat/>
    <w:uiPriority w:val="99"/>
    <w:pPr>
      <w:autoSpaceDE w:val="0"/>
      <w:autoSpaceDN w:val="0"/>
      <w:jc w:val="left"/>
    </w:pPr>
    <w:rPr>
      <w:rFonts w:ascii="Noto Sans Mono CJK JP Regular" w:hAnsi="Noto Sans Mono CJK JP Regular" w:cs="Noto Sans Mono CJK JP Regular"/>
      <w:kern w:val="0"/>
      <w:sz w:val="22"/>
      <w:szCs w:val="22"/>
      <w:lang w:val="zh-CN"/>
    </w:rPr>
  </w:style>
  <w:style w:type="character" w:customStyle="1" w:styleId="83">
    <w:name w:val="页脚 字符"/>
    <w:basedOn w:val="29"/>
    <w:link w:val="20"/>
    <w:qFormat/>
    <w:uiPriority w:val="99"/>
    <w:rPr>
      <w:rFonts w:ascii="Times New Roman" w:hAnsi="Times New Roman" w:eastAsia="宋体" w:cs="Times New Roman"/>
      <w:sz w:val="18"/>
      <w:szCs w:val="18"/>
    </w:rPr>
  </w:style>
  <w:style w:type="character" w:customStyle="1" w:styleId="84">
    <w:name w:val="纯文本 字符"/>
    <w:basedOn w:val="29"/>
    <w:link w:val="18"/>
    <w:qFormat/>
    <w:uiPriority w:val="0"/>
    <w:rPr>
      <w:rFonts w:ascii="宋体" w:hAnsi="Courier New" w:eastAsia="宋体" w:cs="Courier New"/>
      <w:szCs w:val="21"/>
    </w:rPr>
  </w:style>
  <w:style w:type="character" w:customStyle="1" w:styleId="85">
    <w:name w:val="正文文本缩进 字符"/>
    <w:basedOn w:val="29"/>
    <w:link w:val="16"/>
    <w:qFormat/>
    <w:uiPriority w:val="0"/>
    <w:rPr>
      <w:rFonts w:ascii="Times New Roman" w:hAnsi="Times New Roman" w:eastAsia="宋体" w:cs="Times New Roman"/>
      <w:sz w:val="32"/>
      <w:szCs w:val="20"/>
    </w:rPr>
  </w:style>
  <w:style w:type="character" w:customStyle="1" w:styleId="86">
    <w:name w:val="批注框文本 字符"/>
    <w:basedOn w:val="29"/>
    <w:link w:val="19"/>
    <w:qFormat/>
    <w:uiPriority w:val="0"/>
    <w:rPr>
      <w:rFonts w:ascii="Times New Roman" w:hAnsi="Times New Roman" w:eastAsia="宋体" w:cs="Times New Roman"/>
      <w:sz w:val="18"/>
      <w:szCs w:val="18"/>
    </w:rPr>
  </w:style>
  <w:style w:type="character" w:customStyle="1" w:styleId="87">
    <w:name w:val="标题 1 字符"/>
    <w:basedOn w:val="29"/>
    <w:link w:val="2"/>
    <w:qFormat/>
    <w:uiPriority w:val="0"/>
    <w:rPr>
      <w:rFonts w:ascii="Calibri" w:hAnsi="Calibri" w:eastAsia="仿宋" w:cs="Times New Roman"/>
      <w:b/>
      <w:bCs/>
      <w:kern w:val="44"/>
      <w:sz w:val="30"/>
      <w:szCs w:val="44"/>
    </w:rPr>
  </w:style>
  <w:style w:type="character" w:customStyle="1" w:styleId="88">
    <w:name w:val="标题 2 字符"/>
    <w:basedOn w:val="29"/>
    <w:link w:val="3"/>
    <w:qFormat/>
    <w:uiPriority w:val="0"/>
    <w:rPr>
      <w:rFonts w:ascii="Cambria" w:hAnsi="Cambria" w:eastAsia="宋体" w:cs="Times New Roman"/>
      <w:b/>
      <w:bCs/>
      <w:sz w:val="28"/>
      <w:szCs w:val="32"/>
    </w:rPr>
  </w:style>
  <w:style w:type="character" w:customStyle="1" w:styleId="89">
    <w:name w:val="标题 3 字符"/>
    <w:basedOn w:val="29"/>
    <w:link w:val="4"/>
    <w:qFormat/>
    <w:uiPriority w:val="0"/>
    <w:rPr>
      <w:rFonts w:ascii="Calibri" w:hAnsi="Calibri" w:eastAsia="宋体" w:cs="Times New Roman"/>
      <w:b/>
      <w:bCs/>
      <w:sz w:val="32"/>
      <w:szCs w:val="32"/>
    </w:rPr>
  </w:style>
  <w:style w:type="character" w:customStyle="1" w:styleId="90">
    <w:name w:val="标题 4 字符"/>
    <w:basedOn w:val="29"/>
    <w:link w:val="5"/>
    <w:qFormat/>
    <w:uiPriority w:val="0"/>
    <w:rPr>
      <w:rFonts w:ascii="Cambria" w:hAnsi="Cambria" w:eastAsia="宋体" w:cs="Times New Roman"/>
      <w:b/>
      <w:bCs/>
      <w:sz w:val="28"/>
      <w:szCs w:val="28"/>
    </w:rPr>
  </w:style>
  <w:style w:type="character" w:customStyle="1" w:styleId="91">
    <w:name w:val="标题 5 字符"/>
    <w:basedOn w:val="29"/>
    <w:link w:val="6"/>
    <w:qFormat/>
    <w:uiPriority w:val="0"/>
    <w:rPr>
      <w:rFonts w:ascii="Times New Roman" w:hAnsi="Times New Roman" w:eastAsia="宋体" w:cs="Times New Roman"/>
      <w:b/>
      <w:bCs/>
      <w:kern w:val="0"/>
      <w:sz w:val="28"/>
      <w:szCs w:val="28"/>
    </w:rPr>
  </w:style>
  <w:style w:type="character" w:customStyle="1" w:styleId="92">
    <w:name w:val="标题 6 字符"/>
    <w:basedOn w:val="29"/>
    <w:link w:val="7"/>
    <w:qFormat/>
    <w:uiPriority w:val="0"/>
    <w:rPr>
      <w:rFonts w:ascii="Arial" w:hAnsi="Arial" w:eastAsia="黑体" w:cs="Times New Roman"/>
      <w:b/>
      <w:bCs/>
      <w:kern w:val="0"/>
      <w:sz w:val="24"/>
      <w:szCs w:val="24"/>
    </w:rPr>
  </w:style>
  <w:style w:type="character" w:customStyle="1" w:styleId="93">
    <w:name w:val="标题 7 字符"/>
    <w:basedOn w:val="29"/>
    <w:link w:val="8"/>
    <w:qFormat/>
    <w:uiPriority w:val="0"/>
    <w:rPr>
      <w:rFonts w:ascii="Times New Roman" w:hAnsi="Times New Roman" w:eastAsia="宋体" w:cs="Times New Roman"/>
      <w:b/>
      <w:bCs/>
      <w:kern w:val="0"/>
      <w:sz w:val="24"/>
      <w:szCs w:val="24"/>
    </w:rPr>
  </w:style>
  <w:style w:type="character" w:customStyle="1" w:styleId="94">
    <w:name w:val="标题 8 字符"/>
    <w:basedOn w:val="29"/>
    <w:link w:val="9"/>
    <w:qFormat/>
    <w:uiPriority w:val="0"/>
    <w:rPr>
      <w:rFonts w:ascii="Arial" w:hAnsi="Arial" w:eastAsia="黑体" w:cs="Times New Roman"/>
      <w:kern w:val="0"/>
      <w:sz w:val="24"/>
      <w:szCs w:val="24"/>
    </w:rPr>
  </w:style>
  <w:style w:type="character" w:customStyle="1" w:styleId="95">
    <w:name w:val="标题 9 字符"/>
    <w:basedOn w:val="29"/>
    <w:link w:val="10"/>
    <w:qFormat/>
    <w:uiPriority w:val="0"/>
    <w:rPr>
      <w:rFonts w:ascii="Arial" w:hAnsi="Arial" w:eastAsia="黑体" w:cs="Times New Roman"/>
      <w:kern w:val="0"/>
      <w:szCs w:val="21"/>
    </w:rPr>
  </w:style>
  <w:style w:type="character" w:customStyle="1" w:styleId="96">
    <w:name w:val="文档结构图 字符"/>
    <w:basedOn w:val="29"/>
    <w:link w:val="13"/>
    <w:semiHidden/>
    <w:qFormat/>
    <w:uiPriority w:val="0"/>
    <w:rPr>
      <w:rFonts w:ascii="Heiti SC Light" w:hAnsi="Calibri" w:eastAsia="Times New Roman" w:cs="Times New Roman"/>
      <w:sz w:val="24"/>
      <w:szCs w:val="24"/>
    </w:rPr>
  </w:style>
  <w:style w:type="character" w:customStyle="1" w:styleId="97">
    <w:name w:val="批注文字 字符"/>
    <w:link w:val="14"/>
    <w:qFormat/>
    <w:uiPriority w:val="0"/>
    <w:rPr>
      <w:sz w:val="28"/>
    </w:rPr>
  </w:style>
  <w:style w:type="character" w:customStyle="1" w:styleId="98">
    <w:name w:val="正文缩进 字符"/>
    <w:link w:val="11"/>
    <w:qFormat/>
    <w:uiPriority w:val="0"/>
  </w:style>
  <w:style w:type="character" w:customStyle="1" w:styleId="99">
    <w:name w:val="纯文本 Char1"/>
    <w:qFormat/>
    <w:uiPriority w:val="0"/>
    <w:rPr>
      <w:rFonts w:ascii="宋体" w:hAnsi="Courier New" w:cs="Courier New"/>
      <w:kern w:val="2"/>
      <w:sz w:val="21"/>
      <w:szCs w:val="21"/>
    </w:rPr>
  </w:style>
  <w:style w:type="character" w:customStyle="1" w:styleId="100">
    <w:name w:val="批注文字 Char1"/>
    <w:basedOn w:val="29"/>
    <w:qFormat/>
    <w:uiPriority w:val="0"/>
    <w:rPr>
      <w:rFonts w:ascii="Times New Roman" w:hAnsi="Times New Roman" w:eastAsia="宋体" w:cs="Times New Roman"/>
      <w:sz w:val="28"/>
      <w:szCs w:val="24"/>
    </w:rPr>
  </w:style>
  <w:style w:type="character" w:customStyle="1" w:styleId="101">
    <w:name w:val="正文文本 字符"/>
    <w:basedOn w:val="29"/>
    <w:link w:val="15"/>
    <w:qFormat/>
    <w:uiPriority w:val="0"/>
    <w:rPr>
      <w:rFonts w:ascii="Times New Roman" w:hAnsi="Times New Roman" w:eastAsia="宋体" w:cs="Times New Roman"/>
      <w:sz w:val="24"/>
      <w:szCs w:val="24"/>
    </w:rPr>
  </w:style>
  <w:style w:type="character" w:customStyle="1" w:styleId="102">
    <w:name w:val="apple-converted-space"/>
    <w:qFormat/>
    <w:uiPriority w:val="0"/>
  </w:style>
  <w:style w:type="character" w:customStyle="1" w:styleId="103">
    <w:name w:val="正文文本缩进 3 字符"/>
    <w:basedOn w:val="29"/>
    <w:link w:val="23"/>
    <w:qFormat/>
    <w:uiPriority w:val="0"/>
    <w:rPr>
      <w:rFonts w:ascii="Times New Roman" w:hAnsi="Times New Roman" w:eastAsia="宋体" w:cs="Times New Roman"/>
      <w:sz w:val="16"/>
      <w:szCs w:val="16"/>
    </w:rPr>
  </w:style>
  <w:style w:type="character" w:customStyle="1" w:styleId="104">
    <w:name w:val="标题 字符"/>
    <w:basedOn w:val="29"/>
    <w:link w:val="25"/>
    <w:qFormat/>
    <w:uiPriority w:val="0"/>
    <w:rPr>
      <w:rFonts w:ascii="Cambria" w:hAnsi="Cambria" w:eastAsia="宋体" w:cs="Times New Roman"/>
      <w:b/>
      <w:bCs/>
      <w:sz w:val="32"/>
      <w:szCs w:val="32"/>
    </w:rPr>
  </w:style>
  <w:style w:type="character" w:customStyle="1" w:styleId="105">
    <w:name w:val="标题 3 Char1"/>
    <w:qFormat/>
    <w:uiPriority w:val="0"/>
    <w:rPr>
      <w:rFonts w:ascii="Times New Roman" w:hAnsi="Times New Roman" w:eastAsia="宋体" w:cs="Times New Roman"/>
      <w:sz w:val="24"/>
      <w:szCs w:val="20"/>
    </w:rPr>
  </w:style>
  <w:style w:type="character" w:customStyle="1" w:styleId="106">
    <w:name w:val="页眉 字符"/>
    <w:basedOn w:val="29"/>
    <w:link w:val="21"/>
    <w:qFormat/>
    <w:uiPriority w:val="0"/>
    <w:rPr>
      <w:rFonts w:ascii="Times New Roman" w:hAnsi="Times New Roman" w:eastAsia="宋体" w:cs="Times New Roman"/>
      <w:sz w:val="18"/>
      <w:szCs w:val="18"/>
    </w:rPr>
  </w:style>
  <w:style w:type="character" w:customStyle="1" w:styleId="107">
    <w:name w:val="批注主题 字符"/>
    <w:basedOn w:val="97"/>
    <w:link w:val="26"/>
    <w:semiHidden/>
    <w:qFormat/>
    <w:uiPriority w:val="99"/>
    <w:rPr>
      <w:rFonts w:ascii="Times New Roman" w:hAnsi="Times New Roman" w:eastAsia="宋体" w:cs="Times New Roman"/>
      <w:b/>
      <w:bCs/>
      <w:sz w:val="28"/>
      <w:szCs w:val="24"/>
    </w:rPr>
  </w:style>
  <w:style w:type="table" w:customStyle="1" w:styleId="108">
    <w:name w:val="网格型1"/>
    <w:basedOn w:val="27"/>
    <w:qFormat/>
    <w:locked/>
    <w:uiPriority w:val="5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28</Pages>
  <Words>5835</Words>
  <Characters>6153</Characters>
  <Lines>539</Lines>
  <Paragraphs>503</Paragraphs>
  <TotalTime>79</TotalTime>
  <ScaleCrop>false</ScaleCrop>
  <LinksUpToDate>false</LinksUpToDate>
  <CharactersWithSpaces>6292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2019-04-26T02:56:00Z</dcterms:created>
  <dc:creator>wzg</dc:creator>
  <cp:lastModifiedBy>Original Intention</cp:lastModifiedBy>
  <cp:lastPrinted>2017-03-22T07:05:00Z</cp:lastPrinted>
  <dcterms:modified xsi:type="dcterms:W3CDTF">2026-10-19T01:32:47Z</dcterms:modified>
  <dc:title>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F475F486BF7F4FED82D93AC3802D484E_12</vt:lpwstr>
  </property>
  <property fmtid="{D5CDD505-2E9C-101B-9397-08002B2CF9AE}" pid="4" name="KSOTemplateDocerSaveRecord">
    <vt:lpwstr>eyJoZGlkIjoiYzhhOGNlYjBhZWM1YzlkNzAwODI0ZTY2YTM3MGM4ODQiLCJ1c2VySWQiOiIzOTQ3NTYzMDgifQ==</vt:lpwstr>
  </property>
</Properties>
</file>