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8CD2">
      <w:pPr>
        <w:rPr>
          <w:rFonts w:ascii="仿宋_GB2312" w:hAnsi="仿宋_GB2312" w:eastAsia="仿宋_GB2312"/>
          <w:sz w:val="32"/>
        </w:rPr>
      </w:pPr>
      <w:r>
        <w:rPr>
          <w:rFonts w:hint="eastAsia" w:ascii="仿宋_GB2312" w:hAnsi="仿宋_GB2312" w:eastAsia="仿宋_GB2312"/>
          <w:sz w:val="32"/>
        </w:rPr>
        <w:t>附件1</w:t>
      </w:r>
    </w:p>
    <w:p w14:paraId="0425870D">
      <w:pPr>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湖北省博物馆、纪念馆六大陈列展览精品</w:t>
      </w:r>
    </w:p>
    <w:p w14:paraId="53191C05">
      <w:pPr>
        <w:jc w:val="center"/>
        <w:rPr>
          <w:rFonts w:ascii="方正大标宋简体" w:hAnsi="方正大标宋简体" w:eastAsia="方正大标宋简体"/>
          <w:sz w:val="44"/>
          <w:szCs w:val="44"/>
        </w:rPr>
      </w:pPr>
      <w:r>
        <w:rPr>
          <w:rFonts w:hint="eastAsia" w:ascii="方正大标宋简体" w:hAnsi="方正大标宋简体" w:eastAsia="方正大标宋简体"/>
          <w:sz w:val="44"/>
          <w:szCs w:val="44"/>
        </w:rPr>
        <w:t>推介办法</w:t>
      </w:r>
    </w:p>
    <w:p w14:paraId="3349428C">
      <w:pPr>
        <w:ind w:firstLine="640" w:firstLineChars="200"/>
        <w:rPr>
          <w:rFonts w:ascii="仿宋_GB2312" w:hAnsi="仿宋_GB2312" w:eastAsia="仿宋_GB2312"/>
          <w:sz w:val="32"/>
        </w:rPr>
      </w:pPr>
    </w:p>
    <w:p w14:paraId="53B96B4E">
      <w:pPr>
        <w:ind w:firstLine="640" w:firstLineChars="200"/>
        <w:rPr>
          <w:rFonts w:ascii="仿宋_GB2312" w:hAnsi="仿宋_GB2312" w:eastAsia="仿宋_GB2312"/>
          <w:sz w:val="32"/>
        </w:rPr>
      </w:pPr>
      <w:r>
        <w:rPr>
          <w:rFonts w:hint="eastAsia" w:ascii="仿宋_GB2312" w:hAnsi="仿宋_GB2312" w:eastAsia="仿宋_GB2312"/>
          <w:sz w:val="32"/>
        </w:rPr>
        <w:t>第一条  为提高博物馆、纪念馆陈列展览和社会服务水平，规范全省博物馆、纪念馆六大陈列展览精品（以下简称“六大精品”）推介活动，特制定本办法。</w:t>
      </w:r>
    </w:p>
    <w:p w14:paraId="3B5F31A1">
      <w:pPr>
        <w:ind w:firstLine="640" w:firstLineChars="200"/>
        <w:rPr>
          <w:rFonts w:ascii="仿宋_GB2312" w:hAnsi="仿宋_GB2312" w:eastAsia="仿宋_GB2312"/>
          <w:sz w:val="32"/>
        </w:rPr>
      </w:pPr>
      <w:r>
        <w:rPr>
          <w:rFonts w:hint="eastAsia" w:ascii="仿宋_GB2312" w:hAnsi="仿宋_GB2312" w:eastAsia="仿宋_GB2312"/>
          <w:sz w:val="32"/>
        </w:rPr>
        <w:t>第二条  “六大精品”推介活动由湖北博物馆协会主办，主办单位负责组建推介活动办公室。</w:t>
      </w:r>
    </w:p>
    <w:p w14:paraId="24D19913">
      <w:pPr>
        <w:ind w:firstLine="640" w:firstLineChars="200"/>
        <w:rPr>
          <w:rFonts w:ascii="仿宋_GB2312" w:hAnsi="仿宋_GB2312" w:eastAsia="仿宋_GB2312"/>
          <w:sz w:val="32"/>
        </w:rPr>
      </w:pPr>
      <w:r>
        <w:rPr>
          <w:rFonts w:hint="eastAsia" w:ascii="仿宋_GB2312" w:hAnsi="仿宋_GB2312" w:eastAsia="仿宋_GB2312"/>
          <w:sz w:val="32"/>
        </w:rPr>
        <w:t>第三条  “六大精品”推介活动的指导思想是遵循博物馆相关法律法规和政策，体现党和政府对博物馆事业的导向，坚持服务社会、服务公众，鼓励博物馆、纪念馆陈列展览在内容、形式、技术等方面的创新，促进博物馆、纪念馆公共教育、公共文化服务职能的发挥。</w:t>
      </w:r>
    </w:p>
    <w:p w14:paraId="2BEA7F2C">
      <w:pPr>
        <w:ind w:firstLine="640" w:firstLineChars="200"/>
        <w:rPr>
          <w:rFonts w:ascii="仿宋_GB2312" w:hAnsi="仿宋_GB2312" w:eastAsia="仿宋_GB2312"/>
          <w:sz w:val="32"/>
        </w:rPr>
      </w:pPr>
      <w:r>
        <w:rPr>
          <w:rFonts w:hint="eastAsia" w:ascii="仿宋_GB2312" w:hAnsi="仿宋_GB2312" w:eastAsia="仿宋_GB2312"/>
          <w:sz w:val="32"/>
        </w:rPr>
        <w:t>第四条  “六大精品”推介原则是“公正、公平、公开”。</w:t>
      </w:r>
    </w:p>
    <w:p w14:paraId="048317CD">
      <w:pPr>
        <w:ind w:firstLine="640" w:firstLineChars="200"/>
        <w:rPr>
          <w:rFonts w:ascii="仿宋_GB2312" w:hAnsi="仿宋_GB2312" w:eastAsia="仿宋_GB2312"/>
          <w:sz w:val="32"/>
        </w:rPr>
      </w:pPr>
      <w:r>
        <w:rPr>
          <w:rFonts w:hint="eastAsia" w:ascii="仿宋_GB2312" w:hAnsi="仿宋_GB2312" w:eastAsia="仿宋_GB2312"/>
          <w:sz w:val="32"/>
        </w:rPr>
        <w:t>第五条  “六大精品”推介活动设精品奖6个，优胜奖6个，国际及港澳台合作奖1-2个</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并设特别奖</w:t>
      </w:r>
      <w:r>
        <w:rPr>
          <w:rFonts w:hint="eastAsia" w:ascii="仿宋_GB2312" w:hAnsi="仿宋_GB2312" w:eastAsia="仿宋_GB2312"/>
          <w:sz w:val="32"/>
        </w:rPr>
        <w:t>。</w:t>
      </w:r>
    </w:p>
    <w:p w14:paraId="2D4C28E0">
      <w:pPr>
        <w:ind w:firstLine="640" w:firstLineChars="200"/>
        <w:rPr>
          <w:rFonts w:ascii="仿宋_GB2312" w:hAnsi="仿宋_GB2312" w:eastAsia="仿宋_GB2312"/>
          <w:sz w:val="32"/>
        </w:rPr>
      </w:pPr>
      <w:r>
        <w:rPr>
          <w:rFonts w:hint="eastAsia" w:ascii="仿宋_GB2312" w:hAnsi="仿宋_GB2312" w:eastAsia="仿宋_GB2312"/>
          <w:sz w:val="32"/>
        </w:rPr>
        <w:t>第六条  参加“六大精品”推介活动的陈列展览必须是在省级文物主管部门登记备案的博物馆、纪念馆或相关文博机构自主策划、举办的原创性展览。</w:t>
      </w:r>
    </w:p>
    <w:p w14:paraId="6102EABD">
      <w:pPr>
        <w:ind w:firstLine="640" w:firstLineChars="200"/>
        <w:rPr>
          <w:rFonts w:ascii="仿宋_GB2312" w:hAnsi="仿宋_GB2312" w:eastAsia="仿宋_GB2312"/>
          <w:sz w:val="32"/>
        </w:rPr>
      </w:pPr>
      <w:r>
        <w:rPr>
          <w:rFonts w:hint="eastAsia" w:ascii="仿宋_GB2312" w:hAnsi="仿宋_GB2312" w:eastAsia="仿宋_GB2312"/>
          <w:sz w:val="32"/>
        </w:rPr>
        <w:t>申报展览应符合下列条件：</w:t>
      </w:r>
    </w:p>
    <w:p w14:paraId="413E88A5">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rPr>
        <w:t>推介年份对社会正式开放的常设展览；</w:t>
      </w:r>
    </w:p>
    <w:p w14:paraId="01E8C5ED">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展览延续开放至推介年份12月31日且未参加过往届“十大精品”推介活动的常设展览；</w:t>
      </w:r>
    </w:p>
    <w:p w14:paraId="1648BE9C">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作出重大调整的常设展览可在改陈后申报，申报时应对改陈情况作出说明，并报送改陈前后的展览大纲；</w:t>
      </w:r>
    </w:p>
    <w:p w14:paraId="025A8891">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4、</w:t>
      </w:r>
      <w:r>
        <w:rPr>
          <w:rFonts w:hint="eastAsia" w:ascii="仿宋_GB2312" w:hAnsi="仿宋_GB2312" w:eastAsia="仿宋_GB2312"/>
          <w:sz w:val="32"/>
        </w:rPr>
        <w:t>推介年份开展且连续展期不少于</w:t>
      </w:r>
      <w:r>
        <w:rPr>
          <w:rFonts w:hint="eastAsia" w:ascii="仿宋_GB2312" w:hAnsi="仿宋_GB2312" w:eastAsia="仿宋_GB2312"/>
          <w:sz w:val="32"/>
          <w:lang w:val="en-US" w:eastAsia="zh-CN"/>
        </w:rPr>
        <w:t>2</w:t>
      </w:r>
      <w:r>
        <w:rPr>
          <w:rFonts w:hint="eastAsia" w:ascii="仿宋_GB2312" w:hAnsi="仿宋_GB2312" w:eastAsia="仿宋_GB2312"/>
          <w:sz w:val="32"/>
        </w:rPr>
        <w:t>个月（</w:t>
      </w:r>
      <w:r>
        <w:rPr>
          <w:rFonts w:hint="eastAsia" w:ascii="仿宋_GB2312" w:hAnsi="仿宋_GB2312" w:eastAsia="仿宋_GB2312"/>
          <w:sz w:val="32"/>
          <w:lang w:val="en-US" w:eastAsia="zh-CN"/>
        </w:rPr>
        <w:t>6</w:t>
      </w:r>
      <w:bookmarkStart w:id="0" w:name="_GoBack"/>
      <w:bookmarkEnd w:id="0"/>
      <w:r>
        <w:rPr>
          <w:rFonts w:hint="eastAsia" w:ascii="仿宋_GB2312" w:hAnsi="仿宋_GB2312" w:eastAsia="仿宋_GB2312"/>
          <w:sz w:val="32"/>
        </w:rPr>
        <w:t>0天）的临时展览。配合国家重大活动或出于对脆弱易损文物展品的保护需要而控制展期的临时展览，连续展期不少于一个月（30天）；</w:t>
      </w:r>
    </w:p>
    <w:p w14:paraId="70C51D26">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5、</w:t>
      </w:r>
      <w:r>
        <w:rPr>
          <w:rFonts w:hint="eastAsia" w:ascii="仿宋_GB2312" w:hAnsi="仿宋_GB2312" w:eastAsia="仿宋_GB2312"/>
          <w:sz w:val="32"/>
        </w:rPr>
        <w:t>在国际及港澳台文化交流中产生良好影响，符合上述相关条件的出入境展览（连续展期不少于30天），可参与国际及港澳项目推介；</w:t>
      </w:r>
    </w:p>
    <w:p w14:paraId="7009F04D">
      <w:pPr>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6、</w:t>
      </w:r>
      <w:r>
        <w:rPr>
          <w:rFonts w:hint="eastAsia" w:ascii="仿宋_GB2312" w:hAnsi="仿宋_GB2312" w:eastAsia="仿宋_GB2312"/>
          <w:sz w:val="32"/>
        </w:rPr>
        <w:t>在推介年度内发生过藏品被盗、损毁等重大安全事故及重大舆情事件的博物馆和相关文博机构，不得参与推介活动。</w:t>
      </w:r>
    </w:p>
    <w:p w14:paraId="5E05275E">
      <w:pPr>
        <w:ind w:firstLine="320" w:firstLineChars="100"/>
        <w:rPr>
          <w:rFonts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第八条  “六大精品”推介活动包括项目遴选、宣传推介、经验交流等内容。其中，项目遴选工作分为初评、终评两个阶段。</w:t>
      </w:r>
    </w:p>
    <w:p w14:paraId="6C7D225D">
      <w:pPr>
        <w:ind w:firstLine="640" w:firstLineChars="200"/>
        <w:rPr>
          <w:rFonts w:ascii="仿宋_GB2312" w:hAnsi="仿宋_GB2312" w:eastAsia="仿宋_GB2312"/>
          <w:sz w:val="32"/>
        </w:rPr>
      </w:pPr>
      <w:r>
        <w:rPr>
          <w:rFonts w:hint="eastAsia" w:ascii="仿宋_GB2312" w:hAnsi="仿宋_GB2312" w:eastAsia="仿宋_GB2312"/>
          <w:sz w:val="32"/>
        </w:rPr>
        <w:t>第九条  参与推介活动的博物馆、纪念馆及相关文博机构按本办法及有关要求，限报一个境内陈列展览和一个出入境展览，申报书须经所在地市、州文物主管部门签署推荐意见。</w:t>
      </w:r>
    </w:p>
    <w:p w14:paraId="7C239121">
      <w:pPr>
        <w:ind w:firstLine="640" w:firstLineChars="200"/>
        <w:rPr>
          <w:rFonts w:ascii="仿宋_GB2312" w:hAnsi="仿宋_GB2312" w:eastAsia="仿宋_GB2312"/>
          <w:sz w:val="32"/>
        </w:rPr>
      </w:pPr>
      <w:r>
        <w:rPr>
          <w:rFonts w:hint="eastAsia" w:ascii="仿宋_GB2312" w:hAnsi="仿宋_GB2312" w:eastAsia="仿宋_GB2312"/>
          <w:sz w:val="32"/>
        </w:rPr>
        <w:t>第十条  市、州级文物主管部门择优向推介活动办公室推荐本市、州陈列展览项目及相关材料。</w:t>
      </w:r>
    </w:p>
    <w:p w14:paraId="74D4EA79">
      <w:pPr>
        <w:ind w:firstLine="640" w:firstLineChars="200"/>
        <w:rPr>
          <w:rFonts w:ascii="仿宋_GB2312" w:hAnsi="仿宋_GB2312" w:eastAsia="仿宋_GB2312"/>
          <w:sz w:val="32"/>
        </w:rPr>
      </w:pPr>
      <w:r>
        <w:rPr>
          <w:rFonts w:hint="eastAsia" w:ascii="仿宋_GB2312" w:hAnsi="仿宋_GB2312" w:eastAsia="仿宋_GB2312"/>
          <w:sz w:val="32"/>
        </w:rPr>
        <w:t>第十一条  推介活动办公室在主办单位的指导协调下组建“六大精品”推介活动评委会。评委会成员除主办单位选派一名代表担任评委外，其他评委从专家库中按类别随机抽选产生。</w:t>
      </w:r>
    </w:p>
    <w:p w14:paraId="2775D153">
      <w:pPr>
        <w:ind w:firstLine="640" w:firstLineChars="200"/>
        <w:rPr>
          <w:rFonts w:ascii="仿宋_GB2312" w:hAnsi="仿宋_GB2312" w:eastAsia="仿宋_GB2312"/>
          <w:sz w:val="32"/>
        </w:rPr>
      </w:pPr>
      <w:r>
        <w:rPr>
          <w:rFonts w:hint="eastAsia" w:ascii="仿宋_GB2312" w:hAnsi="仿宋_GB2312" w:eastAsia="仿宋_GB2312"/>
          <w:sz w:val="32"/>
        </w:rPr>
        <w:t>第十二条  评委会实行回避制度，凡与推介陈列展览有利益关联者，不得受聘为评委会成员。评委会成员应严格遵守相关纪律。</w:t>
      </w:r>
    </w:p>
    <w:p w14:paraId="138DBA62">
      <w:pPr>
        <w:ind w:firstLine="640" w:firstLineChars="200"/>
        <w:rPr>
          <w:rFonts w:ascii="仿宋_GB2312" w:hAnsi="仿宋_GB2312" w:eastAsia="仿宋_GB2312"/>
          <w:sz w:val="32"/>
        </w:rPr>
      </w:pPr>
      <w:r>
        <w:rPr>
          <w:rFonts w:hint="eastAsia" w:ascii="仿宋_GB2312" w:hAnsi="仿宋_GB2312" w:eastAsia="仿宋_GB2312"/>
          <w:sz w:val="32"/>
        </w:rPr>
        <w:t>第十三条  评委会通过综合评议，以实名打分方式产生精品奖、优胜奖和国际及港澳台合作奖，并向社会公示。</w:t>
      </w:r>
    </w:p>
    <w:p w14:paraId="7323A9EE">
      <w:pPr>
        <w:ind w:firstLine="640" w:firstLineChars="200"/>
        <w:rPr>
          <w:rFonts w:ascii="仿宋_GB2312" w:hAnsi="仿宋_GB2312" w:eastAsia="仿宋_GB2312"/>
          <w:sz w:val="32"/>
        </w:rPr>
      </w:pPr>
      <w:r>
        <w:rPr>
          <w:rFonts w:hint="eastAsia" w:ascii="仿宋_GB2312" w:hAnsi="仿宋_GB2312" w:eastAsia="仿宋_GB2312"/>
          <w:sz w:val="32"/>
        </w:rPr>
        <w:t>第十四条  “六大精品”推介活动的终评由湖北省博物馆协会监事予以现场监督、确认。</w:t>
      </w:r>
    </w:p>
    <w:p w14:paraId="31B6D9EA">
      <w:pPr>
        <w:ind w:firstLine="640" w:firstLineChars="200"/>
        <w:rPr>
          <w:rFonts w:ascii="仿宋_GB2312" w:hAnsi="仿宋_GB2312" w:eastAsia="仿宋_GB2312"/>
          <w:sz w:val="32"/>
        </w:rPr>
      </w:pPr>
      <w:r>
        <w:rPr>
          <w:rFonts w:hint="eastAsia" w:ascii="仿宋_GB2312" w:hAnsi="仿宋_GB2312" w:eastAsia="仿宋_GB2312"/>
          <w:sz w:val="32"/>
        </w:rPr>
        <w:t>第十五条  推介活动办公室按本办法规定，制定“六大精品”推介活动实施细则。</w:t>
      </w:r>
    </w:p>
    <w:p w14:paraId="0F9D5C4B">
      <w:pPr>
        <w:ind w:firstLine="640" w:firstLineChars="200"/>
        <w:rPr>
          <w:rFonts w:ascii="仿宋_GB2312" w:hAnsi="仿宋_GB2312" w:eastAsia="仿宋_GB2312"/>
          <w:sz w:val="32"/>
        </w:rPr>
      </w:pPr>
      <w:r>
        <w:rPr>
          <w:rFonts w:hint="eastAsia" w:ascii="仿宋_GB2312" w:hAnsi="仿宋_GB2312" w:eastAsia="仿宋_GB2312"/>
          <w:sz w:val="32"/>
        </w:rPr>
        <w:t>第十六条  本办法由推介活动办公室负责解释。</w:t>
      </w:r>
    </w:p>
    <w:p w14:paraId="650BED7A"/>
    <w:sectPr>
      <w:pgSz w:w="11906" w:h="16838"/>
      <w:pgMar w:top="1701" w:right="1587" w:bottom="1474" w:left="158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D8"/>
    <w:rsid w:val="000868D8"/>
    <w:rsid w:val="00247BD7"/>
    <w:rsid w:val="0030313D"/>
    <w:rsid w:val="00A61EDC"/>
    <w:rsid w:val="00D25D5F"/>
    <w:rsid w:val="00E52C2E"/>
    <w:rsid w:val="00EC10F1"/>
    <w:rsid w:val="00FD7465"/>
    <w:rsid w:val="0B5D4925"/>
    <w:rsid w:val="46E81BE2"/>
    <w:rsid w:val="4B33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1047</Words>
  <Characters>1051</Characters>
  <Lines>7</Lines>
  <Paragraphs>2</Paragraphs>
  <TotalTime>15</TotalTime>
  <ScaleCrop>false</ScaleCrop>
  <LinksUpToDate>false</LinksUpToDate>
  <CharactersWithSpaces>1082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2018-02-12T01:03:00Z</dcterms:created>
  <dc:creator>lenovo</dc:creator>
  <cp:lastModifiedBy>敏敏</cp:lastModifiedBy>
  <cp:lastPrinted>2024-01-04T09:04:00Z</cp:lastPrinted>
  <dcterms:modified xsi:type="dcterms:W3CDTF">2026-03-09T03:21:54Z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eyJoZGlkIjoiOTU1YTM2ODIzMTc4Y2UyNzliM2U4ZTBlN2VjOWE0NmYiLCJ1c2VySWQiOiI2NzQ0MjM3MjMifQ==</vt:lpwstr>
  </property>
  <property fmtid="{D5CDD505-2E9C-101B-9397-08002B2CF9AE}" pid="4" name="ICV">
    <vt:lpwstr>51F795A5E48A40F5A2AEA25CC48F998A_13</vt:lpwstr>
  </property>
</Properties>
</file>