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2F7FE1">
      <w:pPr>
        <w:jc w:val="center"/>
        <w:rPr>
          <w:color w:val="auto"/>
          <w:sz w:val="36"/>
          <w:szCs w:val="36"/>
        </w:rPr>
      </w:pPr>
      <w:r>
        <w:rPr>
          <w:rFonts w:hint="eastAsia"/>
          <w:color w:val="auto"/>
          <w:sz w:val="36"/>
          <w:szCs w:val="36"/>
        </w:rPr>
        <w:t>湖北省博物馆南馆编钟演奏厅后通道门门禁改造项目采购谈判公告</w:t>
      </w:r>
    </w:p>
    <w:p w14:paraId="33214E83">
      <w:pPr>
        <w:spacing w:line="0" w:lineRule="atLeast"/>
        <w:ind w:firstLine="480" w:firstLineChars="200"/>
        <w:rPr>
          <w:color w:val="auto"/>
          <w:sz w:val="24"/>
          <w:szCs w:val="24"/>
        </w:rPr>
      </w:pPr>
      <w:r>
        <w:rPr>
          <w:rFonts w:hint="eastAsia"/>
          <w:color w:val="auto"/>
          <w:sz w:val="24"/>
          <w:szCs w:val="24"/>
        </w:rPr>
        <w:t>依据《省财政厅关于印发湖北省政府集中采购目录及标准（2026年版）的通知》（</w:t>
      </w:r>
      <w:bookmarkStart w:id="0" w:name="zihao"/>
      <w:r>
        <w:rPr>
          <w:color w:val="auto"/>
          <w:sz w:val="24"/>
          <w:szCs w:val="24"/>
        </w:rPr>
        <w:t>鄂</w:t>
      </w:r>
      <w:r>
        <w:rPr>
          <w:rFonts w:hint="eastAsia"/>
          <w:color w:val="auto"/>
          <w:sz w:val="24"/>
          <w:szCs w:val="24"/>
        </w:rPr>
        <w:t>财采</w:t>
      </w:r>
      <w:r>
        <w:rPr>
          <w:color w:val="auto"/>
          <w:sz w:val="24"/>
          <w:szCs w:val="24"/>
        </w:rPr>
        <w:t>发</w:t>
      </w:r>
      <w:bookmarkEnd w:id="0"/>
      <w:r>
        <w:rPr>
          <w:rFonts w:hint="eastAsia"/>
          <w:color w:val="auto"/>
          <w:sz w:val="24"/>
          <w:szCs w:val="24"/>
        </w:rPr>
        <w:t xml:space="preserve"> ﹝</w:t>
      </w:r>
      <w:bookmarkStart w:id="1" w:name="nianhao"/>
      <w:r>
        <w:rPr>
          <w:rFonts w:hint="eastAsia"/>
          <w:color w:val="auto"/>
          <w:sz w:val="24"/>
          <w:szCs w:val="24"/>
        </w:rPr>
        <w:t>20</w:t>
      </w:r>
      <w:bookmarkEnd w:id="1"/>
      <w:r>
        <w:rPr>
          <w:rFonts w:hint="eastAsia"/>
          <w:color w:val="auto"/>
          <w:sz w:val="24"/>
          <w:szCs w:val="24"/>
        </w:rPr>
        <w:t>25﹞9号），湖北省博物馆拟就南馆编钟演奏厅后通道门门禁改造项目所需服务进行竞争性谈判采购。欢迎供应商前来投标。</w:t>
      </w:r>
      <w:r>
        <w:rPr>
          <w:color w:val="auto"/>
          <w:sz w:val="24"/>
          <w:szCs w:val="24"/>
        </w:rPr>
        <w:br w:type="textWrapping"/>
      </w:r>
      <w:r>
        <w:rPr>
          <w:rFonts w:hint="eastAsia"/>
          <w:color w:val="auto"/>
          <w:sz w:val="24"/>
          <w:szCs w:val="24"/>
        </w:rPr>
        <w:t>一、项目名称及预算：南馆编钟演奏厅后通道门门禁改造项目，预算金额</w:t>
      </w:r>
      <w:r>
        <w:rPr>
          <w:color w:val="auto"/>
          <w:sz w:val="24"/>
          <w:szCs w:val="24"/>
        </w:rPr>
        <w:t>17.4</w:t>
      </w:r>
      <w:r>
        <w:rPr>
          <w:rFonts w:hint="eastAsia"/>
          <w:color w:val="auto"/>
          <w:sz w:val="24"/>
          <w:szCs w:val="24"/>
        </w:rPr>
        <w:t>万元。</w:t>
      </w:r>
    </w:p>
    <w:p w14:paraId="53DBC2EE">
      <w:pPr>
        <w:spacing w:line="0" w:lineRule="atLeast"/>
        <w:rPr>
          <w:color w:val="auto"/>
          <w:sz w:val="24"/>
          <w:szCs w:val="24"/>
        </w:rPr>
      </w:pPr>
      <w:r>
        <w:rPr>
          <w:rFonts w:hint="eastAsia"/>
          <w:color w:val="auto"/>
          <w:sz w:val="24"/>
          <w:szCs w:val="24"/>
        </w:rPr>
        <w:t>二、采购内容及要求：详见谈判文件</w:t>
      </w:r>
      <w:r>
        <w:rPr>
          <w:color w:val="auto"/>
          <w:sz w:val="24"/>
          <w:szCs w:val="24"/>
        </w:rPr>
        <w:br w:type="textWrapping"/>
      </w:r>
      <w:r>
        <w:rPr>
          <w:rFonts w:hint="eastAsia"/>
          <w:color w:val="auto"/>
          <w:sz w:val="24"/>
          <w:szCs w:val="24"/>
        </w:rPr>
        <w:t>三、投标人资格要求：</w:t>
      </w:r>
    </w:p>
    <w:p w14:paraId="05661FB3">
      <w:pPr>
        <w:spacing w:line="0" w:lineRule="atLeast"/>
        <w:rPr>
          <w:rFonts w:hint="eastAsia"/>
          <w:color w:val="auto"/>
          <w:sz w:val="24"/>
          <w:szCs w:val="24"/>
        </w:rPr>
      </w:pPr>
      <w:r>
        <w:rPr>
          <w:color w:val="auto"/>
          <w:sz w:val="24"/>
          <w:szCs w:val="24"/>
        </w:rPr>
        <w:t>1</w:t>
      </w:r>
      <w:r>
        <w:rPr>
          <w:rFonts w:hint="eastAsia"/>
          <w:color w:val="auto"/>
          <w:sz w:val="24"/>
          <w:szCs w:val="24"/>
        </w:rPr>
        <w:t>．投标人应具备《政府采购法》第二十二条规定的条件。</w:t>
      </w:r>
    </w:p>
    <w:p w14:paraId="03C63037">
      <w:pPr>
        <w:spacing w:line="0" w:lineRule="atLeast"/>
        <w:rPr>
          <w:rFonts w:hint="eastAsia"/>
          <w:color w:val="auto"/>
          <w:sz w:val="24"/>
          <w:szCs w:val="24"/>
        </w:rPr>
      </w:pPr>
      <w:r>
        <w:rPr>
          <w:rFonts w:hint="eastAsia"/>
          <w:color w:val="auto"/>
          <w:sz w:val="24"/>
          <w:szCs w:val="24"/>
          <w:lang w:val="en-US" w:eastAsia="zh-CN"/>
        </w:rPr>
        <w:t>2</w:t>
      </w:r>
      <w:r>
        <w:rPr>
          <w:rFonts w:hint="eastAsia"/>
          <w:color w:val="auto"/>
          <w:sz w:val="24"/>
          <w:szCs w:val="24"/>
        </w:rPr>
        <w:t>．供应商需具备住房城乡建设主管部门颁发的有效的电子与智能化工程专业承包二级及以上级资质证书，具备有效的安全生产许可证。</w:t>
      </w:r>
    </w:p>
    <w:p w14:paraId="2E32C967">
      <w:pPr>
        <w:spacing w:line="0" w:lineRule="atLeast"/>
        <w:rPr>
          <w:rFonts w:hint="eastAsia"/>
          <w:color w:val="auto"/>
          <w:sz w:val="24"/>
          <w:szCs w:val="24"/>
        </w:rPr>
      </w:pPr>
      <w:r>
        <w:rPr>
          <w:rFonts w:hint="eastAsia"/>
          <w:color w:val="auto"/>
          <w:sz w:val="24"/>
          <w:szCs w:val="24"/>
          <w:lang w:val="en-US" w:eastAsia="zh-CN"/>
        </w:rPr>
        <w:t>3</w:t>
      </w:r>
      <w:r>
        <w:rPr>
          <w:rFonts w:hint="eastAsia"/>
          <w:color w:val="auto"/>
          <w:sz w:val="24"/>
          <w:szCs w:val="24"/>
        </w:rPr>
        <w:t>．供应商拟派项目经理须具备机电工程专业二级及以上注册建造师证书和有效的安全生产考核合格证书（B证），且未担任其他在施工建设工程项目的项目经理。</w:t>
      </w:r>
      <w:bookmarkStart w:id="2" w:name="_GoBack"/>
      <w:bookmarkEnd w:id="2"/>
    </w:p>
    <w:p w14:paraId="7706A376">
      <w:pPr>
        <w:spacing w:line="0" w:lineRule="atLeast"/>
        <w:rPr>
          <w:color w:val="auto"/>
          <w:sz w:val="24"/>
          <w:szCs w:val="24"/>
        </w:rPr>
      </w:pPr>
      <w:r>
        <w:rPr>
          <w:rFonts w:hint="eastAsia"/>
          <w:color w:val="auto"/>
          <w:sz w:val="24"/>
          <w:szCs w:val="24"/>
        </w:rPr>
        <w:t>四、谈判文件的获取：</w:t>
      </w:r>
      <w:r>
        <w:rPr>
          <w:color w:val="auto"/>
          <w:sz w:val="24"/>
          <w:szCs w:val="24"/>
        </w:rPr>
        <w:br w:type="textWrapping"/>
      </w:r>
      <w:r>
        <w:rPr>
          <w:rFonts w:hint="eastAsia"/>
          <w:color w:val="auto"/>
          <w:sz w:val="24"/>
          <w:szCs w:val="24"/>
        </w:rPr>
        <w:t>登陆湖北省博物馆网站在此公告附件中免费下载。</w:t>
      </w:r>
      <w:r>
        <w:rPr>
          <w:color w:val="auto"/>
          <w:sz w:val="24"/>
          <w:szCs w:val="24"/>
        </w:rPr>
        <w:br w:type="textWrapping"/>
      </w:r>
      <w:r>
        <w:rPr>
          <w:rFonts w:hint="eastAsia"/>
          <w:color w:val="auto"/>
          <w:sz w:val="24"/>
          <w:szCs w:val="24"/>
        </w:rPr>
        <w:t>五、报名方式：</w:t>
      </w:r>
    </w:p>
    <w:p w14:paraId="31A5A367">
      <w:pPr>
        <w:spacing w:line="0" w:lineRule="atLeast"/>
        <w:ind w:firstLine="480" w:firstLineChars="200"/>
        <w:rPr>
          <w:color w:val="auto"/>
          <w:sz w:val="24"/>
          <w:szCs w:val="24"/>
        </w:rPr>
      </w:pPr>
      <w:r>
        <w:rPr>
          <w:rFonts w:hint="eastAsia"/>
          <w:color w:val="auto"/>
          <w:sz w:val="24"/>
          <w:szCs w:val="24"/>
        </w:rPr>
        <w:t>有意参加本项目投标的供应商将报名文件投递到25716150</w:t>
      </w:r>
      <w:r>
        <w:rPr>
          <w:color w:val="auto"/>
          <w:sz w:val="24"/>
          <w:szCs w:val="24"/>
        </w:rPr>
        <w:t>@qq.com</w:t>
      </w:r>
      <w:r>
        <w:rPr>
          <w:rFonts w:hint="eastAsia"/>
          <w:color w:val="auto"/>
          <w:sz w:val="24"/>
          <w:szCs w:val="24"/>
        </w:rPr>
        <w:t>进行报名登记。</w:t>
      </w:r>
    </w:p>
    <w:p w14:paraId="147157EB">
      <w:pPr>
        <w:spacing w:line="0" w:lineRule="atLeast"/>
        <w:rPr>
          <w:color w:val="auto"/>
          <w:sz w:val="24"/>
          <w:szCs w:val="24"/>
        </w:rPr>
      </w:pPr>
      <w:r>
        <w:rPr>
          <w:rFonts w:hint="eastAsia"/>
          <w:color w:val="auto"/>
          <w:sz w:val="24"/>
          <w:szCs w:val="24"/>
        </w:rPr>
        <w:t>邮件主题名称必须写明：参与南馆编钟演奏厅后通道门门禁改造项目报名登记。</w:t>
      </w:r>
    </w:p>
    <w:p w14:paraId="548D2531">
      <w:pPr>
        <w:spacing w:line="0" w:lineRule="atLeast"/>
        <w:rPr>
          <w:color w:val="auto"/>
          <w:sz w:val="24"/>
          <w:szCs w:val="24"/>
        </w:rPr>
      </w:pPr>
      <w:r>
        <w:rPr>
          <w:rFonts w:hint="eastAsia"/>
          <w:color w:val="auto"/>
          <w:sz w:val="24"/>
          <w:szCs w:val="24"/>
        </w:rPr>
        <w:t>邮件正文内容必须写明：参与项目名称、供应商名称、联系人、联系人固定电话、移动电话、营业执照及相关资格文件扫描件。</w:t>
      </w:r>
      <w:r>
        <w:rPr>
          <w:color w:val="auto"/>
          <w:sz w:val="24"/>
          <w:szCs w:val="24"/>
        </w:rPr>
        <w:br w:type="textWrapping"/>
      </w:r>
      <w:r>
        <w:rPr>
          <w:rFonts w:hint="eastAsia"/>
          <w:color w:val="auto"/>
          <w:sz w:val="24"/>
          <w:szCs w:val="24"/>
        </w:rPr>
        <w:t>六、报名截止时间：</w:t>
      </w: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2</w:t>
      </w:r>
      <w:r>
        <w:rPr>
          <w:rFonts w:hint="eastAsia"/>
          <w:color w:val="auto"/>
          <w:sz w:val="24"/>
          <w:szCs w:val="24"/>
        </w:rPr>
        <w:t>月</w:t>
      </w:r>
      <w:r>
        <w:rPr>
          <w:rFonts w:hint="eastAsia"/>
          <w:color w:val="auto"/>
          <w:sz w:val="24"/>
          <w:szCs w:val="24"/>
          <w:lang w:val="en-US" w:eastAsia="zh-CN"/>
        </w:rPr>
        <w:t>27</w:t>
      </w:r>
      <w:r>
        <w:rPr>
          <w:rFonts w:hint="eastAsia"/>
          <w:color w:val="auto"/>
          <w:sz w:val="24"/>
          <w:szCs w:val="24"/>
        </w:rPr>
        <w:t>日</w:t>
      </w:r>
      <w:r>
        <w:rPr>
          <w:rFonts w:hint="eastAsia"/>
          <w:color w:val="auto"/>
          <w:sz w:val="24"/>
          <w:szCs w:val="24"/>
          <w:lang w:val="en-US" w:eastAsia="zh-CN"/>
        </w:rPr>
        <w:t>17</w:t>
      </w:r>
      <w:r>
        <w:rPr>
          <w:rFonts w:hint="eastAsia"/>
          <w:color w:val="auto"/>
          <w:sz w:val="24"/>
          <w:szCs w:val="24"/>
        </w:rPr>
        <w:t>时，逾期将不再接受报名。</w:t>
      </w:r>
    </w:p>
    <w:p w14:paraId="080DBB56">
      <w:pPr>
        <w:numPr>
          <w:ilvl w:val="0"/>
          <w:numId w:val="1"/>
        </w:numPr>
        <w:spacing w:line="0" w:lineRule="atLeast"/>
        <w:rPr>
          <w:color w:val="auto"/>
          <w:sz w:val="24"/>
          <w:szCs w:val="24"/>
        </w:rPr>
      </w:pPr>
      <w:r>
        <w:rPr>
          <w:rFonts w:hint="eastAsia"/>
          <w:color w:val="auto"/>
          <w:sz w:val="24"/>
          <w:szCs w:val="24"/>
        </w:rPr>
        <w:t>投标开标时间：</w:t>
      </w:r>
      <w:r>
        <w:rPr>
          <w:color w:val="auto"/>
          <w:sz w:val="24"/>
          <w:szCs w:val="24"/>
        </w:rPr>
        <w:br w:type="textWrapping"/>
      </w:r>
      <w:r>
        <w:rPr>
          <w:rFonts w:hint="eastAsia"/>
          <w:color w:val="auto"/>
          <w:sz w:val="24"/>
          <w:szCs w:val="24"/>
        </w:rPr>
        <w:t xml:space="preserve">    投标开标截止时间：</w:t>
      </w: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2</w:t>
      </w:r>
      <w:r>
        <w:rPr>
          <w:rFonts w:hint="eastAsia"/>
          <w:color w:val="auto"/>
          <w:sz w:val="24"/>
          <w:szCs w:val="24"/>
        </w:rPr>
        <w:t>月</w:t>
      </w:r>
      <w:r>
        <w:rPr>
          <w:rFonts w:hint="eastAsia"/>
          <w:color w:val="auto"/>
          <w:sz w:val="24"/>
          <w:szCs w:val="24"/>
          <w:lang w:val="en-US" w:eastAsia="zh-CN"/>
        </w:rPr>
        <w:t>28</w:t>
      </w:r>
      <w:r>
        <w:rPr>
          <w:rFonts w:hint="eastAsia"/>
          <w:color w:val="auto"/>
          <w:sz w:val="24"/>
          <w:szCs w:val="24"/>
        </w:rPr>
        <w:t>日</w:t>
      </w:r>
      <w:r>
        <w:rPr>
          <w:rFonts w:hint="eastAsia"/>
          <w:color w:val="auto"/>
          <w:sz w:val="24"/>
          <w:szCs w:val="24"/>
          <w:lang w:val="en-US" w:eastAsia="zh-CN"/>
        </w:rPr>
        <w:t>10</w:t>
      </w:r>
      <w:r>
        <w:rPr>
          <w:rFonts w:hint="eastAsia"/>
          <w:color w:val="auto"/>
          <w:sz w:val="24"/>
          <w:szCs w:val="24"/>
        </w:rPr>
        <w:t>时</w:t>
      </w:r>
      <w:r>
        <w:rPr>
          <w:rFonts w:hint="eastAsia"/>
          <w:color w:val="auto"/>
          <w:sz w:val="24"/>
          <w:szCs w:val="24"/>
          <w:lang w:val="en-US" w:eastAsia="zh-CN"/>
        </w:rPr>
        <w:t>00</w:t>
      </w:r>
      <w:r>
        <w:rPr>
          <w:rFonts w:hint="eastAsia"/>
          <w:color w:val="auto"/>
          <w:sz w:val="24"/>
          <w:szCs w:val="24"/>
        </w:rPr>
        <w:t>分。</w:t>
      </w:r>
      <w:r>
        <w:rPr>
          <w:color w:val="auto"/>
          <w:sz w:val="24"/>
          <w:szCs w:val="24"/>
        </w:rPr>
        <w:br w:type="textWrapping"/>
      </w:r>
      <w:r>
        <w:rPr>
          <w:rFonts w:hint="eastAsia"/>
          <w:color w:val="auto"/>
          <w:sz w:val="24"/>
          <w:szCs w:val="24"/>
        </w:rPr>
        <w:t xml:space="preserve">    投标文件要求及送达地点：投标供应商需将投标文件（含资质证明文件复印件及其他资料）进行密封递交到湖北省博物馆。</w:t>
      </w:r>
    </w:p>
    <w:p w14:paraId="04E8F266">
      <w:pPr>
        <w:spacing w:line="0" w:lineRule="atLeast"/>
        <w:rPr>
          <w:color w:val="auto"/>
          <w:sz w:val="24"/>
          <w:szCs w:val="24"/>
        </w:rPr>
      </w:pPr>
      <w:r>
        <w:rPr>
          <w:rFonts w:hint="eastAsia"/>
          <w:color w:val="auto"/>
          <w:sz w:val="24"/>
          <w:szCs w:val="24"/>
        </w:rPr>
        <w:t>八、成交原则及付款方式</w:t>
      </w:r>
    </w:p>
    <w:p w14:paraId="78362BF7">
      <w:pPr>
        <w:spacing w:line="0" w:lineRule="atLeast"/>
        <w:ind w:firstLine="480" w:firstLineChars="200"/>
        <w:rPr>
          <w:color w:val="auto"/>
          <w:sz w:val="24"/>
          <w:szCs w:val="24"/>
        </w:rPr>
      </w:pPr>
      <w:r>
        <w:rPr>
          <w:rFonts w:hint="eastAsia"/>
          <w:color w:val="auto"/>
          <w:sz w:val="24"/>
          <w:szCs w:val="24"/>
        </w:rPr>
        <w:t>本项目为竞争性谈判采购采用二次报价，以满足条件价格最低原则确认成交供应商。项目验收合格后由采购人办理政府采购付款手续，项目款项由国库支付。</w:t>
      </w:r>
    </w:p>
    <w:p w14:paraId="6730F0A3">
      <w:pPr>
        <w:spacing w:line="0" w:lineRule="atLeast"/>
        <w:rPr>
          <w:color w:val="auto"/>
          <w:sz w:val="24"/>
          <w:szCs w:val="24"/>
        </w:rPr>
      </w:pPr>
      <w:r>
        <w:rPr>
          <w:rFonts w:hint="eastAsia"/>
          <w:color w:val="auto"/>
          <w:sz w:val="24"/>
          <w:szCs w:val="24"/>
        </w:rPr>
        <w:t>九、联系方式</w:t>
      </w:r>
    </w:p>
    <w:p w14:paraId="5F948FF9">
      <w:pPr>
        <w:spacing w:line="0" w:lineRule="atLeast"/>
        <w:rPr>
          <w:color w:val="auto"/>
          <w:sz w:val="24"/>
          <w:szCs w:val="24"/>
        </w:rPr>
      </w:pPr>
      <w:r>
        <w:rPr>
          <w:rFonts w:hint="eastAsia"/>
          <w:color w:val="auto"/>
          <w:sz w:val="24"/>
          <w:szCs w:val="24"/>
        </w:rPr>
        <w:t xml:space="preserve">联系人：张玉婷 </w:t>
      </w:r>
    </w:p>
    <w:p w14:paraId="059F35F5">
      <w:pPr>
        <w:spacing w:line="0" w:lineRule="atLeast"/>
        <w:rPr>
          <w:color w:val="auto"/>
          <w:sz w:val="24"/>
          <w:szCs w:val="24"/>
        </w:rPr>
      </w:pPr>
      <w:r>
        <w:rPr>
          <w:rFonts w:hint="eastAsia"/>
          <w:color w:val="auto"/>
          <w:sz w:val="24"/>
          <w:szCs w:val="24"/>
        </w:rPr>
        <w:t>电话</w:t>
      </w:r>
      <w:r>
        <w:rPr>
          <w:color w:val="auto"/>
          <w:sz w:val="24"/>
          <w:szCs w:val="24"/>
        </w:rPr>
        <w:t>/</w:t>
      </w:r>
      <w:r>
        <w:rPr>
          <w:rFonts w:hint="eastAsia"/>
          <w:color w:val="auto"/>
          <w:sz w:val="24"/>
          <w:szCs w:val="24"/>
        </w:rPr>
        <w:t>传真： 1</w:t>
      </w:r>
      <w:r>
        <w:rPr>
          <w:color w:val="auto"/>
          <w:sz w:val="24"/>
          <w:szCs w:val="24"/>
        </w:rPr>
        <w:t>8672302792</w:t>
      </w:r>
    </w:p>
    <w:p w14:paraId="7C761669">
      <w:pPr>
        <w:spacing w:line="0" w:lineRule="atLeast"/>
        <w:rPr>
          <w:color w:val="auto"/>
          <w:sz w:val="24"/>
          <w:szCs w:val="24"/>
        </w:rPr>
      </w:pPr>
      <w:r>
        <w:rPr>
          <w:rFonts w:hint="eastAsia"/>
          <w:color w:val="auto"/>
          <w:sz w:val="24"/>
          <w:szCs w:val="24"/>
        </w:rPr>
        <w:t>电子邮箱：25716150</w:t>
      </w:r>
      <w:r>
        <w:rPr>
          <w:color w:val="auto"/>
          <w:sz w:val="24"/>
          <w:szCs w:val="24"/>
        </w:rPr>
        <w:t>@qq.com</w:t>
      </w:r>
    </w:p>
    <w:p w14:paraId="3A07B2C7">
      <w:pPr>
        <w:spacing w:line="0" w:lineRule="atLeast"/>
        <w:rPr>
          <w:color w:val="auto"/>
          <w:sz w:val="24"/>
          <w:szCs w:val="24"/>
        </w:rPr>
      </w:pPr>
      <w:r>
        <w:rPr>
          <w:rFonts w:hint="eastAsia"/>
          <w:color w:val="auto"/>
          <w:sz w:val="24"/>
          <w:szCs w:val="24"/>
        </w:rPr>
        <w:t>联系地址：武汉市武昌区东湖路</w:t>
      </w:r>
      <w:r>
        <w:rPr>
          <w:color w:val="auto"/>
          <w:sz w:val="24"/>
          <w:szCs w:val="24"/>
        </w:rPr>
        <w:t>160</w:t>
      </w:r>
      <w:r>
        <w:rPr>
          <w:rFonts w:hint="eastAsia"/>
          <w:color w:val="auto"/>
          <w:sz w:val="24"/>
          <w:szCs w:val="24"/>
        </w:rPr>
        <w:t>号</w:t>
      </w:r>
    </w:p>
    <w:p w14:paraId="263F11C8">
      <w:pPr>
        <w:spacing w:line="0" w:lineRule="atLeast"/>
        <w:rPr>
          <w:color w:val="auto"/>
          <w:sz w:val="24"/>
          <w:szCs w:val="24"/>
        </w:rPr>
      </w:pPr>
    </w:p>
    <w:p w14:paraId="1A65791E">
      <w:pPr>
        <w:spacing w:line="0" w:lineRule="atLeast"/>
        <w:ind w:firstLine="5520" w:firstLineChars="2300"/>
        <w:rPr>
          <w:color w:val="auto"/>
          <w:sz w:val="24"/>
          <w:szCs w:val="24"/>
        </w:rPr>
      </w:pPr>
      <w:r>
        <w:rPr>
          <w:rFonts w:hint="eastAsia"/>
          <w:color w:val="auto"/>
          <w:sz w:val="24"/>
          <w:szCs w:val="24"/>
          <w:lang w:val="en-US" w:eastAsia="zh-CN"/>
        </w:rPr>
        <w:t>2026</w:t>
      </w:r>
      <w:r>
        <w:rPr>
          <w:rFonts w:hint="eastAsia"/>
          <w:color w:val="auto"/>
          <w:sz w:val="24"/>
          <w:szCs w:val="24"/>
        </w:rPr>
        <w:t>年</w:t>
      </w:r>
      <w:r>
        <w:rPr>
          <w:rFonts w:hint="eastAsia"/>
          <w:color w:val="auto"/>
          <w:sz w:val="24"/>
          <w:szCs w:val="24"/>
          <w:lang w:val="en-US" w:eastAsia="zh-CN"/>
        </w:rPr>
        <w:t>2</w:t>
      </w:r>
      <w:r>
        <w:rPr>
          <w:rFonts w:hint="eastAsia"/>
          <w:color w:val="auto"/>
          <w:sz w:val="24"/>
          <w:szCs w:val="24"/>
        </w:rPr>
        <w:t>月</w:t>
      </w:r>
      <w:r>
        <w:rPr>
          <w:rFonts w:hint="eastAsia"/>
          <w:color w:val="auto"/>
          <w:sz w:val="24"/>
          <w:szCs w:val="24"/>
          <w:lang w:val="en-US" w:eastAsia="zh-CN"/>
        </w:rPr>
        <w:t>24</w:t>
      </w:r>
      <w:r>
        <w:rPr>
          <w:rFonts w:hint="eastAsia"/>
          <w:color w:val="auto"/>
          <w:sz w:val="24"/>
          <w:szCs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69547"/>
    <w:multiLevelType w:val="singleLevel"/>
    <w:tmpl w:val="5A169547"/>
    <w:lvl w:ilvl="0" w:tentative="0">
      <w:start w:val="7"/>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75129B"/>
    <w:rsid w:val="000B2F0C"/>
    <w:rsid w:val="000B3C8C"/>
    <w:rsid w:val="00145448"/>
    <w:rsid w:val="001533AC"/>
    <w:rsid w:val="0017703A"/>
    <w:rsid w:val="0019131A"/>
    <w:rsid w:val="001B5DE5"/>
    <w:rsid w:val="001E5853"/>
    <w:rsid w:val="00242CE2"/>
    <w:rsid w:val="00256D61"/>
    <w:rsid w:val="00265D71"/>
    <w:rsid w:val="00266016"/>
    <w:rsid w:val="00287BA2"/>
    <w:rsid w:val="002C22C9"/>
    <w:rsid w:val="002C35C9"/>
    <w:rsid w:val="002C46B4"/>
    <w:rsid w:val="002D1D5C"/>
    <w:rsid w:val="002E01DA"/>
    <w:rsid w:val="002E1790"/>
    <w:rsid w:val="003025BC"/>
    <w:rsid w:val="00331519"/>
    <w:rsid w:val="003329AE"/>
    <w:rsid w:val="0035321B"/>
    <w:rsid w:val="0036624A"/>
    <w:rsid w:val="003858D4"/>
    <w:rsid w:val="003C3E9A"/>
    <w:rsid w:val="003D05C5"/>
    <w:rsid w:val="00407182"/>
    <w:rsid w:val="00425529"/>
    <w:rsid w:val="00430081"/>
    <w:rsid w:val="004647D4"/>
    <w:rsid w:val="004A592C"/>
    <w:rsid w:val="004F3287"/>
    <w:rsid w:val="005207CE"/>
    <w:rsid w:val="00525E95"/>
    <w:rsid w:val="0058235B"/>
    <w:rsid w:val="0059160C"/>
    <w:rsid w:val="005C7E81"/>
    <w:rsid w:val="005D04B7"/>
    <w:rsid w:val="005D5A03"/>
    <w:rsid w:val="005E6AB4"/>
    <w:rsid w:val="006130AA"/>
    <w:rsid w:val="006148C1"/>
    <w:rsid w:val="006572B8"/>
    <w:rsid w:val="006B44F0"/>
    <w:rsid w:val="006E09B2"/>
    <w:rsid w:val="00703759"/>
    <w:rsid w:val="00717E8A"/>
    <w:rsid w:val="0072450F"/>
    <w:rsid w:val="0073351F"/>
    <w:rsid w:val="00742C07"/>
    <w:rsid w:val="0075129B"/>
    <w:rsid w:val="007864FA"/>
    <w:rsid w:val="00795D82"/>
    <w:rsid w:val="007A153F"/>
    <w:rsid w:val="007A27FB"/>
    <w:rsid w:val="007F0174"/>
    <w:rsid w:val="00857335"/>
    <w:rsid w:val="00867E2D"/>
    <w:rsid w:val="00881708"/>
    <w:rsid w:val="00894E70"/>
    <w:rsid w:val="009A7814"/>
    <w:rsid w:val="009B2C4D"/>
    <w:rsid w:val="00A20ECD"/>
    <w:rsid w:val="00A26E7F"/>
    <w:rsid w:val="00A55EF9"/>
    <w:rsid w:val="00A70995"/>
    <w:rsid w:val="00AB0670"/>
    <w:rsid w:val="00AC3EE0"/>
    <w:rsid w:val="00AC6036"/>
    <w:rsid w:val="00AD4EA2"/>
    <w:rsid w:val="00AE4029"/>
    <w:rsid w:val="00AF00EB"/>
    <w:rsid w:val="00AF2676"/>
    <w:rsid w:val="00B22D17"/>
    <w:rsid w:val="00B24A7D"/>
    <w:rsid w:val="00B37195"/>
    <w:rsid w:val="00B56C86"/>
    <w:rsid w:val="00B617FE"/>
    <w:rsid w:val="00B65124"/>
    <w:rsid w:val="00B745F1"/>
    <w:rsid w:val="00B9320A"/>
    <w:rsid w:val="00BA31CF"/>
    <w:rsid w:val="00C610C3"/>
    <w:rsid w:val="00C6265F"/>
    <w:rsid w:val="00C804E0"/>
    <w:rsid w:val="00CA202C"/>
    <w:rsid w:val="00CA4106"/>
    <w:rsid w:val="00CA7797"/>
    <w:rsid w:val="00CD19C1"/>
    <w:rsid w:val="00D03F91"/>
    <w:rsid w:val="00D14D7E"/>
    <w:rsid w:val="00DB0570"/>
    <w:rsid w:val="00DB1405"/>
    <w:rsid w:val="00DB52CB"/>
    <w:rsid w:val="00DC2A44"/>
    <w:rsid w:val="00DC2CA2"/>
    <w:rsid w:val="00E2083B"/>
    <w:rsid w:val="00E24E0D"/>
    <w:rsid w:val="00E31D19"/>
    <w:rsid w:val="00E33256"/>
    <w:rsid w:val="00E63295"/>
    <w:rsid w:val="00E64D8B"/>
    <w:rsid w:val="00EA4123"/>
    <w:rsid w:val="00EA5869"/>
    <w:rsid w:val="00EC35DD"/>
    <w:rsid w:val="00EE352F"/>
    <w:rsid w:val="00F14072"/>
    <w:rsid w:val="00F27713"/>
    <w:rsid w:val="00F337FB"/>
    <w:rsid w:val="00F347C2"/>
    <w:rsid w:val="00F34C00"/>
    <w:rsid w:val="00F71FD4"/>
    <w:rsid w:val="00F76854"/>
    <w:rsid w:val="00FD5C02"/>
    <w:rsid w:val="01CD63B1"/>
    <w:rsid w:val="069C16B8"/>
    <w:rsid w:val="09DF6D3E"/>
    <w:rsid w:val="0FB95727"/>
    <w:rsid w:val="18D67D52"/>
    <w:rsid w:val="18DE5F8C"/>
    <w:rsid w:val="1BDB3CAB"/>
    <w:rsid w:val="259E51F1"/>
    <w:rsid w:val="26613029"/>
    <w:rsid w:val="29FB372C"/>
    <w:rsid w:val="2C380F7F"/>
    <w:rsid w:val="30E9709E"/>
    <w:rsid w:val="350836FD"/>
    <w:rsid w:val="3624163E"/>
    <w:rsid w:val="394F65C0"/>
    <w:rsid w:val="3F7367C3"/>
    <w:rsid w:val="3F885348"/>
    <w:rsid w:val="42255A37"/>
    <w:rsid w:val="56290D2D"/>
    <w:rsid w:val="5DD873C5"/>
    <w:rsid w:val="5E9716B3"/>
    <w:rsid w:val="63321358"/>
    <w:rsid w:val="690F4E10"/>
    <w:rsid w:val="6D386F93"/>
    <w:rsid w:val="7C9D7651"/>
    <w:rsid w:val="7FDD0F1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qFormat="1" w:uiPriority="0" w:semiHidden="0" w:name="annotation text"/>
    <w:lsdException w:qFormat="1" w:unhideWhenUsed="0" w:uiPriority="99" w:name="header"/>
    <w:lsdException w:qFormat="1" w:unhideWhenUsed="0" w:uiPriority="99"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iPriority="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unhideWhenUsed/>
    <w:qFormat/>
    <w:uiPriority w:val="0"/>
    <w:pPr>
      <w:jc w:val="left"/>
    </w:pPr>
  </w:style>
  <w:style w:type="paragraph" w:styleId="3">
    <w:name w:val="Balloon Text"/>
    <w:basedOn w:val="1"/>
    <w:link w:val="15"/>
    <w:unhideWhenUsed/>
    <w:qFormat/>
    <w:uiPriority w:val="0"/>
    <w:rPr>
      <w:sz w:val="18"/>
      <w:szCs w:val="18"/>
    </w:rPr>
  </w:style>
  <w:style w:type="paragraph" w:styleId="4">
    <w:name w:val="footer"/>
    <w:basedOn w:val="1"/>
    <w:link w:val="12"/>
    <w:semiHidden/>
    <w:qFormat/>
    <w:uiPriority w:val="99"/>
    <w:pPr>
      <w:tabs>
        <w:tab w:val="center" w:pos="4153"/>
        <w:tab w:val="right" w:pos="8306"/>
      </w:tabs>
      <w:snapToGrid w:val="0"/>
      <w:jc w:val="left"/>
    </w:pPr>
    <w:rPr>
      <w:sz w:val="18"/>
      <w:szCs w:val="18"/>
    </w:rPr>
  </w:style>
  <w:style w:type="paragraph" w:styleId="5">
    <w:name w:val="header"/>
    <w:basedOn w:val="1"/>
    <w:link w:val="11"/>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4"/>
    <w:unhideWhenUsed/>
    <w:qFormat/>
    <w:uiPriority w:val="0"/>
    <w:rPr>
      <w:b/>
      <w:bCs/>
    </w:rPr>
  </w:style>
  <w:style w:type="character" w:styleId="10">
    <w:name w:val="annotation reference"/>
    <w:basedOn w:val="9"/>
    <w:unhideWhenUsed/>
    <w:qFormat/>
    <w:uiPriority w:val="0"/>
    <w:rPr>
      <w:sz w:val="21"/>
      <w:szCs w:val="21"/>
    </w:rPr>
  </w:style>
  <w:style w:type="character" w:customStyle="1" w:styleId="11">
    <w:name w:val="页眉 Char"/>
    <w:basedOn w:val="9"/>
    <w:link w:val="5"/>
    <w:semiHidden/>
    <w:qFormat/>
    <w:locked/>
    <w:uiPriority w:val="99"/>
    <w:rPr>
      <w:rFonts w:cs="Times New Roman"/>
      <w:sz w:val="18"/>
      <w:szCs w:val="18"/>
    </w:rPr>
  </w:style>
  <w:style w:type="character" w:customStyle="1" w:styleId="12">
    <w:name w:val="页脚 Char"/>
    <w:basedOn w:val="9"/>
    <w:link w:val="4"/>
    <w:semiHidden/>
    <w:qFormat/>
    <w:locked/>
    <w:uiPriority w:val="99"/>
    <w:rPr>
      <w:rFonts w:cs="Times New Roman"/>
      <w:sz w:val="18"/>
      <w:szCs w:val="18"/>
    </w:rPr>
  </w:style>
  <w:style w:type="character" w:customStyle="1" w:styleId="13">
    <w:name w:val="批注文字 Char"/>
    <w:basedOn w:val="9"/>
    <w:link w:val="2"/>
    <w:semiHidden/>
    <w:qFormat/>
    <w:uiPriority w:val="0"/>
    <w:rPr>
      <w:rFonts w:cs="Times New Roman"/>
      <w:kern w:val="2"/>
      <w:sz w:val="21"/>
      <w:szCs w:val="22"/>
    </w:rPr>
  </w:style>
  <w:style w:type="character" w:customStyle="1" w:styleId="14">
    <w:name w:val="批注主题 Char"/>
    <w:basedOn w:val="13"/>
    <w:link w:val="7"/>
    <w:semiHidden/>
    <w:qFormat/>
    <w:uiPriority w:val="0"/>
    <w:rPr>
      <w:rFonts w:cs="Times New Roman"/>
      <w:b/>
      <w:bCs/>
      <w:kern w:val="2"/>
      <w:sz w:val="21"/>
      <w:szCs w:val="22"/>
    </w:rPr>
  </w:style>
  <w:style w:type="character" w:customStyle="1" w:styleId="15">
    <w:name w:val="批注框文本 Char"/>
    <w:basedOn w:val="9"/>
    <w:link w:val="3"/>
    <w:semiHidden/>
    <w:qFormat/>
    <w:uiPriority w:val="0"/>
    <w:rPr>
      <w:rFonts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608</Words>
  <Characters>672</Characters>
  <Lines>4</Lines>
  <Paragraphs>1</Paragraphs>
  <TotalTime>0</TotalTime>
  <ScaleCrop>false</ScaleCrop>
  <LinksUpToDate>false</LinksUpToDate>
  <CharactersWithSpaces>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2018-08-15T02:36:00Z</dcterms:created>
  <dc:creator>Administrator</dc:creator>
  <cp:lastModifiedBy>yoyo</cp:lastModifiedBy>
  <dcterms:modified xsi:type="dcterms:W3CDTF">2026-02-24T02:25:38Z</dcterms:modified>
  <dc:title>湖北省文物考古研究所2017年购买图书资料项目政府采购询价公告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eyJoZGlkIjoiYzhhOGNlYjBhZWM1YzlkNzAwODI0ZTY2YTM3MGM4ODQiLCJ1c2VySWQiOiIxNDg1ODI5NjYwIn0=</vt:lpwstr>
  </property>
  <property fmtid="{D5CDD505-2E9C-101B-9397-08002B2CF9AE}" pid="4" name="ICV">
    <vt:lpwstr>DC090306A1AD46148C7CF980F822EA66_12</vt:lpwstr>
  </property>
</Properties>
</file>