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A2A75">
      <w:pPr>
        <w:jc w:val="center"/>
        <w:rPr>
          <w:color w:val="auto"/>
          <w:sz w:val="44"/>
        </w:rPr>
      </w:pPr>
    </w:p>
    <w:p w14:paraId="0D91C6D1">
      <w:pPr>
        <w:jc w:val="center"/>
        <w:rPr>
          <w:color w:val="auto"/>
          <w:sz w:val="44"/>
        </w:rPr>
      </w:pPr>
    </w:p>
    <w:p w14:paraId="405BB031">
      <w:pPr>
        <w:jc w:val="center"/>
        <w:rPr>
          <w:color w:val="auto"/>
          <w:w w:val="66"/>
          <w:sz w:val="120"/>
          <w:szCs w:val="120"/>
        </w:rPr>
      </w:pPr>
      <w:r>
        <w:rPr>
          <w:bCs/>
          <w:color w:val="auto"/>
          <w:w w:val="66"/>
          <w:sz w:val="120"/>
          <w:szCs w:val="120"/>
        </w:rPr>
        <w:t>竞争性谈判文件</w:t>
      </w:r>
    </w:p>
    <w:p w14:paraId="0CC473AE">
      <w:pPr>
        <w:jc w:val="center"/>
        <w:rPr>
          <w:color w:val="auto"/>
          <w:sz w:val="44"/>
        </w:rPr>
      </w:pPr>
    </w:p>
    <w:p w14:paraId="17898865">
      <w:pPr>
        <w:jc w:val="center"/>
        <w:rPr>
          <w:color w:val="auto"/>
          <w:sz w:val="44"/>
        </w:rPr>
      </w:pPr>
    </w:p>
    <w:p w14:paraId="1FD4050C">
      <w:pPr>
        <w:ind w:firstLine="1440" w:firstLineChars="400"/>
        <w:rPr>
          <w:bCs/>
          <w:color w:val="auto"/>
          <w:sz w:val="36"/>
        </w:rPr>
      </w:pPr>
    </w:p>
    <w:p w14:paraId="3D38E249">
      <w:pPr>
        <w:spacing w:line="480" w:lineRule="auto"/>
        <w:ind w:firstLine="960" w:firstLineChars="300"/>
        <w:rPr>
          <w:bCs/>
          <w:color w:val="auto"/>
          <w:sz w:val="32"/>
          <w:szCs w:val="32"/>
        </w:rPr>
      </w:pPr>
      <w:r>
        <w:rPr>
          <w:bCs/>
          <w:color w:val="auto"/>
          <w:sz w:val="32"/>
          <w:szCs w:val="32"/>
        </w:rPr>
        <w:t>项目编号：</w:t>
      </w:r>
    </w:p>
    <w:p w14:paraId="1D45962A">
      <w:pPr>
        <w:spacing w:line="480" w:lineRule="auto"/>
        <w:ind w:left="958" w:leftChars="342"/>
        <w:rPr>
          <w:bCs/>
          <w:color w:val="auto"/>
          <w:sz w:val="32"/>
          <w:szCs w:val="32"/>
        </w:rPr>
      </w:pPr>
      <w:r>
        <w:rPr>
          <w:bCs/>
          <w:color w:val="auto"/>
          <w:sz w:val="32"/>
          <w:szCs w:val="32"/>
        </w:rPr>
        <w:t>项目名称：</w:t>
      </w:r>
      <w:r>
        <w:rPr>
          <w:rFonts w:hint="eastAsia"/>
          <w:bCs/>
          <w:color w:val="auto"/>
          <w:sz w:val="32"/>
          <w:szCs w:val="32"/>
          <w:lang w:eastAsia="zh-CN"/>
        </w:rPr>
        <w:t>2025</w:t>
      </w:r>
      <w:r>
        <w:rPr>
          <w:rFonts w:hint="eastAsia"/>
          <w:bCs/>
          <w:color w:val="auto"/>
          <w:sz w:val="32"/>
          <w:szCs w:val="32"/>
        </w:rPr>
        <w:t>年</w:t>
      </w:r>
      <w:r>
        <w:rPr>
          <w:rFonts w:hint="eastAsia"/>
          <w:bCs/>
          <w:color w:val="auto"/>
          <w:sz w:val="32"/>
          <w:szCs w:val="32"/>
          <w:lang w:eastAsia="zh-CN"/>
        </w:rPr>
        <w:t>消防检测</w:t>
      </w:r>
      <w:r>
        <w:rPr>
          <w:rFonts w:hint="eastAsia"/>
          <w:bCs/>
          <w:color w:val="auto"/>
          <w:sz w:val="32"/>
          <w:szCs w:val="32"/>
        </w:rPr>
        <w:t>项目</w:t>
      </w:r>
    </w:p>
    <w:p w14:paraId="11ECA6AB">
      <w:pPr>
        <w:spacing w:line="480" w:lineRule="auto"/>
        <w:ind w:left="958" w:leftChars="342"/>
        <w:rPr>
          <w:bCs/>
          <w:color w:val="auto"/>
          <w:sz w:val="32"/>
          <w:szCs w:val="32"/>
        </w:rPr>
      </w:pPr>
      <w:r>
        <w:rPr>
          <w:rFonts w:hint="eastAsia"/>
          <w:bCs/>
          <w:color w:val="auto"/>
          <w:sz w:val="32"/>
          <w:szCs w:val="32"/>
        </w:rPr>
        <w:t>谈判</w:t>
      </w:r>
      <w:r>
        <w:rPr>
          <w:bCs/>
          <w:color w:val="auto"/>
          <w:sz w:val="32"/>
          <w:szCs w:val="32"/>
        </w:rPr>
        <w:t>内容：</w:t>
      </w:r>
      <w:r>
        <w:rPr>
          <w:rFonts w:hint="eastAsia"/>
          <w:bCs/>
          <w:color w:val="auto"/>
          <w:sz w:val="32"/>
          <w:szCs w:val="32"/>
          <w:lang w:eastAsia="zh-CN"/>
        </w:rPr>
        <w:t>2025</w:t>
      </w:r>
      <w:r>
        <w:rPr>
          <w:rFonts w:hint="eastAsia"/>
          <w:bCs/>
          <w:color w:val="auto"/>
          <w:sz w:val="32"/>
          <w:szCs w:val="32"/>
        </w:rPr>
        <w:t>年</w:t>
      </w:r>
      <w:r>
        <w:rPr>
          <w:rFonts w:hint="eastAsia"/>
          <w:bCs/>
          <w:color w:val="auto"/>
          <w:sz w:val="32"/>
          <w:szCs w:val="32"/>
          <w:lang w:eastAsia="zh-CN"/>
        </w:rPr>
        <w:t>消防检测</w:t>
      </w:r>
      <w:r>
        <w:rPr>
          <w:rFonts w:hint="eastAsia"/>
          <w:bCs/>
          <w:color w:val="auto"/>
          <w:sz w:val="32"/>
          <w:szCs w:val="32"/>
        </w:rPr>
        <w:t>项目</w:t>
      </w:r>
    </w:p>
    <w:p w14:paraId="498D5ECF">
      <w:pPr>
        <w:tabs>
          <w:tab w:val="left" w:pos="2625"/>
        </w:tabs>
        <w:spacing w:line="480" w:lineRule="auto"/>
        <w:jc w:val="center"/>
        <w:rPr>
          <w:bCs/>
          <w:color w:val="auto"/>
          <w:sz w:val="32"/>
        </w:rPr>
      </w:pPr>
    </w:p>
    <w:p w14:paraId="434ACA72">
      <w:pPr>
        <w:tabs>
          <w:tab w:val="left" w:pos="2625"/>
        </w:tabs>
        <w:spacing w:line="520" w:lineRule="exact"/>
        <w:jc w:val="center"/>
        <w:rPr>
          <w:bCs/>
          <w:color w:val="auto"/>
          <w:sz w:val="32"/>
        </w:rPr>
      </w:pPr>
    </w:p>
    <w:p w14:paraId="68F56FEA">
      <w:pPr>
        <w:tabs>
          <w:tab w:val="left" w:pos="2625"/>
        </w:tabs>
        <w:spacing w:line="520" w:lineRule="exact"/>
        <w:jc w:val="center"/>
        <w:rPr>
          <w:bCs/>
          <w:color w:val="auto"/>
          <w:sz w:val="32"/>
        </w:rPr>
      </w:pPr>
    </w:p>
    <w:p w14:paraId="6498B1EC">
      <w:pPr>
        <w:tabs>
          <w:tab w:val="left" w:pos="2625"/>
        </w:tabs>
        <w:spacing w:line="520" w:lineRule="exact"/>
        <w:jc w:val="center"/>
        <w:rPr>
          <w:color w:val="auto"/>
          <w:sz w:val="36"/>
        </w:rPr>
      </w:pPr>
    </w:p>
    <w:p w14:paraId="4620A368">
      <w:pPr>
        <w:tabs>
          <w:tab w:val="left" w:pos="2625"/>
        </w:tabs>
        <w:spacing w:line="520" w:lineRule="exact"/>
        <w:jc w:val="center"/>
        <w:rPr>
          <w:color w:val="auto"/>
          <w:sz w:val="36"/>
        </w:rPr>
      </w:pPr>
    </w:p>
    <w:p w14:paraId="1DFF1FD1">
      <w:pPr>
        <w:tabs>
          <w:tab w:val="left" w:pos="2625"/>
        </w:tabs>
        <w:spacing w:line="520" w:lineRule="exact"/>
        <w:rPr>
          <w:color w:val="auto"/>
          <w:sz w:val="36"/>
        </w:rPr>
      </w:pPr>
    </w:p>
    <w:p w14:paraId="50537B5A">
      <w:pPr>
        <w:spacing w:line="520" w:lineRule="exact"/>
        <w:jc w:val="center"/>
        <w:rPr>
          <w:bCs/>
          <w:color w:val="auto"/>
          <w:sz w:val="32"/>
          <w:szCs w:val="32"/>
        </w:rPr>
      </w:pPr>
      <w:r>
        <w:rPr>
          <w:rFonts w:hint="eastAsia"/>
          <w:bCs/>
          <w:color w:val="auto"/>
          <w:sz w:val="32"/>
          <w:szCs w:val="32"/>
        </w:rPr>
        <w:t>湖北省博物馆</w:t>
      </w:r>
    </w:p>
    <w:p w14:paraId="5C4CA2F9">
      <w:pPr>
        <w:spacing w:line="520" w:lineRule="exact"/>
        <w:jc w:val="center"/>
        <w:rPr>
          <w:color w:val="auto"/>
          <w:sz w:val="32"/>
          <w:szCs w:val="32"/>
        </w:rPr>
        <w:sectPr>
          <w:footerReference r:id="rId4" w:type="default"/>
          <w:headerReference r:id="rId3" w:type="even"/>
          <w:footerReference r:id="rId5" w:type="even"/>
          <w:pgSz w:w="11906" w:h="16838"/>
          <w:pgMar w:top="1440" w:right="1800" w:bottom="1440" w:left="1800" w:header="851" w:footer="992" w:gutter="0"/>
          <w:cols w:space="720" w:num="1"/>
          <w:titlePg/>
          <w:rtlGutter w:val="0"/>
          <w:docGrid w:type="lines" w:linePitch="312" w:charSpace="0"/>
        </w:sectPr>
      </w:pPr>
      <w:r>
        <w:rPr>
          <w:rFonts w:hint="eastAsia"/>
          <w:color w:val="auto"/>
          <w:sz w:val="32"/>
          <w:szCs w:val="32"/>
          <w:lang w:eastAsia="zh-CN"/>
        </w:rPr>
        <w:t>2025</w:t>
      </w:r>
      <w:r>
        <w:rPr>
          <w:color w:val="auto"/>
          <w:sz w:val="32"/>
          <w:szCs w:val="32"/>
        </w:rPr>
        <w:t>年</w:t>
      </w:r>
      <w:r>
        <w:rPr>
          <w:rFonts w:hint="eastAsia"/>
          <w:color w:val="auto"/>
          <w:sz w:val="32"/>
          <w:szCs w:val="32"/>
          <w:lang w:val="en-US" w:eastAsia="zh-CN"/>
        </w:rPr>
        <w:t>9</w:t>
      </w:r>
      <w:r>
        <w:rPr>
          <w:color w:val="auto"/>
          <w:sz w:val="32"/>
          <w:szCs w:val="32"/>
        </w:rPr>
        <w:t>月</w:t>
      </w:r>
    </w:p>
    <w:p w14:paraId="35C53CCF">
      <w:pPr>
        <w:jc w:val="center"/>
        <w:rPr>
          <w:color w:val="auto"/>
          <w:sz w:val="36"/>
          <w:szCs w:val="36"/>
        </w:rPr>
      </w:pPr>
    </w:p>
    <w:p w14:paraId="47C680D3">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5991E5AD">
      <w:pPr>
        <w:rPr>
          <w:rFonts w:eastAsia="黑体"/>
          <w:color w:val="auto"/>
          <w:sz w:val="44"/>
          <w:szCs w:val="44"/>
        </w:rPr>
      </w:pPr>
    </w:p>
    <w:p w14:paraId="5873FA5F">
      <w:pPr>
        <w:spacing w:line="480" w:lineRule="auto"/>
        <w:rPr>
          <w:color w:val="auto"/>
        </w:rPr>
      </w:pPr>
      <w:r>
        <w:rPr>
          <w:color w:val="auto"/>
        </w:rPr>
        <w:t>第一章</w:t>
      </w:r>
      <w:r>
        <w:rPr>
          <w:rFonts w:hint="eastAsia"/>
          <w:color w:val="auto"/>
        </w:rPr>
        <w:t xml:space="preserve">  </w:t>
      </w:r>
      <w:r>
        <w:rPr>
          <w:color w:val="auto"/>
        </w:rPr>
        <w:t>谈判邀请函</w:t>
      </w:r>
    </w:p>
    <w:p w14:paraId="0708FAD1">
      <w:pPr>
        <w:spacing w:line="480" w:lineRule="auto"/>
        <w:rPr>
          <w:color w:val="auto"/>
        </w:rPr>
      </w:pPr>
      <w:r>
        <w:rPr>
          <w:color w:val="auto"/>
        </w:rPr>
        <w:t>第二章</w:t>
      </w:r>
      <w:r>
        <w:rPr>
          <w:rFonts w:hint="eastAsia"/>
          <w:color w:val="auto"/>
        </w:rPr>
        <w:t xml:space="preserve">  </w:t>
      </w:r>
      <w:r>
        <w:rPr>
          <w:color w:val="auto"/>
        </w:rPr>
        <w:t>谈判须知</w:t>
      </w:r>
    </w:p>
    <w:p w14:paraId="6132DB86">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47AD6B5E">
      <w:pPr>
        <w:spacing w:line="480" w:lineRule="auto"/>
        <w:rPr>
          <w:color w:val="auto"/>
        </w:rPr>
      </w:pPr>
      <w:r>
        <w:rPr>
          <w:color w:val="auto"/>
        </w:rPr>
        <w:t>第四章</w:t>
      </w:r>
      <w:r>
        <w:rPr>
          <w:rFonts w:hint="eastAsia"/>
          <w:color w:val="auto"/>
        </w:rPr>
        <w:t xml:space="preserve">  </w:t>
      </w:r>
      <w:r>
        <w:rPr>
          <w:color w:val="auto"/>
        </w:rPr>
        <w:t>合同书（格式）</w:t>
      </w:r>
    </w:p>
    <w:p w14:paraId="6D6484C6">
      <w:pPr>
        <w:spacing w:line="480" w:lineRule="auto"/>
        <w:rPr>
          <w:color w:val="auto"/>
        </w:rPr>
        <w:sectPr>
          <w:headerReference r:id="rId6" w:type="default"/>
          <w:pgSz w:w="11906" w:h="16838"/>
          <w:pgMar w:top="1440" w:right="1800" w:bottom="1440" w:left="1800" w:header="851" w:footer="992" w:gutter="0"/>
          <w:cols w:space="720" w:num="1"/>
          <w:rtlGutter w:val="0"/>
          <w:docGrid w:type="lines" w:linePitch="312" w:charSpace="0"/>
        </w:sectPr>
      </w:pPr>
      <w:r>
        <w:rPr>
          <w:color w:val="auto"/>
        </w:rPr>
        <w:t>第五章</w:t>
      </w:r>
      <w:r>
        <w:rPr>
          <w:rFonts w:hint="eastAsia"/>
          <w:color w:val="auto"/>
        </w:rPr>
        <w:t xml:space="preserve">  </w:t>
      </w:r>
      <w:r>
        <w:rPr>
          <w:color w:val="auto"/>
        </w:rPr>
        <w:t>响应文件格式</w:t>
      </w:r>
    </w:p>
    <w:p w14:paraId="4DF0E8D9">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2012FF35">
      <w:pPr>
        <w:spacing w:line="500" w:lineRule="exact"/>
        <w:rPr>
          <w:rFonts w:hint="eastAsia"/>
          <w:bCs/>
          <w:color w:val="auto"/>
          <w:sz w:val="24"/>
        </w:rPr>
      </w:pPr>
    </w:p>
    <w:p w14:paraId="5D85751D">
      <w:pPr>
        <w:spacing w:line="500" w:lineRule="exact"/>
        <w:rPr>
          <w:bCs/>
          <w:color w:val="auto"/>
          <w:sz w:val="24"/>
        </w:rPr>
      </w:pPr>
      <w:r>
        <w:rPr>
          <w:rFonts w:hint="eastAsia"/>
          <w:bCs/>
          <w:color w:val="auto"/>
          <w:sz w:val="24"/>
        </w:rPr>
        <w:t>受</w:t>
      </w:r>
      <w:r>
        <w:rPr>
          <w:bCs/>
          <w:color w:val="auto"/>
          <w:sz w:val="24"/>
        </w:rPr>
        <w:t>邀请供应商：</w:t>
      </w:r>
    </w:p>
    <w:p w14:paraId="42B47B49">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lang w:eastAsia="zh-CN"/>
        </w:rPr>
        <w:t>2025</w:t>
      </w:r>
      <w:r>
        <w:rPr>
          <w:rFonts w:hint="eastAsia"/>
          <w:bCs/>
          <w:color w:val="auto"/>
          <w:sz w:val="24"/>
          <w:u w:val="single"/>
        </w:rPr>
        <w:t>年</w:t>
      </w:r>
      <w:r>
        <w:rPr>
          <w:rFonts w:hint="eastAsia"/>
          <w:bCs/>
          <w:color w:val="auto"/>
          <w:sz w:val="24"/>
          <w:u w:val="single"/>
          <w:lang w:eastAsia="zh-CN"/>
        </w:rPr>
        <w:t>消防检测</w:t>
      </w:r>
      <w:r>
        <w:rPr>
          <w:rFonts w:hint="eastAsia"/>
          <w:bCs/>
          <w:color w:val="auto"/>
          <w:sz w:val="24"/>
          <w:u w:val="single"/>
        </w:rPr>
        <w:t>项目</w:t>
      </w:r>
      <w:r>
        <w:rPr>
          <w:rFonts w:hint="eastAsia"/>
          <w:color w:val="auto"/>
          <w:sz w:val="24"/>
        </w:rPr>
        <w:t>）</w:t>
      </w:r>
      <w:r>
        <w:rPr>
          <w:bCs/>
          <w:color w:val="auto"/>
          <w:sz w:val="24"/>
        </w:rPr>
        <w:t>的谈判供应商，现邀请你公司参加谈判。</w:t>
      </w:r>
    </w:p>
    <w:p w14:paraId="1D8C1B81">
      <w:pPr>
        <w:spacing w:line="440" w:lineRule="exact"/>
        <w:ind w:firstLine="480" w:firstLineChars="200"/>
        <w:rPr>
          <w:bCs/>
          <w:color w:val="auto"/>
          <w:sz w:val="24"/>
        </w:rPr>
      </w:pPr>
      <w:r>
        <w:rPr>
          <w:bCs/>
          <w:color w:val="auto"/>
          <w:sz w:val="24"/>
        </w:rPr>
        <w:t>一、项目编号：</w:t>
      </w:r>
    </w:p>
    <w:p w14:paraId="08C47DD8">
      <w:pPr>
        <w:spacing w:line="440" w:lineRule="exact"/>
        <w:ind w:firstLine="480" w:firstLineChars="200"/>
        <w:rPr>
          <w:bCs/>
          <w:color w:val="auto"/>
          <w:sz w:val="24"/>
        </w:rPr>
      </w:pPr>
      <w:r>
        <w:rPr>
          <w:bCs/>
          <w:color w:val="auto"/>
          <w:sz w:val="24"/>
        </w:rPr>
        <w:t>二、项目名称：</w:t>
      </w:r>
      <w:r>
        <w:rPr>
          <w:rFonts w:hint="eastAsia"/>
          <w:bCs/>
          <w:color w:val="auto"/>
          <w:sz w:val="24"/>
          <w:lang w:eastAsia="zh-CN"/>
        </w:rPr>
        <w:t>2025</w:t>
      </w:r>
      <w:r>
        <w:rPr>
          <w:rFonts w:hint="eastAsia"/>
          <w:bCs/>
          <w:color w:val="auto"/>
          <w:sz w:val="24"/>
        </w:rPr>
        <w:t>年</w:t>
      </w:r>
      <w:r>
        <w:rPr>
          <w:rFonts w:hint="eastAsia"/>
          <w:bCs/>
          <w:color w:val="auto"/>
          <w:sz w:val="24"/>
          <w:lang w:eastAsia="zh-CN"/>
        </w:rPr>
        <w:t>消防检测</w:t>
      </w:r>
      <w:r>
        <w:rPr>
          <w:rFonts w:hint="eastAsia"/>
          <w:bCs/>
          <w:color w:val="auto"/>
          <w:sz w:val="24"/>
        </w:rPr>
        <w:t>项目</w:t>
      </w:r>
    </w:p>
    <w:p w14:paraId="3415B2BE">
      <w:pPr>
        <w:spacing w:line="440" w:lineRule="exact"/>
        <w:ind w:firstLine="480" w:firstLineChars="200"/>
        <w:rPr>
          <w:bCs/>
          <w:color w:val="auto"/>
          <w:sz w:val="24"/>
        </w:rPr>
      </w:pPr>
      <w:r>
        <w:rPr>
          <w:bCs/>
          <w:color w:val="auto"/>
          <w:sz w:val="24"/>
        </w:rPr>
        <w:t>三、谈判内容：</w:t>
      </w:r>
    </w:p>
    <w:tbl>
      <w:tblPr>
        <w:tblStyle w:val="2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5ADB6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37F896BB">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noWrap w:val="0"/>
            <w:vAlign w:val="center"/>
          </w:tcPr>
          <w:p w14:paraId="663C1171">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noWrap w:val="0"/>
            <w:vAlign w:val="center"/>
          </w:tcPr>
          <w:p w14:paraId="6881923A">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4583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noWrap w:val="0"/>
            <w:vAlign w:val="center"/>
          </w:tcPr>
          <w:p w14:paraId="5F18009C">
            <w:pPr>
              <w:shd w:val="clear" w:color="auto" w:fill="FFFFFF"/>
              <w:spacing w:line="440" w:lineRule="exact"/>
              <w:jc w:val="center"/>
              <w:rPr>
                <w:rFonts w:ascii="宋体" w:hAnsi="宋体" w:cs="宋体"/>
                <w:color w:val="auto"/>
                <w:sz w:val="24"/>
              </w:rPr>
            </w:pPr>
            <w:r>
              <w:rPr>
                <w:rFonts w:hint="eastAsia" w:ascii="宋体" w:hAnsi="宋体" w:cs="宋体"/>
                <w:color w:val="auto"/>
                <w:sz w:val="24"/>
              </w:rPr>
              <w:t>1</w:t>
            </w:r>
          </w:p>
        </w:tc>
        <w:tc>
          <w:tcPr>
            <w:tcW w:w="5124" w:type="dxa"/>
            <w:tcBorders>
              <w:top w:val="single" w:color="000000" w:sz="4" w:space="0"/>
              <w:left w:val="nil"/>
              <w:right w:val="single" w:color="000000" w:sz="4" w:space="0"/>
            </w:tcBorders>
            <w:noWrap w:val="0"/>
            <w:vAlign w:val="center"/>
          </w:tcPr>
          <w:p w14:paraId="41A4BED0">
            <w:pPr>
              <w:shd w:val="clear" w:color="auto" w:fill="FFFFFF"/>
              <w:spacing w:line="440" w:lineRule="exact"/>
              <w:jc w:val="center"/>
              <w:rPr>
                <w:rFonts w:ascii="宋体" w:hAnsi="宋体" w:cs="宋体"/>
                <w:color w:val="auto"/>
                <w:sz w:val="24"/>
              </w:rPr>
            </w:pPr>
            <w:r>
              <w:rPr>
                <w:rFonts w:hint="eastAsia"/>
                <w:bCs/>
                <w:color w:val="auto"/>
                <w:sz w:val="24"/>
                <w:lang w:eastAsia="zh-CN"/>
              </w:rPr>
              <w:t>2025</w:t>
            </w:r>
            <w:r>
              <w:rPr>
                <w:rFonts w:hint="eastAsia"/>
                <w:bCs/>
                <w:color w:val="auto"/>
                <w:sz w:val="24"/>
              </w:rPr>
              <w:t>年</w:t>
            </w:r>
            <w:r>
              <w:rPr>
                <w:rFonts w:hint="eastAsia"/>
                <w:bCs/>
                <w:color w:val="auto"/>
                <w:sz w:val="24"/>
                <w:lang w:eastAsia="zh-CN"/>
              </w:rPr>
              <w:t>消防检测</w:t>
            </w:r>
            <w:r>
              <w:rPr>
                <w:rFonts w:hint="eastAsia"/>
                <w:bCs/>
                <w:color w:val="auto"/>
                <w:sz w:val="24"/>
              </w:rPr>
              <w:t>项目</w:t>
            </w:r>
          </w:p>
        </w:tc>
        <w:tc>
          <w:tcPr>
            <w:tcW w:w="2246" w:type="dxa"/>
            <w:tcBorders>
              <w:top w:val="single" w:color="000000" w:sz="4" w:space="0"/>
              <w:left w:val="nil"/>
              <w:right w:val="single" w:color="000000" w:sz="4" w:space="0"/>
            </w:tcBorders>
            <w:noWrap w:val="0"/>
            <w:vAlign w:val="center"/>
          </w:tcPr>
          <w:p w14:paraId="71FB98CF">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1次</w:t>
            </w:r>
          </w:p>
        </w:tc>
      </w:tr>
    </w:tbl>
    <w:p w14:paraId="3AD9C9B7">
      <w:pPr>
        <w:spacing w:line="440" w:lineRule="exact"/>
        <w:ind w:firstLine="480" w:firstLineChars="200"/>
        <w:rPr>
          <w:bCs/>
          <w:color w:val="auto"/>
          <w:sz w:val="24"/>
        </w:rPr>
      </w:pPr>
    </w:p>
    <w:p w14:paraId="2A940FA1">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18</w:t>
      </w:r>
      <w:r>
        <w:rPr>
          <w:rFonts w:hint="eastAsia"/>
          <w:bCs/>
          <w:color w:val="auto"/>
          <w:sz w:val="24"/>
          <w:u w:val="single"/>
        </w:rPr>
        <w:t xml:space="preserve">万 </w:t>
      </w:r>
      <w:r>
        <w:rPr>
          <w:rFonts w:hint="eastAsia"/>
          <w:bCs/>
          <w:color w:val="auto"/>
          <w:sz w:val="24"/>
        </w:rPr>
        <w:t>元</w:t>
      </w:r>
    </w:p>
    <w:p w14:paraId="62B1BF73">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7E9048B9">
      <w:pPr>
        <w:spacing w:line="440" w:lineRule="exact"/>
        <w:ind w:firstLine="480"/>
        <w:outlineLvl w:val="0"/>
        <w:rPr>
          <w:color w:val="auto"/>
          <w:sz w:val="24"/>
        </w:rPr>
      </w:pPr>
      <w:r>
        <w:rPr>
          <w:rFonts w:hint="eastAsia" w:cs="宋体"/>
          <w:color w:val="auto"/>
          <w:sz w:val="24"/>
        </w:rPr>
        <w:t>六、竞争性谈判文件的获得</w:t>
      </w:r>
    </w:p>
    <w:p w14:paraId="0F844D0A">
      <w:pPr>
        <w:spacing w:line="440" w:lineRule="exact"/>
        <w:ind w:firstLine="480"/>
        <w:rPr>
          <w:color w:val="auto"/>
          <w:sz w:val="24"/>
        </w:rPr>
      </w:pPr>
      <w:r>
        <w:rPr>
          <w:rFonts w:hint="eastAsia" w:cs="宋体"/>
          <w:color w:val="auto"/>
          <w:sz w:val="24"/>
        </w:rPr>
        <w:t>（一）获取时间：</w:t>
      </w:r>
      <w:r>
        <w:rPr>
          <w:rFonts w:hint="eastAsia"/>
          <w:color w:val="auto"/>
          <w:sz w:val="24"/>
          <w:lang w:eastAsia="zh-CN"/>
        </w:rPr>
        <w:t>2025</w:t>
      </w:r>
      <w:r>
        <w:rPr>
          <w:rFonts w:hint="eastAsia" w:cs="宋体"/>
          <w:color w:val="auto"/>
          <w:sz w:val="24"/>
        </w:rPr>
        <w:t>年</w:t>
      </w:r>
      <w:r>
        <w:rPr>
          <w:rFonts w:hint="eastAsia"/>
          <w:color w:val="auto"/>
          <w:sz w:val="24"/>
          <w:lang w:val="en-US" w:eastAsia="zh-CN"/>
        </w:rPr>
        <w:t>9</w:t>
      </w:r>
      <w:r>
        <w:rPr>
          <w:rFonts w:hint="eastAsia" w:cs="宋体"/>
          <w:color w:val="auto"/>
          <w:sz w:val="24"/>
        </w:rPr>
        <w:t>月</w:t>
      </w:r>
      <w:r>
        <w:rPr>
          <w:rFonts w:hint="eastAsia"/>
          <w:color w:val="auto"/>
          <w:sz w:val="24"/>
          <w:lang w:val="en-US" w:eastAsia="zh-CN"/>
        </w:rPr>
        <w:t>23</w:t>
      </w:r>
      <w:r>
        <w:rPr>
          <w:rFonts w:hint="eastAsia" w:cs="宋体"/>
          <w:color w:val="auto"/>
          <w:sz w:val="24"/>
        </w:rPr>
        <w:t>日（工作时间）。</w:t>
      </w:r>
    </w:p>
    <w:p w14:paraId="159AD27A">
      <w:pPr>
        <w:spacing w:line="440" w:lineRule="exact"/>
        <w:ind w:firstLine="480"/>
        <w:rPr>
          <w:color w:val="auto"/>
          <w:sz w:val="24"/>
        </w:rPr>
      </w:pPr>
      <w:r>
        <w:rPr>
          <w:rFonts w:hint="eastAsia" w:cs="宋体"/>
          <w:color w:val="auto"/>
          <w:sz w:val="24"/>
        </w:rPr>
        <w:t>（二）领取方式：湖北省博物馆官网上获取。</w:t>
      </w:r>
    </w:p>
    <w:p w14:paraId="49914C4E">
      <w:pPr>
        <w:spacing w:line="440" w:lineRule="exact"/>
        <w:ind w:firstLine="480"/>
        <w:rPr>
          <w:color w:val="auto"/>
          <w:sz w:val="24"/>
        </w:rPr>
      </w:pPr>
      <w:r>
        <w:rPr>
          <w:rFonts w:hint="eastAsia" w:cs="宋体"/>
          <w:color w:val="auto"/>
          <w:sz w:val="24"/>
        </w:rPr>
        <w:t>七、递交响应文件截止时间和谈判时间：详见《供应商须知前附表》。</w:t>
      </w:r>
    </w:p>
    <w:p w14:paraId="4CD73C5E">
      <w:pPr>
        <w:spacing w:line="440" w:lineRule="exact"/>
        <w:ind w:firstLine="480"/>
        <w:rPr>
          <w:color w:val="auto"/>
          <w:sz w:val="24"/>
        </w:rPr>
      </w:pPr>
      <w:r>
        <w:rPr>
          <w:rFonts w:hint="eastAsia" w:cs="宋体"/>
          <w:color w:val="auto"/>
          <w:sz w:val="24"/>
        </w:rPr>
        <w:t>八、响应文件送达地点：详见《供应商须知前附表》。</w:t>
      </w:r>
    </w:p>
    <w:p w14:paraId="5F9CCFA1">
      <w:pPr>
        <w:spacing w:line="440" w:lineRule="exact"/>
        <w:ind w:firstLine="480" w:firstLineChars="200"/>
        <w:rPr>
          <w:color w:val="auto"/>
          <w:sz w:val="24"/>
        </w:rPr>
      </w:pPr>
      <w:r>
        <w:rPr>
          <w:rFonts w:hint="eastAsia" w:cs="宋体"/>
          <w:color w:val="auto"/>
          <w:sz w:val="24"/>
        </w:rPr>
        <w:t>九、联系方式：详见《供应商须知前附表》。</w:t>
      </w:r>
    </w:p>
    <w:p w14:paraId="6693079B">
      <w:pPr>
        <w:spacing w:line="440" w:lineRule="exact"/>
        <w:jc w:val="right"/>
        <w:rPr>
          <w:color w:val="auto"/>
          <w:sz w:val="24"/>
        </w:rPr>
      </w:pPr>
    </w:p>
    <w:p w14:paraId="6FDFEF5A">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0DA2BE87">
      <w:pPr>
        <w:spacing w:line="440" w:lineRule="exact"/>
        <w:ind w:firstLine="6240" w:firstLineChars="2600"/>
        <w:outlineLvl w:val="0"/>
        <w:rPr>
          <w:color w:val="auto"/>
          <w:sz w:val="24"/>
        </w:rPr>
      </w:pPr>
      <w:r>
        <w:rPr>
          <w:rFonts w:hint="eastAsia"/>
          <w:color w:val="auto"/>
          <w:sz w:val="24"/>
          <w:lang w:eastAsia="zh-CN"/>
        </w:rPr>
        <w:t>2025</w:t>
      </w:r>
      <w:r>
        <w:rPr>
          <w:color w:val="auto"/>
          <w:sz w:val="24"/>
        </w:rPr>
        <w:t>年</w:t>
      </w:r>
      <w:r>
        <w:rPr>
          <w:rFonts w:hint="eastAsia"/>
          <w:color w:val="auto"/>
          <w:sz w:val="24"/>
          <w:lang w:val="en-US" w:eastAsia="zh-CN"/>
        </w:rPr>
        <w:t>9</w:t>
      </w:r>
      <w:r>
        <w:rPr>
          <w:color w:val="auto"/>
          <w:sz w:val="24"/>
        </w:rPr>
        <w:t>月</w:t>
      </w:r>
      <w:r>
        <w:rPr>
          <w:rFonts w:hint="eastAsia"/>
          <w:color w:val="auto"/>
          <w:sz w:val="24"/>
          <w:lang w:val="en-US" w:eastAsia="zh-CN"/>
        </w:rPr>
        <w:t>22</w:t>
      </w:r>
      <w:r>
        <w:rPr>
          <w:color w:val="auto"/>
          <w:sz w:val="24"/>
        </w:rPr>
        <w:t>日</w:t>
      </w:r>
    </w:p>
    <w:p w14:paraId="045804D6">
      <w:pPr>
        <w:widowControl/>
        <w:jc w:val="left"/>
        <w:rPr>
          <w:color w:val="auto"/>
          <w:sz w:val="24"/>
        </w:rPr>
      </w:pPr>
      <w:r>
        <w:rPr>
          <w:color w:val="auto"/>
          <w:sz w:val="24"/>
        </w:rPr>
        <w:br w:type="page"/>
      </w:r>
    </w:p>
    <w:p w14:paraId="2BAF118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8BB5317">
      <w:pPr>
        <w:jc w:val="center"/>
        <w:rPr>
          <w:color w:val="auto"/>
          <w:szCs w:val="28"/>
        </w:rPr>
      </w:pPr>
    </w:p>
    <w:p w14:paraId="6C9C8AF2">
      <w:pPr>
        <w:jc w:val="center"/>
        <w:rPr>
          <w:color w:val="auto"/>
          <w:szCs w:val="28"/>
        </w:rPr>
      </w:pPr>
      <w:r>
        <w:rPr>
          <w:rFonts w:hint="eastAsia"/>
          <w:color w:val="auto"/>
          <w:szCs w:val="28"/>
        </w:rPr>
        <w:t>一、供应商</w:t>
      </w:r>
      <w:r>
        <w:rPr>
          <w:color w:val="auto"/>
          <w:szCs w:val="28"/>
        </w:rPr>
        <w:t>须知前附表</w:t>
      </w:r>
    </w:p>
    <w:tbl>
      <w:tblPr>
        <w:tblStyle w:val="2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6E62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2FCFAE4D">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noWrap w:val="0"/>
            <w:vAlign w:val="center"/>
          </w:tcPr>
          <w:p w14:paraId="3B7081D1">
            <w:pPr>
              <w:jc w:val="center"/>
              <w:rPr>
                <w:color w:val="auto"/>
                <w:kern w:val="0"/>
                <w:sz w:val="24"/>
              </w:rPr>
            </w:pPr>
            <w:r>
              <w:rPr>
                <w:rFonts w:hint="eastAsia" w:cs="宋体"/>
                <w:color w:val="auto"/>
                <w:kern w:val="0"/>
                <w:sz w:val="24"/>
              </w:rPr>
              <w:t>名称</w:t>
            </w:r>
          </w:p>
        </w:tc>
        <w:tc>
          <w:tcPr>
            <w:tcW w:w="6429" w:type="dxa"/>
            <w:tcBorders>
              <w:bottom w:val="single" w:color="auto" w:sz="4" w:space="0"/>
            </w:tcBorders>
            <w:noWrap w:val="0"/>
            <w:vAlign w:val="center"/>
          </w:tcPr>
          <w:p w14:paraId="5BDD9A48">
            <w:pPr>
              <w:jc w:val="center"/>
              <w:rPr>
                <w:color w:val="auto"/>
                <w:kern w:val="0"/>
                <w:sz w:val="24"/>
              </w:rPr>
            </w:pPr>
            <w:r>
              <w:rPr>
                <w:rFonts w:hint="eastAsia" w:cs="宋体"/>
                <w:color w:val="auto"/>
                <w:kern w:val="0"/>
                <w:sz w:val="24"/>
              </w:rPr>
              <w:t>内容</w:t>
            </w:r>
          </w:p>
        </w:tc>
      </w:tr>
      <w:tr w14:paraId="2ED5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noWrap w:val="0"/>
            <w:vAlign w:val="center"/>
          </w:tcPr>
          <w:p w14:paraId="65C74418">
            <w:pPr>
              <w:jc w:val="center"/>
              <w:rPr>
                <w:color w:val="auto"/>
                <w:kern w:val="0"/>
                <w:sz w:val="24"/>
              </w:rPr>
            </w:pPr>
            <w:r>
              <w:rPr>
                <w:color w:val="auto"/>
                <w:kern w:val="0"/>
                <w:sz w:val="24"/>
              </w:rPr>
              <w:t>1.1</w:t>
            </w:r>
          </w:p>
        </w:tc>
        <w:tc>
          <w:tcPr>
            <w:tcW w:w="1277" w:type="dxa"/>
            <w:noWrap w:val="0"/>
            <w:vAlign w:val="center"/>
          </w:tcPr>
          <w:p w14:paraId="24EA7372">
            <w:pPr>
              <w:rPr>
                <w:color w:val="auto"/>
                <w:kern w:val="0"/>
                <w:sz w:val="24"/>
              </w:rPr>
            </w:pPr>
            <w:r>
              <w:rPr>
                <w:rFonts w:hint="eastAsia" w:cs="宋体"/>
                <w:color w:val="auto"/>
                <w:kern w:val="0"/>
                <w:sz w:val="24"/>
              </w:rPr>
              <w:t>项目名称</w:t>
            </w:r>
          </w:p>
        </w:tc>
        <w:tc>
          <w:tcPr>
            <w:tcW w:w="6429" w:type="dxa"/>
            <w:tcBorders>
              <w:bottom w:val="single" w:color="auto" w:sz="4" w:space="0"/>
            </w:tcBorders>
            <w:noWrap w:val="0"/>
            <w:vAlign w:val="center"/>
          </w:tcPr>
          <w:p w14:paraId="0F42BC80">
            <w:pPr>
              <w:rPr>
                <w:bCs/>
                <w:color w:val="auto"/>
                <w:kern w:val="0"/>
                <w:sz w:val="24"/>
              </w:rPr>
            </w:pPr>
            <w:r>
              <w:rPr>
                <w:rFonts w:hint="eastAsia"/>
                <w:bCs/>
                <w:color w:val="auto"/>
                <w:sz w:val="24"/>
                <w:lang w:eastAsia="zh-CN"/>
              </w:rPr>
              <w:t>2025</w:t>
            </w:r>
            <w:r>
              <w:rPr>
                <w:rFonts w:hint="eastAsia"/>
                <w:bCs/>
                <w:color w:val="auto"/>
                <w:sz w:val="24"/>
              </w:rPr>
              <w:t>年</w:t>
            </w:r>
            <w:r>
              <w:rPr>
                <w:rFonts w:hint="eastAsia"/>
                <w:bCs/>
                <w:color w:val="auto"/>
                <w:sz w:val="24"/>
                <w:lang w:eastAsia="zh-CN"/>
              </w:rPr>
              <w:t>消防检测</w:t>
            </w:r>
            <w:r>
              <w:rPr>
                <w:rFonts w:hint="eastAsia"/>
                <w:bCs/>
                <w:color w:val="auto"/>
                <w:sz w:val="24"/>
              </w:rPr>
              <w:t>项目</w:t>
            </w:r>
          </w:p>
        </w:tc>
      </w:tr>
      <w:tr w14:paraId="163F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noWrap w:val="0"/>
            <w:vAlign w:val="center"/>
          </w:tcPr>
          <w:p w14:paraId="4D301C6C">
            <w:pPr>
              <w:jc w:val="center"/>
              <w:rPr>
                <w:color w:val="auto"/>
                <w:kern w:val="0"/>
                <w:sz w:val="24"/>
              </w:rPr>
            </w:pPr>
          </w:p>
        </w:tc>
        <w:tc>
          <w:tcPr>
            <w:tcW w:w="1277" w:type="dxa"/>
            <w:noWrap w:val="0"/>
            <w:vAlign w:val="center"/>
          </w:tcPr>
          <w:p w14:paraId="6FC19041">
            <w:pPr>
              <w:rPr>
                <w:color w:val="auto"/>
                <w:kern w:val="0"/>
                <w:sz w:val="24"/>
              </w:rPr>
            </w:pPr>
            <w:r>
              <w:rPr>
                <w:rFonts w:hint="eastAsia" w:cs="宋体"/>
                <w:color w:val="auto"/>
                <w:kern w:val="0"/>
                <w:sz w:val="24"/>
              </w:rPr>
              <w:t>采购内容</w:t>
            </w:r>
          </w:p>
        </w:tc>
        <w:tc>
          <w:tcPr>
            <w:tcW w:w="6429" w:type="dxa"/>
            <w:tcBorders>
              <w:top w:val="single" w:color="auto" w:sz="4" w:space="0"/>
            </w:tcBorders>
            <w:noWrap w:val="0"/>
            <w:vAlign w:val="center"/>
          </w:tcPr>
          <w:p w14:paraId="740FBD32">
            <w:pPr>
              <w:rPr>
                <w:bCs/>
                <w:color w:val="auto"/>
                <w:kern w:val="0"/>
                <w:sz w:val="24"/>
              </w:rPr>
            </w:pPr>
            <w:r>
              <w:rPr>
                <w:rFonts w:hint="eastAsia"/>
                <w:bCs/>
                <w:color w:val="auto"/>
                <w:sz w:val="24"/>
                <w:lang w:eastAsia="zh-CN"/>
              </w:rPr>
              <w:t>2025</w:t>
            </w:r>
            <w:r>
              <w:rPr>
                <w:rFonts w:hint="eastAsia"/>
                <w:bCs/>
                <w:color w:val="auto"/>
                <w:sz w:val="24"/>
              </w:rPr>
              <w:t>年</w:t>
            </w:r>
            <w:r>
              <w:rPr>
                <w:rFonts w:hint="eastAsia"/>
                <w:bCs/>
                <w:color w:val="auto"/>
                <w:sz w:val="24"/>
                <w:lang w:eastAsia="zh-CN"/>
              </w:rPr>
              <w:t>消防检测</w:t>
            </w:r>
            <w:r>
              <w:rPr>
                <w:rFonts w:hint="eastAsia"/>
                <w:bCs/>
                <w:color w:val="auto"/>
                <w:sz w:val="24"/>
              </w:rPr>
              <w:t>项目</w:t>
            </w:r>
          </w:p>
        </w:tc>
      </w:tr>
      <w:tr w14:paraId="55D4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noWrap w:val="0"/>
            <w:vAlign w:val="center"/>
          </w:tcPr>
          <w:p w14:paraId="123E73C3">
            <w:pPr>
              <w:jc w:val="center"/>
              <w:rPr>
                <w:color w:val="auto"/>
                <w:kern w:val="0"/>
                <w:sz w:val="24"/>
              </w:rPr>
            </w:pPr>
          </w:p>
        </w:tc>
        <w:tc>
          <w:tcPr>
            <w:tcW w:w="1277" w:type="dxa"/>
            <w:noWrap w:val="0"/>
            <w:vAlign w:val="center"/>
          </w:tcPr>
          <w:p w14:paraId="0121B415">
            <w:pPr>
              <w:rPr>
                <w:color w:val="auto"/>
                <w:kern w:val="0"/>
                <w:sz w:val="24"/>
              </w:rPr>
            </w:pPr>
            <w:r>
              <w:rPr>
                <w:rFonts w:hint="eastAsia" w:cs="宋体"/>
                <w:color w:val="auto"/>
                <w:kern w:val="0"/>
                <w:sz w:val="24"/>
              </w:rPr>
              <w:t>采购预算</w:t>
            </w:r>
          </w:p>
        </w:tc>
        <w:tc>
          <w:tcPr>
            <w:tcW w:w="6429" w:type="dxa"/>
            <w:noWrap w:val="0"/>
            <w:vAlign w:val="center"/>
          </w:tcPr>
          <w:p w14:paraId="738DE119">
            <w:pPr>
              <w:rPr>
                <w:color w:val="auto"/>
                <w:kern w:val="0"/>
                <w:sz w:val="24"/>
              </w:rPr>
            </w:pPr>
            <w:r>
              <w:rPr>
                <w:rFonts w:hint="eastAsia" w:cs="宋体"/>
                <w:color w:val="auto"/>
                <w:kern w:val="0"/>
                <w:sz w:val="24"/>
              </w:rPr>
              <w:t>1</w:t>
            </w:r>
            <w:r>
              <w:rPr>
                <w:rFonts w:hint="eastAsia" w:cs="宋体"/>
                <w:color w:val="auto"/>
                <w:kern w:val="0"/>
                <w:sz w:val="24"/>
                <w:lang w:val="en-US" w:eastAsia="zh-CN"/>
              </w:rPr>
              <w:t>8</w:t>
            </w:r>
            <w:r>
              <w:rPr>
                <w:rFonts w:hint="eastAsia" w:cs="宋体"/>
                <w:color w:val="auto"/>
                <w:kern w:val="0"/>
                <w:sz w:val="24"/>
              </w:rPr>
              <w:t>万元</w:t>
            </w:r>
          </w:p>
        </w:tc>
      </w:tr>
      <w:tr w14:paraId="4BCF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16" w:type="dxa"/>
            <w:vMerge w:val="continue"/>
            <w:noWrap w:val="0"/>
            <w:vAlign w:val="center"/>
          </w:tcPr>
          <w:p w14:paraId="7BC73DA4">
            <w:pPr>
              <w:jc w:val="center"/>
              <w:rPr>
                <w:color w:val="auto"/>
                <w:kern w:val="0"/>
                <w:sz w:val="24"/>
              </w:rPr>
            </w:pPr>
          </w:p>
        </w:tc>
        <w:tc>
          <w:tcPr>
            <w:tcW w:w="1277" w:type="dxa"/>
            <w:noWrap w:val="0"/>
            <w:vAlign w:val="center"/>
          </w:tcPr>
          <w:p w14:paraId="464B0F21">
            <w:pPr>
              <w:rPr>
                <w:strike/>
                <w:color w:val="auto"/>
                <w:kern w:val="0"/>
                <w:sz w:val="24"/>
              </w:rPr>
            </w:pPr>
            <w:r>
              <w:rPr>
                <w:rFonts w:hint="eastAsia" w:cs="宋体"/>
                <w:color w:val="auto"/>
                <w:kern w:val="0"/>
                <w:sz w:val="24"/>
              </w:rPr>
              <w:t>采购人</w:t>
            </w:r>
          </w:p>
        </w:tc>
        <w:tc>
          <w:tcPr>
            <w:tcW w:w="6429" w:type="dxa"/>
            <w:noWrap w:val="0"/>
            <w:vAlign w:val="center"/>
          </w:tcPr>
          <w:p w14:paraId="5107AC30">
            <w:pPr>
              <w:rPr>
                <w:rFonts w:cs="宋体"/>
                <w:color w:val="auto"/>
                <w:kern w:val="0"/>
                <w:sz w:val="24"/>
              </w:rPr>
            </w:pPr>
            <w:r>
              <w:rPr>
                <w:rFonts w:hint="eastAsia" w:cs="宋体"/>
                <w:color w:val="auto"/>
                <w:kern w:val="0"/>
                <w:sz w:val="24"/>
              </w:rPr>
              <w:t>名称：湖北省博物馆</w:t>
            </w:r>
          </w:p>
          <w:p w14:paraId="26D6EF1C">
            <w:pPr>
              <w:rPr>
                <w:color w:val="auto"/>
                <w:kern w:val="0"/>
                <w:sz w:val="24"/>
              </w:rPr>
            </w:pPr>
            <w:r>
              <w:rPr>
                <w:rFonts w:hint="eastAsia" w:cs="宋体"/>
                <w:color w:val="auto"/>
                <w:kern w:val="0"/>
                <w:sz w:val="24"/>
              </w:rPr>
              <w:t>联系人：</w:t>
            </w:r>
            <w:r>
              <w:rPr>
                <w:rFonts w:hint="eastAsia" w:cs="宋体"/>
                <w:color w:val="auto"/>
                <w:kern w:val="0"/>
                <w:sz w:val="24"/>
                <w:lang w:eastAsia="zh-CN"/>
              </w:rPr>
              <w:t>刘辉</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3545EBF">
            <w:pPr>
              <w:rPr>
                <w:rFonts w:hint="default" w:eastAsia="宋体"/>
                <w:color w:val="auto"/>
                <w:kern w:val="0"/>
                <w:sz w:val="24"/>
                <w:lang w:val="en-US" w:eastAsia="zh-CN"/>
              </w:rPr>
            </w:pPr>
            <w:r>
              <w:rPr>
                <w:rFonts w:hint="eastAsia" w:cs="宋体"/>
                <w:color w:val="auto"/>
                <w:kern w:val="0"/>
                <w:sz w:val="24"/>
              </w:rPr>
              <w:t>联系方式：</w:t>
            </w:r>
            <w:r>
              <w:rPr>
                <w:rFonts w:hint="eastAsia" w:cs="宋体"/>
                <w:color w:val="auto"/>
                <w:kern w:val="0"/>
                <w:sz w:val="24"/>
                <w:lang w:val="en-US" w:eastAsia="zh-CN"/>
              </w:rPr>
              <w:t>15271987333</w:t>
            </w:r>
          </w:p>
          <w:p w14:paraId="3F34CAD4">
            <w:pPr>
              <w:rPr>
                <w:strike/>
                <w:color w:val="auto"/>
                <w:kern w:val="0"/>
                <w:sz w:val="24"/>
              </w:rPr>
            </w:pPr>
            <w:r>
              <w:rPr>
                <w:rFonts w:hint="eastAsia" w:cs="宋体"/>
                <w:color w:val="auto"/>
                <w:kern w:val="0"/>
                <w:sz w:val="24"/>
              </w:rPr>
              <w:t>地址：武汉市武昌区东湖路160号</w:t>
            </w:r>
          </w:p>
        </w:tc>
      </w:tr>
      <w:tr w14:paraId="2D6E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23C70609">
            <w:pPr>
              <w:jc w:val="center"/>
              <w:rPr>
                <w:color w:val="auto"/>
                <w:kern w:val="0"/>
                <w:sz w:val="24"/>
              </w:rPr>
            </w:pPr>
            <w:r>
              <w:rPr>
                <w:color w:val="auto"/>
                <w:kern w:val="0"/>
                <w:sz w:val="24"/>
              </w:rPr>
              <w:t>2.</w:t>
            </w:r>
            <w:r>
              <w:rPr>
                <w:rFonts w:hint="eastAsia"/>
                <w:color w:val="auto"/>
                <w:kern w:val="0"/>
                <w:sz w:val="24"/>
              </w:rPr>
              <w:t>1</w:t>
            </w:r>
          </w:p>
        </w:tc>
        <w:tc>
          <w:tcPr>
            <w:tcW w:w="1277" w:type="dxa"/>
            <w:noWrap w:val="0"/>
            <w:vAlign w:val="center"/>
          </w:tcPr>
          <w:p w14:paraId="18A8CED2">
            <w:pPr>
              <w:rPr>
                <w:color w:val="auto"/>
                <w:kern w:val="0"/>
                <w:sz w:val="24"/>
              </w:rPr>
            </w:pPr>
            <w:r>
              <w:rPr>
                <w:rFonts w:hint="eastAsia" w:cs="宋体"/>
                <w:color w:val="auto"/>
                <w:kern w:val="0"/>
                <w:sz w:val="24"/>
              </w:rPr>
              <w:t>供应商</w:t>
            </w:r>
          </w:p>
        </w:tc>
        <w:tc>
          <w:tcPr>
            <w:tcW w:w="6429" w:type="dxa"/>
            <w:noWrap w:val="0"/>
            <w:vAlign w:val="center"/>
          </w:tcPr>
          <w:p w14:paraId="59EC26AE">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2B39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trPr>
        <w:tc>
          <w:tcPr>
            <w:tcW w:w="816" w:type="dxa"/>
            <w:noWrap w:val="0"/>
            <w:vAlign w:val="center"/>
          </w:tcPr>
          <w:p w14:paraId="5A24C45F">
            <w:pPr>
              <w:jc w:val="center"/>
              <w:rPr>
                <w:color w:val="auto"/>
                <w:kern w:val="0"/>
                <w:sz w:val="24"/>
              </w:rPr>
            </w:pPr>
            <w:r>
              <w:rPr>
                <w:color w:val="auto"/>
                <w:kern w:val="0"/>
                <w:sz w:val="24"/>
              </w:rPr>
              <w:t>2.</w:t>
            </w:r>
            <w:r>
              <w:rPr>
                <w:rFonts w:hint="eastAsia"/>
                <w:color w:val="auto"/>
                <w:kern w:val="0"/>
                <w:sz w:val="24"/>
              </w:rPr>
              <w:t>2</w:t>
            </w:r>
          </w:p>
        </w:tc>
        <w:tc>
          <w:tcPr>
            <w:tcW w:w="1277" w:type="dxa"/>
            <w:noWrap w:val="0"/>
            <w:vAlign w:val="center"/>
          </w:tcPr>
          <w:p w14:paraId="6E6104A6">
            <w:pPr>
              <w:rPr>
                <w:color w:val="auto"/>
                <w:kern w:val="0"/>
                <w:sz w:val="24"/>
              </w:rPr>
            </w:pPr>
            <w:r>
              <w:rPr>
                <w:rFonts w:hint="eastAsia" w:cs="宋体"/>
                <w:color w:val="auto"/>
                <w:kern w:val="0"/>
                <w:sz w:val="24"/>
              </w:rPr>
              <w:t>供应商资格条件</w:t>
            </w:r>
          </w:p>
        </w:tc>
        <w:tc>
          <w:tcPr>
            <w:tcW w:w="6429" w:type="dxa"/>
            <w:noWrap w:val="0"/>
            <w:vAlign w:val="center"/>
          </w:tcPr>
          <w:p w14:paraId="7D38BE83">
            <w:pPr>
              <w:ind w:left="600" w:hanging="600" w:hangingChars="250"/>
              <w:rPr>
                <w:rFonts w:cs="宋体"/>
                <w:color w:val="auto"/>
                <w:kern w:val="0"/>
                <w:sz w:val="24"/>
              </w:rPr>
            </w:pPr>
            <w:r>
              <w:rPr>
                <w:rFonts w:hint="eastAsia" w:cs="宋体"/>
                <w:color w:val="auto"/>
                <w:kern w:val="0"/>
                <w:sz w:val="24"/>
              </w:rPr>
              <w:t>1</w:t>
            </w:r>
            <w:r>
              <w:rPr>
                <w:rFonts w:hint="eastAsia" w:cs="宋体"/>
                <w:color w:val="auto"/>
                <w:kern w:val="0"/>
                <w:sz w:val="24"/>
                <w:lang w:val="en-US" w:eastAsia="zh-CN"/>
              </w:rPr>
              <w:t>.</w:t>
            </w:r>
            <w:r>
              <w:rPr>
                <w:rFonts w:hint="eastAsia" w:cs="宋体"/>
                <w:color w:val="auto"/>
                <w:kern w:val="0"/>
                <w:sz w:val="24"/>
              </w:rPr>
              <w:t>应具备《中华人民共和国政府采购法》第二十二条第一款规定的条件。</w:t>
            </w:r>
          </w:p>
          <w:p w14:paraId="1FA48B0C">
            <w:pPr>
              <w:spacing w:line="0" w:lineRule="atLeast"/>
              <w:rPr>
                <w:rFonts w:hint="eastAsia" w:cs="宋体"/>
                <w:color w:val="auto"/>
                <w:kern w:val="0"/>
                <w:sz w:val="24"/>
                <w:lang w:eastAsia="zh-CN"/>
              </w:rPr>
            </w:pPr>
            <w:r>
              <w:rPr>
                <w:rFonts w:hint="eastAsia" w:cs="宋体"/>
                <w:color w:val="auto"/>
                <w:kern w:val="0"/>
                <w:sz w:val="24"/>
              </w:rPr>
              <w:t>2</w:t>
            </w:r>
            <w:r>
              <w:rPr>
                <w:rFonts w:hint="eastAsia" w:cs="宋体"/>
                <w:color w:val="auto"/>
                <w:kern w:val="0"/>
                <w:sz w:val="24"/>
                <w:lang w:val="en-US" w:eastAsia="zh-CN"/>
              </w:rPr>
              <w:t>.</w:t>
            </w:r>
            <w:r>
              <w:rPr>
                <w:rFonts w:hint="eastAsia" w:cs="宋体"/>
                <w:color w:val="auto"/>
                <w:kern w:val="0"/>
                <w:sz w:val="24"/>
              </w:rPr>
              <w:t>未被列入“信用中国”网站（www.creditchina.gov.cn）失信被执行人、重大税收违法案件当事人名单、政府采购严重违法失信行为记录名单。</w:t>
            </w:r>
          </w:p>
          <w:p w14:paraId="436F91F4">
            <w:pPr>
              <w:spacing w:line="0" w:lineRule="atLeast"/>
              <w:rPr>
                <w:rFonts w:hint="eastAsia" w:cs="宋体"/>
                <w:color w:val="auto"/>
                <w:kern w:val="0"/>
                <w:sz w:val="24"/>
                <w:lang w:val="en-US" w:eastAsia="zh-CN"/>
              </w:rPr>
            </w:pPr>
            <w:r>
              <w:rPr>
                <w:rFonts w:hint="eastAsia" w:cs="宋体"/>
                <w:color w:val="auto"/>
                <w:kern w:val="0"/>
                <w:sz w:val="24"/>
                <w:lang w:val="en-US" w:eastAsia="zh-CN"/>
              </w:rPr>
              <w:t>3.供应商在本地有办公场所，提供租赁合同或房产证明。</w:t>
            </w:r>
          </w:p>
          <w:p w14:paraId="04389A9E">
            <w:pPr>
              <w:spacing w:line="0" w:lineRule="atLeast"/>
              <w:rPr>
                <w:rFonts w:hint="default" w:cs="宋体"/>
                <w:color w:val="auto"/>
                <w:kern w:val="0"/>
                <w:sz w:val="24"/>
                <w:lang w:val="en-US" w:eastAsia="zh-CN"/>
              </w:rPr>
            </w:pPr>
            <w:r>
              <w:rPr>
                <w:rFonts w:hint="eastAsia" w:cs="宋体"/>
                <w:color w:val="auto"/>
                <w:kern w:val="0"/>
                <w:sz w:val="24"/>
                <w:lang w:val="en-US" w:eastAsia="zh-CN"/>
              </w:rPr>
              <w:t>4.供应商通过质量管理体系认证、环境管理体系认证、 职业健康体系认证的， 且在有效期内。</w:t>
            </w:r>
          </w:p>
          <w:p w14:paraId="64CD0F4D">
            <w:pPr>
              <w:spacing w:line="0" w:lineRule="atLeast"/>
              <w:rPr>
                <w:rFonts w:hint="eastAsia" w:cs="宋体"/>
                <w:color w:val="auto"/>
                <w:kern w:val="0"/>
                <w:sz w:val="24"/>
                <w:lang w:val="en-US" w:eastAsia="zh-CN"/>
              </w:rPr>
            </w:pPr>
            <w:r>
              <w:rPr>
                <w:rFonts w:hint="eastAsia" w:cs="宋体"/>
                <w:color w:val="auto"/>
                <w:kern w:val="0"/>
                <w:sz w:val="24"/>
                <w:lang w:val="en-US" w:eastAsia="zh-CN"/>
              </w:rPr>
              <w:t>5.供应商拟派项目负责人须为一级注册消防工程师，提供拟派项目负责人注册证、身份证、劳动合同及近三个月社保证明材料（且社保证明材料所记载的必须是本单位员工）。</w:t>
            </w:r>
          </w:p>
          <w:p w14:paraId="49F695ED">
            <w:pPr>
              <w:spacing w:line="0" w:lineRule="atLeast"/>
              <w:rPr>
                <w:rFonts w:cs="宋体"/>
                <w:color w:val="auto"/>
                <w:kern w:val="0"/>
                <w:sz w:val="24"/>
              </w:rPr>
            </w:pPr>
            <w:r>
              <w:rPr>
                <w:rFonts w:hint="eastAsia" w:cs="宋体"/>
                <w:color w:val="auto"/>
                <w:kern w:val="0"/>
                <w:sz w:val="24"/>
                <w:lang w:val="en-US" w:eastAsia="zh-CN"/>
              </w:rPr>
              <w:t>6.投标单位一级注册消防工程师不少于4人，四级（中级）消防设施操作员不低于7人。</w:t>
            </w:r>
            <w:bookmarkStart w:id="0" w:name="_GoBack"/>
            <w:bookmarkEnd w:id="0"/>
          </w:p>
        </w:tc>
      </w:tr>
      <w:tr w14:paraId="5701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noWrap w:val="0"/>
            <w:vAlign w:val="center"/>
          </w:tcPr>
          <w:p w14:paraId="2F304AA4">
            <w:pPr>
              <w:jc w:val="center"/>
              <w:rPr>
                <w:color w:val="auto"/>
                <w:kern w:val="0"/>
                <w:sz w:val="24"/>
              </w:rPr>
            </w:pPr>
            <w:r>
              <w:rPr>
                <w:rFonts w:hint="eastAsia"/>
                <w:color w:val="auto"/>
                <w:kern w:val="0"/>
                <w:sz w:val="24"/>
              </w:rPr>
              <w:t>3</w:t>
            </w:r>
          </w:p>
        </w:tc>
        <w:tc>
          <w:tcPr>
            <w:tcW w:w="1277" w:type="dxa"/>
            <w:noWrap w:val="0"/>
            <w:vAlign w:val="center"/>
          </w:tcPr>
          <w:p w14:paraId="3FE55CB0">
            <w:pPr>
              <w:rPr>
                <w:color w:val="auto"/>
                <w:kern w:val="0"/>
                <w:sz w:val="24"/>
                <w:highlight w:val="none"/>
              </w:rPr>
            </w:pPr>
            <w:r>
              <w:rPr>
                <w:rFonts w:hint="eastAsia"/>
                <w:bCs/>
                <w:color w:val="auto"/>
                <w:sz w:val="24"/>
                <w:highlight w:val="none"/>
              </w:rPr>
              <w:t>其他资格证明文件及资料</w:t>
            </w:r>
          </w:p>
        </w:tc>
        <w:tc>
          <w:tcPr>
            <w:tcW w:w="6429" w:type="dxa"/>
            <w:noWrap w:val="0"/>
            <w:vAlign w:val="center"/>
          </w:tcPr>
          <w:p w14:paraId="7C3BC251">
            <w:pPr>
              <w:numPr>
                <w:ilvl w:val="0"/>
                <w:numId w:val="3"/>
              </w:numPr>
              <w:rPr>
                <w:rFonts w:hint="default"/>
                <w:color w:val="auto"/>
                <w:kern w:val="0"/>
                <w:sz w:val="24"/>
                <w:highlight w:val="none"/>
                <w:lang w:val="en-US" w:eastAsia="zh-CN"/>
              </w:rPr>
            </w:pPr>
            <w:r>
              <w:rPr>
                <w:rFonts w:hint="eastAsia"/>
                <w:color w:val="auto"/>
                <w:kern w:val="0"/>
                <w:sz w:val="24"/>
                <w:highlight w:val="none"/>
                <w:lang w:val="en-US" w:eastAsia="zh-CN"/>
              </w:rPr>
              <w:t>在社会消防技术服务信息系统（https://shhxf.119.gov.cn/）备案，且近三年有类似业绩不少于3个</w:t>
            </w:r>
          </w:p>
          <w:p w14:paraId="4AFA5ED4">
            <w:pPr>
              <w:rPr>
                <w:rFonts w:hint="default" w:eastAsia="宋体"/>
                <w:color w:val="auto"/>
                <w:kern w:val="0"/>
                <w:sz w:val="24"/>
                <w:highlight w:val="none"/>
                <w:lang w:val="en-US" w:eastAsia="zh-CN"/>
              </w:rPr>
            </w:pPr>
            <w:r>
              <w:rPr>
                <w:rFonts w:hint="eastAsia"/>
                <w:color w:val="auto"/>
                <w:kern w:val="0"/>
                <w:sz w:val="24"/>
                <w:highlight w:val="none"/>
                <w:lang w:val="en-US" w:eastAsia="zh-CN"/>
              </w:rPr>
              <w:t>2.近三年承接面积不低于15万平方的同类服务项目不少于2个，提供合同供核查。</w:t>
            </w:r>
          </w:p>
        </w:tc>
      </w:tr>
      <w:tr w14:paraId="28FD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noWrap w:val="0"/>
            <w:vAlign w:val="center"/>
          </w:tcPr>
          <w:p w14:paraId="15360867">
            <w:pPr>
              <w:jc w:val="center"/>
              <w:rPr>
                <w:color w:val="auto"/>
                <w:kern w:val="0"/>
                <w:sz w:val="24"/>
              </w:rPr>
            </w:pPr>
            <w:r>
              <w:rPr>
                <w:rFonts w:hint="eastAsia"/>
                <w:color w:val="auto"/>
                <w:kern w:val="0"/>
                <w:sz w:val="24"/>
              </w:rPr>
              <w:t>4</w:t>
            </w:r>
          </w:p>
        </w:tc>
        <w:tc>
          <w:tcPr>
            <w:tcW w:w="1277" w:type="dxa"/>
            <w:noWrap w:val="0"/>
            <w:vAlign w:val="center"/>
          </w:tcPr>
          <w:p w14:paraId="634FD2A2">
            <w:pPr>
              <w:rPr>
                <w:color w:val="auto"/>
                <w:kern w:val="0"/>
                <w:sz w:val="24"/>
              </w:rPr>
            </w:pPr>
            <w:r>
              <w:rPr>
                <w:rFonts w:hint="eastAsia" w:cs="宋体"/>
                <w:color w:val="auto"/>
                <w:kern w:val="0"/>
                <w:sz w:val="24"/>
              </w:rPr>
              <w:t>响应文件有效期</w:t>
            </w:r>
          </w:p>
        </w:tc>
        <w:tc>
          <w:tcPr>
            <w:tcW w:w="6429" w:type="dxa"/>
            <w:noWrap w:val="0"/>
            <w:vAlign w:val="center"/>
          </w:tcPr>
          <w:p w14:paraId="18C80733">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日历内保持有效。</w:t>
            </w:r>
          </w:p>
        </w:tc>
      </w:tr>
      <w:tr w14:paraId="2F34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noWrap w:val="0"/>
            <w:vAlign w:val="center"/>
          </w:tcPr>
          <w:p w14:paraId="42F18242">
            <w:pPr>
              <w:jc w:val="center"/>
              <w:rPr>
                <w:color w:val="auto"/>
                <w:kern w:val="0"/>
                <w:sz w:val="24"/>
              </w:rPr>
            </w:pPr>
            <w:r>
              <w:rPr>
                <w:rFonts w:hint="eastAsia"/>
                <w:color w:val="auto"/>
                <w:kern w:val="0"/>
                <w:sz w:val="24"/>
              </w:rPr>
              <w:t>5</w:t>
            </w:r>
          </w:p>
        </w:tc>
        <w:tc>
          <w:tcPr>
            <w:tcW w:w="1277" w:type="dxa"/>
            <w:noWrap w:val="0"/>
            <w:vAlign w:val="center"/>
          </w:tcPr>
          <w:p w14:paraId="3AE634D2">
            <w:pPr>
              <w:rPr>
                <w:color w:val="auto"/>
                <w:kern w:val="0"/>
                <w:sz w:val="24"/>
              </w:rPr>
            </w:pPr>
            <w:r>
              <w:rPr>
                <w:rFonts w:hint="eastAsia" w:cs="宋体"/>
                <w:color w:val="auto"/>
                <w:kern w:val="0"/>
                <w:sz w:val="24"/>
              </w:rPr>
              <w:t>报价方式</w:t>
            </w:r>
          </w:p>
        </w:tc>
        <w:tc>
          <w:tcPr>
            <w:tcW w:w="6429" w:type="dxa"/>
            <w:noWrap w:val="0"/>
            <w:vAlign w:val="center"/>
          </w:tcPr>
          <w:p w14:paraId="4323FDBA">
            <w:pPr>
              <w:rPr>
                <w:color w:val="auto"/>
                <w:kern w:val="0"/>
                <w:sz w:val="24"/>
              </w:rPr>
            </w:pPr>
            <w:r>
              <w:rPr>
                <w:rFonts w:hint="eastAsia" w:cs="宋体"/>
                <w:color w:val="auto"/>
                <w:kern w:val="0"/>
                <w:sz w:val="24"/>
              </w:rPr>
              <w:t>按综合报价方式，即交钥匙工程。</w:t>
            </w:r>
          </w:p>
        </w:tc>
      </w:tr>
      <w:tr w14:paraId="4E16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1B44CC0D">
            <w:pPr>
              <w:jc w:val="center"/>
              <w:rPr>
                <w:color w:val="auto"/>
                <w:kern w:val="0"/>
                <w:sz w:val="24"/>
              </w:rPr>
            </w:pPr>
            <w:r>
              <w:rPr>
                <w:rFonts w:hint="eastAsia"/>
                <w:color w:val="auto"/>
                <w:kern w:val="0"/>
                <w:sz w:val="24"/>
              </w:rPr>
              <w:t>6</w:t>
            </w:r>
          </w:p>
        </w:tc>
        <w:tc>
          <w:tcPr>
            <w:tcW w:w="1277" w:type="dxa"/>
            <w:noWrap w:val="0"/>
            <w:vAlign w:val="center"/>
          </w:tcPr>
          <w:p w14:paraId="3A0838E0">
            <w:pPr>
              <w:pStyle w:val="10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noWrap w:val="0"/>
            <w:vAlign w:val="center"/>
          </w:tcPr>
          <w:p w14:paraId="0CD57930">
            <w:pPr>
              <w:pStyle w:val="10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57845EA7">
            <w:pPr>
              <w:pStyle w:val="105"/>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502441EA">
            <w:pPr>
              <w:pStyle w:val="10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2A07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76585DC4">
            <w:pPr>
              <w:jc w:val="center"/>
              <w:rPr>
                <w:color w:val="auto"/>
                <w:kern w:val="0"/>
                <w:sz w:val="24"/>
              </w:rPr>
            </w:pPr>
            <w:r>
              <w:rPr>
                <w:rFonts w:hint="eastAsia"/>
                <w:color w:val="auto"/>
                <w:kern w:val="0"/>
                <w:sz w:val="24"/>
              </w:rPr>
              <w:t>7</w:t>
            </w:r>
          </w:p>
        </w:tc>
        <w:tc>
          <w:tcPr>
            <w:tcW w:w="1277" w:type="dxa"/>
            <w:noWrap w:val="0"/>
            <w:vAlign w:val="center"/>
          </w:tcPr>
          <w:p w14:paraId="59AAB1E6">
            <w:pPr>
              <w:pStyle w:val="105"/>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noWrap w:val="0"/>
            <w:vAlign w:val="center"/>
          </w:tcPr>
          <w:p w14:paraId="2FEAB9B0">
            <w:pPr>
              <w:pStyle w:val="105"/>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hint="eastAsia" w:ascii="Times New Roman" w:hAnsi="Times New Roman" w:cs="Times New Roman"/>
                <w:color w:val="auto"/>
                <w:sz w:val="24"/>
                <w:szCs w:val="24"/>
                <w:lang w:val="en-US" w:eastAsia="zh-CN"/>
              </w:rPr>
              <w:t>2025</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9</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26</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3B5A0A5A">
            <w:pPr>
              <w:pStyle w:val="105"/>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24AB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5BFDCC63">
            <w:pPr>
              <w:jc w:val="center"/>
              <w:rPr>
                <w:color w:val="auto"/>
                <w:kern w:val="0"/>
                <w:sz w:val="24"/>
              </w:rPr>
            </w:pPr>
            <w:r>
              <w:rPr>
                <w:rFonts w:hint="eastAsia"/>
                <w:color w:val="auto"/>
                <w:kern w:val="0"/>
                <w:sz w:val="24"/>
              </w:rPr>
              <w:t>8</w:t>
            </w:r>
          </w:p>
        </w:tc>
        <w:tc>
          <w:tcPr>
            <w:tcW w:w="1277" w:type="dxa"/>
            <w:noWrap w:val="0"/>
            <w:vAlign w:val="center"/>
          </w:tcPr>
          <w:p w14:paraId="78947E1B">
            <w:pPr>
              <w:pStyle w:val="105"/>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noWrap w:val="0"/>
            <w:vAlign w:val="center"/>
          </w:tcPr>
          <w:p w14:paraId="235066F1">
            <w:pPr>
              <w:pStyle w:val="105"/>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hint="eastAsia" w:ascii="Times New Roman" w:hAnsi="Times New Roman" w:cs="Times New Roman"/>
                <w:color w:val="auto"/>
                <w:sz w:val="24"/>
                <w:szCs w:val="24"/>
                <w:lang w:val="en-US" w:eastAsia="zh-CN"/>
              </w:rPr>
              <w:t>2025</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9</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26</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30CA889A">
            <w:pPr>
              <w:pStyle w:val="105"/>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D04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noWrap w:val="0"/>
            <w:vAlign w:val="center"/>
          </w:tcPr>
          <w:p w14:paraId="25A85CAA">
            <w:pPr>
              <w:jc w:val="center"/>
              <w:rPr>
                <w:color w:val="auto"/>
                <w:kern w:val="0"/>
                <w:sz w:val="24"/>
              </w:rPr>
            </w:pPr>
            <w:r>
              <w:rPr>
                <w:rFonts w:hint="eastAsia"/>
                <w:color w:val="auto"/>
                <w:kern w:val="0"/>
                <w:sz w:val="24"/>
              </w:rPr>
              <w:t>9</w:t>
            </w:r>
          </w:p>
        </w:tc>
        <w:tc>
          <w:tcPr>
            <w:tcW w:w="1277" w:type="dxa"/>
            <w:noWrap w:val="0"/>
            <w:vAlign w:val="center"/>
          </w:tcPr>
          <w:p w14:paraId="65E3C1B1">
            <w:pPr>
              <w:pStyle w:val="10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noWrap w:val="0"/>
            <w:vAlign w:val="center"/>
          </w:tcPr>
          <w:p w14:paraId="561A2945">
            <w:pPr>
              <w:pStyle w:val="105"/>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6B03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noWrap w:val="0"/>
            <w:vAlign w:val="center"/>
          </w:tcPr>
          <w:p w14:paraId="1AE3B75E">
            <w:pPr>
              <w:jc w:val="center"/>
              <w:rPr>
                <w:color w:val="auto"/>
                <w:kern w:val="0"/>
                <w:sz w:val="24"/>
              </w:rPr>
            </w:pPr>
            <w:r>
              <w:rPr>
                <w:rFonts w:hint="eastAsia"/>
                <w:color w:val="auto"/>
                <w:kern w:val="0"/>
                <w:sz w:val="24"/>
              </w:rPr>
              <w:t>10</w:t>
            </w:r>
          </w:p>
        </w:tc>
        <w:tc>
          <w:tcPr>
            <w:tcW w:w="1277" w:type="dxa"/>
            <w:noWrap w:val="0"/>
            <w:vAlign w:val="center"/>
          </w:tcPr>
          <w:p w14:paraId="7939D873">
            <w:pPr>
              <w:pStyle w:val="105"/>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noWrap w:val="0"/>
            <w:vAlign w:val="center"/>
          </w:tcPr>
          <w:p w14:paraId="318F769A">
            <w:pPr>
              <w:pStyle w:val="105"/>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774F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noWrap w:val="0"/>
            <w:vAlign w:val="center"/>
          </w:tcPr>
          <w:p w14:paraId="33FEE3DB">
            <w:pPr>
              <w:jc w:val="center"/>
              <w:rPr>
                <w:color w:val="auto"/>
                <w:kern w:val="0"/>
                <w:sz w:val="24"/>
              </w:rPr>
            </w:pPr>
            <w:r>
              <w:rPr>
                <w:rFonts w:hint="eastAsia"/>
                <w:color w:val="auto"/>
                <w:kern w:val="0"/>
                <w:sz w:val="24"/>
              </w:rPr>
              <w:t>11</w:t>
            </w:r>
          </w:p>
        </w:tc>
        <w:tc>
          <w:tcPr>
            <w:tcW w:w="1277" w:type="dxa"/>
            <w:noWrap w:val="0"/>
            <w:vAlign w:val="center"/>
          </w:tcPr>
          <w:p w14:paraId="22060A51">
            <w:pPr>
              <w:pStyle w:val="105"/>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noWrap w:val="0"/>
            <w:vAlign w:val="center"/>
          </w:tcPr>
          <w:p w14:paraId="2F85AEB2">
            <w:pPr>
              <w:pStyle w:val="105"/>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167BE99D">
      <w:pPr>
        <w:widowControl/>
        <w:jc w:val="center"/>
        <w:rPr>
          <w:rFonts w:eastAsia="仿宋_GB2312"/>
          <w:bCs/>
          <w:color w:val="auto"/>
          <w:sz w:val="24"/>
        </w:rPr>
      </w:pPr>
      <w:r>
        <w:rPr>
          <w:rFonts w:hint="eastAsia" w:cs="宋体"/>
          <w:color w:val="auto"/>
          <w:sz w:val="30"/>
          <w:szCs w:val="30"/>
        </w:rPr>
        <w:t>二、供应商须知</w:t>
      </w:r>
    </w:p>
    <w:p w14:paraId="44DF23EE">
      <w:pPr>
        <w:spacing w:line="440" w:lineRule="exact"/>
        <w:rPr>
          <w:rFonts w:eastAsia="黑体"/>
          <w:bCs/>
          <w:color w:val="auto"/>
          <w:sz w:val="24"/>
        </w:rPr>
      </w:pPr>
    </w:p>
    <w:p w14:paraId="074A7E9C">
      <w:pPr>
        <w:spacing w:line="440" w:lineRule="exact"/>
        <w:rPr>
          <w:rFonts w:eastAsia="黑体"/>
          <w:bCs/>
          <w:color w:val="auto"/>
          <w:sz w:val="24"/>
        </w:rPr>
      </w:pPr>
      <w:r>
        <w:rPr>
          <w:rFonts w:eastAsia="黑体"/>
          <w:bCs/>
          <w:color w:val="auto"/>
          <w:sz w:val="24"/>
        </w:rPr>
        <w:t>一、总　则</w:t>
      </w:r>
    </w:p>
    <w:p w14:paraId="06FDE022">
      <w:pPr>
        <w:spacing w:line="440" w:lineRule="exact"/>
        <w:ind w:left="420" w:hanging="420"/>
        <w:rPr>
          <w:bCs/>
          <w:color w:val="auto"/>
          <w:sz w:val="24"/>
        </w:rPr>
      </w:pPr>
      <w:r>
        <w:rPr>
          <w:rFonts w:hint="eastAsia"/>
          <w:bCs/>
          <w:color w:val="auto"/>
          <w:sz w:val="24"/>
        </w:rPr>
        <w:t>1.适用范围</w:t>
      </w:r>
    </w:p>
    <w:p w14:paraId="572D2E80">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25215241">
      <w:pPr>
        <w:spacing w:line="440" w:lineRule="exact"/>
        <w:ind w:left="420" w:hanging="420"/>
        <w:rPr>
          <w:bCs/>
          <w:color w:val="auto"/>
          <w:sz w:val="24"/>
        </w:rPr>
      </w:pPr>
      <w:r>
        <w:rPr>
          <w:rFonts w:hint="eastAsia"/>
          <w:bCs/>
          <w:color w:val="auto"/>
          <w:sz w:val="24"/>
        </w:rPr>
        <w:t>2.定义</w:t>
      </w:r>
    </w:p>
    <w:p w14:paraId="333D291D">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721E1973">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50795C18">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4CCDACBA">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06B00713">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3B60AC5A">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328C4A20">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633F4A13">
      <w:pPr>
        <w:spacing w:line="440" w:lineRule="exact"/>
        <w:ind w:left="420" w:hanging="420"/>
        <w:rPr>
          <w:bCs/>
          <w:color w:val="auto"/>
          <w:sz w:val="24"/>
        </w:rPr>
      </w:pPr>
      <w:r>
        <w:rPr>
          <w:rFonts w:hint="eastAsia"/>
          <w:bCs/>
          <w:color w:val="auto"/>
          <w:sz w:val="24"/>
        </w:rPr>
        <w:t>4. 费用</w:t>
      </w:r>
    </w:p>
    <w:p w14:paraId="047448DA">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575DEEB8">
      <w:pPr>
        <w:spacing w:line="440" w:lineRule="exact"/>
        <w:ind w:left="420" w:hanging="420"/>
        <w:rPr>
          <w:bCs/>
          <w:color w:val="auto"/>
          <w:sz w:val="24"/>
          <w:highlight w:val="none"/>
        </w:rPr>
      </w:pPr>
      <w:r>
        <w:rPr>
          <w:rFonts w:hint="eastAsia"/>
          <w:bCs/>
          <w:color w:val="auto"/>
          <w:sz w:val="24"/>
          <w:highlight w:val="none"/>
        </w:rPr>
        <w:t>4.2采购机构不向成交供应商收取服务费</w:t>
      </w:r>
      <w:r>
        <w:rPr>
          <w:bCs/>
          <w:color w:val="auto"/>
          <w:sz w:val="24"/>
          <w:highlight w:val="none"/>
        </w:rPr>
        <w:t>。</w:t>
      </w:r>
    </w:p>
    <w:p w14:paraId="5C62C52E">
      <w:pPr>
        <w:spacing w:line="440" w:lineRule="exact"/>
        <w:ind w:left="420" w:hanging="420"/>
        <w:rPr>
          <w:color w:val="auto"/>
          <w:sz w:val="24"/>
        </w:rPr>
      </w:pPr>
      <w:r>
        <w:rPr>
          <w:color w:val="auto"/>
          <w:sz w:val="24"/>
        </w:rPr>
        <w:t xml:space="preserve">5. </w:t>
      </w:r>
      <w:r>
        <w:rPr>
          <w:rFonts w:hint="eastAsia" w:cs="宋体"/>
          <w:color w:val="auto"/>
          <w:sz w:val="24"/>
        </w:rPr>
        <w:t>保密</w:t>
      </w:r>
    </w:p>
    <w:p w14:paraId="41EFCADC">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0F02559F">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433E4D28">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10653463">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6B1CA37">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3422D825">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8C17A45">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5780A5E3">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23820438">
      <w:pPr>
        <w:spacing w:line="440" w:lineRule="exact"/>
        <w:ind w:left="420" w:hanging="420"/>
        <w:rPr>
          <w:bCs/>
          <w:color w:val="auto"/>
          <w:sz w:val="24"/>
        </w:rPr>
      </w:pPr>
    </w:p>
    <w:p w14:paraId="16C26EEA">
      <w:pPr>
        <w:spacing w:line="440" w:lineRule="exact"/>
        <w:rPr>
          <w:rFonts w:eastAsia="黑体"/>
          <w:bCs/>
          <w:color w:val="auto"/>
          <w:sz w:val="24"/>
        </w:rPr>
      </w:pPr>
      <w:r>
        <w:rPr>
          <w:rFonts w:eastAsia="黑体"/>
          <w:bCs/>
          <w:color w:val="auto"/>
          <w:sz w:val="24"/>
        </w:rPr>
        <w:t>二、响应文件的编制</w:t>
      </w:r>
    </w:p>
    <w:p w14:paraId="43D6D4FD">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481E2AF4">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0E2262BE">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79A7F160">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4FFF7F21">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3D712D39">
      <w:pPr>
        <w:spacing w:line="440" w:lineRule="exact"/>
        <w:ind w:left="363" w:leftChars="1" w:hanging="360" w:hangingChars="150"/>
        <w:rPr>
          <w:bCs/>
          <w:color w:val="auto"/>
          <w:sz w:val="24"/>
        </w:rPr>
      </w:pPr>
      <w:r>
        <w:rPr>
          <w:rFonts w:hint="eastAsia"/>
          <w:bCs/>
          <w:color w:val="auto"/>
          <w:sz w:val="24"/>
        </w:rPr>
        <w:t>8.5响应文件的组成</w:t>
      </w:r>
    </w:p>
    <w:p w14:paraId="6807D1C3">
      <w:pPr>
        <w:spacing w:line="440" w:lineRule="exact"/>
        <w:ind w:left="364" w:leftChars="130"/>
        <w:rPr>
          <w:bCs/>
          <w:color w:val="auto"/>
          <w:sz w:val="24"/>
        </w:rPr>
      </w:pPr>
      <w:r>
        <w:rPr>
          <w:rFonts w:hint="eastAsia"/>
          <w:bCs/>
          <w:color w:val="auto"/>
          <w:sz w:val="24"/>
        </w:rPr>
        <w:t>不限于以下内容，如未提供，谈判小组有权拒绝其响应文件：</w:t>
      </w:r>
    </w:p>
    <w:p w14:paraId="245ECDC9">
      <w:pPr>
        <w:spacing w:line="440" w:lineRule="exact"/>
        <w:ind w:left="363" w:leftChars="1" w:hanging="360" w:hangingChars="150"/>
        <w:rPr>
          <w:bCs/>
          <w:color w:val="auto"/>
          <w:sz w:val="24"/>
        </w:rPr>
      </w:pPr>
      <w:r>
        <w:rPr>
          <w:rFonts w:hint="eastAsia"/>
          <w:bCs/>
          <w:color w:val="auto"/>
          <w:sz w:val="24"/>
        </w:rPr>
        <w:t>1）谈判书(附件1)；</w:t>
      </w:r>
    </w:p>
    <w:p w14:paraId="419AC63F">
      <w:pPr>
        <w:spacing w:line="440" w:lineRule="exact"/>
        <w:ind w:left="363" w:leftChars="1" w:hanging="360" w:hangingChars="150"/>
        <w:rPr>
          <w:bCs/>
          <w:color w:val="auto"/>
          <w:sz w:val="24"/>
        </w:rPr>
      </w:pPr>
      <w:r>
        <w:rPr>
          <w:rFonts w:hint="eastAsia"/>
          <w:bCs/>
          <w:color w:val="auto"/>
          <w:sz w:val="24"/>
        </w:rPr>
        <w:t>2）报价组成情况表(附件2)；</w:t>
      </w:r>
    </w:p>
    <w:p w14:paraId="4FAA45D5">
      <w:pPr>
        <w:spacing w:line="440" w:lineRule="exact"/>
        <w:ind w:left="363" w:leftChars="1" w:hanging="360" w:hangingChars="150"/>
        <w:rPr>
          <w:bCs/>
          <w:color w:val="auto"/>
          <w:sz w:val="24"/>
        </w:rPr>
      </w:pPr>
      <w:r>
        <w:rPr>
          <w:rFonts w:hint="eastAsia"/>
          <w:bCs/>
          <w:color w:val="auto"/>
          <w:sz w:val="24"/>
        </w:rPr>
        <w:t>3）货物（服务）清单(附件3)；</w:t>
      </w:r>
    </w:p>
    <w:p w14:paraId="10A4D9B8">
      <w:pPr>
        <w:spacing w:line="440" w:lineRule="exact"/>
        <w:ind w:left="363" w:leftChars="1" w:hanging="360" w:hangingChars="150"/>
        <w:rPr>
          <w:bCs/>
          <w:color w:val="auto"/>
          <w:sz w:val="24"/>
        </w:rPr>
      </w:pPr>
      <w:r>
        <w:rPr>
          <w:rFonts w:hint="eastAsia"/>
          <w:bCs/>
          <w:color w:val="auto"/>
          <w:sz w:val="24"/>
        </w:rPr>
        <w:t>4）资格性符合性检查对照表(附件4)；</w:t>
      </w:r>
    </w:p>
    <w:p w14:paraId="6053A8DF">
      <w:pPr>
        <w:spacing w:line="440" w:lineRule="exact"/>
        <w:ind w:left="363" w:leftChars="1" w:hanging="360" w:hangingChars="150"/>
        <w:rPr>
          <w:bCs/>
          <w:color w:val="auto"/>
          <w:sz w:val="24"/>
        </w:rPr>
      </w:pPr>
      <w:r>
        <w:rPr>
          <w:rFonts w:hint="eastAsia"/>
          <w:bCs/>
          <w:color w:val="auto"/>
          <w:sz w:val="24"/>
        </w:rPr>
        <w:t>5）技术响应、偏离情况说明表(附件5)；</w:t>
      </w:r>
    </w:p>
    <w:p w14:paraId="4D419D5C">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4EA29B7B">
      <w:pPr>
        <w:spacing w:line="440" w:lineRule="exact"/>
        <w:ind w:left="363" w:leftChars="1" w:hanging="360" w:hangingChars="150"/>
        <w:rPr>
          <w:bCs/>
          <w:color w:val="auto"/>
          <w:sz w:val="24"/>
        </w:rPr>
      </w:pPr>
      <w:r>
        <w:rPr>
          <w:rFonts w:hint="eastAsia"/>
          <w:bCs/>
          <w:color w:val="auto"/>
          <w:sz w:val="24"/>
        </w:rPr>
        <w:t>7）法人（负责人）代表授权书(附件7)；</w:t>
      </w:r>
    </w:p>
    <w:p w14:paraId="335EE845">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0D269BE0">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4D220AFA">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0B354F83">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5635C9A8">
      <w:pPr>
        <w:spacing w:line="440" w:lineRule="exact"/>
        <w:rPr>
          <w:bCs/>
          <w:color w:val="auto"/>
          <w:sz w:val="24"/>
        </w:rPr>
      </w:pPr>
    </w:p>
    <w:p w14:paraId="5A7FAF1B">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7C83C800">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5E979925">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1E4B1D5">
      <w:pPr>
        <w:spacing w:line="440" w:lineRule="exact"/>
        <w:outlineLvl w:val="0"/>
        <w:rPr>
          <w:color w:val="auto"/>
          <w:sz w:val="24"/>
        </w:rPr>
      </w:pPr>
    </w:p>
    <w:p w14:paraId="6351E738">
      <w:pPr>
        <w:spacing w:line="440" w:lineRule="exact"/>
        <w:outlineLvl w:val="0"/>
        <w:rPr>
          <w:rFonts w:eastAsia="黑体"/>
          <w:color w:val="auto"/>
          <w:sz w:val="24"/>
        </w:rPr>
      </w:pPr>
      <w:r>
        <w:rPr>
          <w:rFonts w:eastAsia="黑体"/>
          <w:color w:val="auto"/>
          <w:sz w:val="24"/>
        </w:rPr>
        <w:t>四、报价要求</w:t>
      </w:r>
    </w:p>
    <w:p w14:paraId="2809A94A">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1AEF3CB3">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3D69256B">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4CE7819">
      <w:pPr>
        <w:spacing w:line="440" w:lineRule="exact"/>
        <w:ind w:left="420" w:hanging="420"/>
        <w:rPr>
          <w:bCs/>
          <w:color w:val="auto"/>
          <w:sz w:val="24"/>
        </w:rPr>
      </w:pPr>
    </w:p>
    <w:p w14:paraId="7FB4CFEA">
      <w:pPr>
        <w:spacing w:line="440" w:lineRule="exact"/>
        <w:ind w:left="420" w:hanging="420"/>
        <w:rPr>
          <w:rFonts w:eastAsia="黑体"/>
          <w:bCs/>
          <w:color w:val="auto"/>
          <w:sz w:val="24"/>
        </w:rPr>
      </w:pPr>
      <w:r>
        <w:rPr>
          <w:rFonts w:eastAsia="黑体"/>
          <w:bCs/>
          <w:color w:val="auto"/>
          <w:sz w:val="24"/>
        </w:rPr>
        <w:t>五、响应文件的份数、封装和递交</w:t>
      </w:r>
    </w:p>
    <w:p w14:paraId="28686420">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357EB061">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6C87FD69">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0F2339E8">
      <w:pPr>
        <w:spacing w:line="440" w:lineRule="exact"/>
        <w:ind w:left="401"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67E5C231">
      <w:pPr>
        <w:spacing w:line="440" w:lineRule="exact"/>
        <w:rPr>
          <w:bCs/>
          <w:color w:val="auto"/>
          <w:sz w:val="24"/>
        </w:rPr>
      </w:pPr>
    </w:p>
    <w:p w14:paraId="4EB12E9F">
      <w:pPr>
        <w:spacing w:line="440" w:lineRule="exact"/>
        <w:rPr>
          <w:rFonts w:eastAsia="黑体"/>
          <w:bCs/>
          <w:color w:val="auto"/>
          <w:sz w:val="24"/>
        </w:rPr>
      </w:pPr>
      <w:r>
        <w:rPr>
          <w:rFonts w:eastAsia="黑体"/>
          <w:bCs/>
          <w:color w:val="auto"/>
          <w:sz w:val="24"/>
        </w:rPr>
        <w:t>六、谈判小组的组成</w:t>
      </w:r>
    </w:p>
    <w:p w14:paraId="68AA08BA">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374AD0FE">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7EBA1263">
      <w:pPr>
        <w:spacing w:line="440" w:lineRule="exact"/>
        <w:rPr>
          <w:bCs/>
          <w:color w:val="auto"/>
          <w:sz w:val="24"/>
        </w:rPr>
      </w:pPr>
    </w:p>
    <w:p w14:paraId="5AF9DC2C">
      <w:pPr>
        <w:spacing w:line="440" w:lineRule="exact"/>
        <w:rPr>
          <w:rFonts w:eastAsia="黑体"/>
          <w:bCs/>
          <w:color w:val="auto"/>
          <w:sz w:val="24"/>
        </w:rPr>
      </w:pPr>
      <w:r>
        <w:rPr>
          <w:rFonts w:eastAsia="黑体"/>
          <w:bCs/>
          <w:color w:val="auto"/>
          <w:sz w:val="24"/>
        </w:rPr>
        <w:t>七、谈判的步骤</w:t>
      </w:r>
    </w:p>
    <w:p w14:paraId="2C307D76">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1E82A936">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075B134B">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67E0ECBD">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6AC0BF62">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37B74F7A">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1ABA81F0">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1A7969CB">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55D1A10A">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6404019B">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33A9349C">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722B61C3">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163C81D4">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791F72F">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4A79CF06">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29F22543">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7CB039F4">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2C2756C2">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338C59A0">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33F56AAE">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22D149CE">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2B99BD0E">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4C6BEA4B">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32362D30">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4D01DD5">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35A6A04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7361C7C3">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30D74475">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0CEF534F">
      <w:pPr>
        <w:spacing w:line="440" w:lineRule="exact"/>
        <w:rPr>
          <w:rFonts w:eastAsia="黑体"/>
          <w:color w:val="auto"/>
          <w:sz w:val="24"/>
        </w:rPr>
      </w:pPr>
    </w:p>
    <w:p w14:paraId="5F9C518D">
      <w:pPr>
        <w:spacing w:line="440" w:lineRule="exact"/>
        <w:rPr>
          <w:rFonts w:eastAsia="黑体"/>
          <w:color w:val="auto"/>
          <w:sz w:val="24"/>
        </w:rPr>
      </w:pPr>
      <w:r>
        <w:rPr>
          <w:rFonts w:hint="eastAsia" w:eastAsia="黑体" w:cs="黑体"/>
          <w:color w:val="auto"/>
          <w:sz w:val="24"/>
        </w:rPr>
        <w:t>八、确定成交供应商</w:t>
      </w:r>
    </w:p>
    <w:p w14:paraId="0580944A">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0E6BFAFD">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042A0566">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2767D928">
      <w:pPr>
        <w:spacing w:line="440" w:lineRule="exact"/>
        <w:ind w:left="360" w:hanging="360" w:hangingChars="150"/>
        <w:rPr>
          <w:color w:val="auto"/>
          <w:sz w:val="24"/>
        </w:rPr>
      </w:pPr>
    </w:p>
    <w:p w14:paraId="267DC524">
      <w:pPr>
        <w:spacing w:line="440" w:lineRule="exact"/>
        <w:rPr>
          <w:rFonts w:eastAsia="黑体"/>
          <w:color w:val="auto"/>
          <w:sz w:val="24"/>
        </w:rPr>
      </w:pPr>
      <w:r>
        <w:rPr>
          <w:rFonts w:hint="eastAsia" w:eastAsia="黑体" w:cs="黑体"/>
          <w:color w:val="auto"/>
          <w:sz w:val="24"/>
        </w:rPr>
        <w:t>九、发布成交公告</w:t>
      </w:r>
    </w:p>
    <w:p w14:paraId="6E457F9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3DA9EE8F">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42AF31D0">
      <w:pPr>
        <w:spacing w:line="440" w:lineRule="exact"/>
        <w:rPr>
          <w:rFonts w:eastAsia="黑体"/>
          <w:color w:val="auto"/>
          <w:sz w:val="24"/>
        </w:rPr>
      </w:pPr>
    </w:p>
    <w:p w14:paraId="7B370BF9">
      <w:pPr>
        <w:spacing w:line="440" w:lineRule="exact"/>
        <w:rPr>
          <w:rFonts w:eastAsia="黑体"/>
          <w:color w:val="auto"/>
          <w:sz w:val="24"/>
        </w:rPr>
      </w:pPr>
      <w:r>
        <w:rPr>
          <w:rFonts w:hint="eastAsia" w:eastAsia="黑体" w:cs="黑体"/>
          <w:color w:val="auto"/>
          <w:sz w:val="24"/>
        </w:rPr>
        <w:t>十、签订合同</w:t>
      </w:r>
    </w:p>
    <w:p w14:paraId="44363EB2">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38543C9A">
      <w:pPr>
        <w:spacing w:line="440" w:lineRule="exact"/>
        <w:rPr>
          <w:color w:val="auto"/>
          <w:sz w:val="24"/>
        </w:rPr>
      </w:pPr>
    </w:p>
    <w:p w14:paraId="528CE13C">
      <w:pPr>
        <w:spacing w:line="440" w:lineRule="exact"/>
        <w:rPr>
          <w:rFonts w:eastAsia="黑体"/>
          <w:color w:val="auto"/>
          <w:sz w:val="24"/>
        </w:rPr>
      </w:pPr>
      <w:r>
        <w:rPr>
          <w:rFonts w:hint="eastAsia" w:eastAsia="黑体" w:cs="黑体"/>
          <w:color w:val="auto"/>
          <w:sz w:val="24"/>
        </w:rPr>
        <w:t>十一、适用法律</w:t>
      </w:r>
    </w:p>
    <w:p w14:paraId="30056EB1">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11BF2DC0">
      <w:pPr>
        <w:spacing w:line="500" w:lineRule="exact"/>
        <w:jc w:val="center"/>
        <w:rPr>
          <w:color w:val="auto"/>
          <w:sz w:val="36"/>
          <w:szCs w:val="36"/>
        </w:rPr>
        <w:sectPr>
          <w:headerReference r:id="rId7" w:type="default"/>
          <w:pgSz w:w="11906" w:h="16838"/>
          <w:pgMar w:top="1440" w:right="1800" w:bottom="1440" w:left="1800" w:header="851" w:footer="992" w:gutter="0"/>
          <w:cols w:space="720" w:num="1"/>
          <w:rtlGutter w:val="0"/>
          <w:docGrid w:type="lines" w:linePitch="312" w:charSpace="0"/>
        </w:sectPr>
      </w:pPr>
    </w:p>
    <w:p w14:paraId="5F5E9A50">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09075674">
      <w:pPr>
        <w:spacing w:before="240" w:after="60"/>
        <w:jc w:val="left"/>
        <w:outlineLvl w:val="0"/>
        <w:rPr>
          <w:rFonts w:ascii="宋体" w:hAnsi="宋体" w:cs="宋体"/>
          <w:color w:val="auto"/>
          <w:sz w:val="24"/>
        </w:rPr>
      </w:pPr>
      <w:r>
        <w:rPr>
          <w:rFonts w:hint="eastAsia" w:ascii="宋体" w:hAnsi="宋体" w:cs="宋体"/>
          <w:color w:val="auto"/>
          <w:sz w:val="24"/>
        </w:rPr>
        <w:t>一、采购货物具体技术参数及要求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9"/>
        <w:gridCol w:w="870"/>
        <w:gridCol w:w="2183"/>
        <w:gridCol w:w="3100"/>
        <w:gridCol w:w="967"/>
        <w:gridCol w:w="1000"/>
        <w:gridCol w:w="972"/>
      </w:tblGrid>
      <w:tr w14:paraId="2F53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80" w:hRule="atLeast"/>
          <w:jc w:val="center"/>
        </w:trPr>
        <w:tc>
          <w:tcPr>
            <w:tcW w:w="869" w:type="dxa"/>
            <w:vMerge w:val="restart"/>
            <w:noWrap w:val="0"/>
            <w:tcMar>
              <w:top w:w="0" w:type="dxa"/>
              <w:left w:w="108" w:type="dxa"/>
              <w:bottom w:w="0" w:type="dxa"/>
              <w:right w:w="108" w:type="dxa"/>
            </w:tcMar>
            <w:vAlign w:val="center"/>
          </w:tcPr>
          <w:p w14:paraId="2ED0EB2A">
            <w:pPr>
              <w:jc w:val="center"/>
              <w:rPr>
                <w:rFonts w:ascii="宋体" w:hAnsi="宋体"/>
                <w:b/>
                <w:color w:val="auto"/>
                <w:sz w:val="18"/>
                <w:szCs w:val="18"/>
                <w:highlight w:val="none"/>
              </w:rPr>
            </w:pPr>
            <w:r>
              <w:rPr>
                <w:rFonts w:hint="eastAsia" w:ascii="宋体" w:hAnsi="宋体"/>
                <w:b/>
                <w:color w:val="auto"/>
                <w:sz w:val="18"/>
                <w:szCs w:val="18"/>
                <w:highlight w:val="none"/>
              </w:rPr>
              <w:t>事项</w:t>
            </w:r>
          </w:p>
        </w:tc>
        <w:tc>
          <w:tcPr>
            <w:tcW w:w="870" w:type="dxa"/>
            <w:vMerge w:val="restart"/>
            <w:noWrap w:val="0"/>
            <w:tcMar>
              <w:top w:w="0" w:type="dxa"/>
              <w:left w:w="108" w:type="dxa"/>
              <w:bottom w:w="0" w:type="dxa"/>
              <w:right w:w="108" w:type="dxa"/>
            </w:tcMar>
            <w:vAlign w:val="center"/>
          </w:tcPr>
          <w:p w14:paraId="727AF865">
            <w:pPr>
              <w:jc w:val="center"/>
              <w:rPr>
                <w:rFonts w:ascii="宋体" w:hAnsi="宋体"/>
                <w:b/>
                <w:color w:val="auto"/>
                <w:sz w:val="18"/>
                <w:szCs w:val="18"/>
                <w:highlight w:val="none"/>
              </w:rPr>
            </w:pPr>
            <w:r>
              <w:rPr>
                <w:rFonts w:hint="eastAsia" w:ascii="宋体" w:hAnsi="宋体"/>
                <w:b/>
                <w:color w:val="auto"/>
                <w:sz w:val="18"/>
                <w:szCs w:val="18"/>
                <w:highlight w:val="none"/>
              </w:rPr>
              <w:t>序号</w:t>
            </w:r>
          </w:p>
        </w:tc>
        <w:tc>
          <w:tcPr>
            <w:tcW w:w="5283" w:type="dxa"/>
            <w:gridSpan w:val="2"/>
            <w:noWrap w:val="0"/>
            <w:tcMar>
              <w:top w:w="0" w:type="dxa"/>
              <w:left w:w="108" w:type="dxa"/>
              <w:bottom w:w="0" w:type="dxa"/>
              <w:right w:w="108" w:type="dxa"/>
            </w:tcMar>
            <w:vAlign w:val="center"/>
          </w:tcPr>
          <w:p w14:paraId="54B59303">
            <w:pPr>
              <w:jc w:val="center"/>
              <w:rPr>
                <w:rFonts w:ascii="宋体" w:hAnsi="宋体"/>
                <w:b/>
                <w:color w:val="auto"/>
                <w:sz w:val="18"/>
                <w:szCs w:val="18"/>
                <w:highlight w:val="none"/>
              </w:rPr>
            </w:pPr>
            <w:r>
              <w:rPr>
                <w:rFonts w:hint="eastAsia" w:ascii="宋体" w:hAnsi="宋体"/>
                <w:b/>
                <w:color w:val="auto"/>
                <w:sz w:val="18"/>
                <w:szCs w:val="18"/>
                <w:highlight w:val="none"/>
              </w:rPr>
              <w:t>服务内容</w:t>
            </w:r>
          </w:p>
        </w:tc>
        <w:tc>
          <w:tcPr>
            <w:tcW w:w="967" w:type="dxa"/>
            <w:vMerge w:val="restart"/>
            <w:noWrap w:val="0"/>
            <w:tcMar>
              <w:top w:w="0" w:type="dxa"/>
              <w:left w:w="108" w:type="dxa"/>
              <w:bottom w:w="0" w:type="dxa"/>
              <w:right w:w="108" w:type="dxa"/>
            </w:tcMar>
            <w:vAlign w:val="center"/>
          </w:tcPr>
          <w:p w14:paraId="31E4EE3B">
            <w:pPr>
              <w:bidi w:val="0"/>
              <w:rPr>
                <w:color w:val="auto"/>
                <w:highlight w:val="none"/>
              </w:rPr>
            </w:pPr>
            <w:r>
              <w:rPr>
                <w:rFonts w:hint="eastAsia" w:ascii="宋体" w:hAnsi="宋体"/>
                <w:b/>
                <w:color w:val="auto"/>
                <w:sz w:val="18"/>
                <w:szCs w:val="18"/>
                <w:highlight w:val="none"/>
              </w:rPr>
              <w:t>单价限价（元）</w:t>
            </w:r>
          </w:p>
        </w:tc>
        <w:tc>
          <w:tcPr>
            <w:tcW w:w="1000" w:type="dxa"/>
            <w:vMerge w:val="restart"/>
            <w:noWrap w:val="0"/>
            <w:tcMar>
              <w:top w:w="0" w:type="dxa"/>
              <w:left w:w="108" w:type="dxa"/>
              <w:bottom w:w="0" w:type="dxa"/>
              <w:right w:w="108" w:type="dxa"/>
            </w:tcMar>
            <w:vAlign w:val="center"/>
          </w:tcPr>
          <w:p w14:paraId="3A0D0800">
            <w:pPr>
              <w:rPr>
                <w:rFonts w:hint="eastAsia" w:ascii="宋体" w:hAnsi="宋体"/>
                <w:b/>
                <w:color w:val="auto"/>
                <w:sz w:val="18"/>
                <w:szCs w:val="18"/>
                <w:highlight w:val="none"/>
              </w:rPr>
            </w:pPr>
            <w:r>
              <w:rPr>
                <w:rFonts w:hint="eastAsia" w:ascii="宋体" w:hAnsi="宋体"/>
                <w:b/>
                <w:color w:val="auto"/>
                <w:sz w:val="18"/>
                <w:szCs w:val="18"/>
                <w:highlight w:val="none"/>
              </w:rPr>
              <w:t>数量/面积/天数</w:t>
            </w:r>
          </w:p>
        </w:tc>
        <w:tc>
          <w:tcPr>
            <w:tcW w:w="972" w:type="dxa"/>
            <w:vMerge w:val="restart"/>
            <w:noWrap w:val="0"/>
            <w:tcMar>
              <w:top w:w="0" w:type="dxa"/>
              <w:left w:w="108" w:type="dxa"/>
              <w:bottom w:w="0" w:type="dxa"/>
              <w:right w:w="108" w:type="dxa"/>
            </w:tcMar>
            <w:vAlign w:val="center"/>
          </w:tcPr>
          <w:p w14:paraId="452298AA">
            <w:pPr>
              <w:jc w:val="center"/>
              <w:rPr>
                <w:rFonts w:ascii="宋体" w:hAnsi="宋体"/>
                <w:b/>
                <w:color w:val="auto"/>
                <w:sz w:val="18"/>
                <w:szCs w:val="18"/>
                <w:highlight w:val="none"/>
              </w:rPr>
            </w:pPr>
            <w:r>
              <w:rPr>
                <w:rFonts w:hint="eastAsia" w:ascii="宋体" w:hAnsi="宋体"/>
                <w:b/>
                <w:color w:val="auto"/>
                <w:sz w:val="18"/>
                <w:szCs w:val="18"/>
                <w:highlight w:val="none"/>
              </w:rPr>
              <w:t>分项合计</w:t>
            </w:r>
          </w:p>
          <w:p w14:paraId="10F266CF">
            <w:pPr>
              <w:jc w:val="center"/>
              <w:rPr>
                <w:rFonts w:ascii="宋体" w:hAnsi="宋体"/>
                <w:b/>
                <w:color w:val="auto"/>
                <w:sz w:val="18"/>
                <w:szCs w:val="18"/>
                <w:highlight w:val="none"/>
              </w:rPr>
            </w:pPr>
            <w:r>
              <w:rPr>
                <w:rFonts w:hint="eastAsia" w:ascii="宋体" w:hAnsi="宋体"/>
                <w:b/>
                <w:color w:val="auto"/>
                <w:sz w:val="18"/>
                <w:szCs w:val="18"/>
                <w:highlight w:val="none"/>
              </w:rPr>
              <w:t>限价（元）</w:t>
            </w:r>
          </w:p>
        </w:tc>
      </w:tr>
      <w:tr w14:paraId="4156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60" w:hRule="atLeast"/>
          <w:jc w:val="center"/>
        </w:trPr>
        <w:tc>
          <w:tcPr>
            <w:tcW w:w="869" w:type="dxa"/>
            <w:vMerge w:val="continue"/>
            <w:noWrap w:val="0"/>
            <w:tcMar>
              <w:top w:w="0" w:type="dxa"/>
              <w:left w:w="108" w:type="dxa"/>
              <w:bottom w:w="0" w:type="dxa"/>
              <w:right w:w="108" w:type="dxa"/>
            </w:tcMar>
            <w:vAlign w:val="center"/>
          </w:tcPr>
          <w:p w14:paraId="2D6CABCA">
            <w:pPr>
              <w:rPr>
                <w:rFonts w:ascii="宋体" w:hAnsi="宋体"/>
                <w:color w:val="auto"/>
                <w:sz w:val="18"/>
                <w:szCs w:val="18"/>
                <w:highlight w:val="none"/>
              </w:rPr>
            </w:pPr>
          </w:p>
        </w:tc>
        <w:tc>
          <w:tcPr>
            <w:tcW w:w="870" w:type="dxa"/>
            <w:vMerge w:val="continue"/>
            <w:noWrap w:val="0"/>
            <w:tcMar>
              <w:top w:w="0" w:type="dxa"/>
              <w:left w:w="108" w:type="dxa"/>
              <w:bottom w:w="0" w:type="dxa"/>
              <w:right w:w="108" w:type="dxa"/>
            </w:tcMar>
            <w:vAlign w:val="center"/>
          </w:tcPr>
          <w:p w14:paraId="68BADC82">
            <w:pPr>
              <w:rPr>
                <w:rFonts w:hint="eastAsia" w:ascii="宋体" w:hAnsi="宋体"/>
                <w:color w:val="auto"/>
                <w:sz w:val="18"/>
                <w:szCs w:val="18"/>
                <w:highlight w:val="none"/>
              </w:rPr>
            </w:pPr>
          </w:p>
        </w:tc>
        <w:tc>
          <w:tcPr>
            <w:tcW w:w="2183" w:type="dxa"/>
            <w:noWrap w:val="0"/>
            <w:tcMar>
              <w:top w:w="0" w:type="dxa"/>
              <w:left w:w="108" w:type="dxa"/>
              <w:bottom w:w="0" w:type="dxa"/>
              <w:right w:w="108" w:type="dxa"/>
            </w:tcMar>
            <w:vAlign w:val="center"/>
          </w:tcPr>
          <w:p w14:paraId="672D1047">
            <w:pPr>
              <w:jc w:val="center"/>
              <w:rPr>
                <w:rFonts w:hint="eastAsia" w:ascii="宋体" w:hAnsi="宋体"/>
                <w:b/>
                <w:color w:val="auto"/>
                <w:sz w:val="18"/>
                <w:szCs w:val="18"/>
                <w:highlight w:val="none"/>
              </w:rPr>
            </w:pPr>
            <w:r>
              <w:rPr>
                <w:rFonts w:hint="eastAsia" w:ascii="宋体" w:hAnsi="宋体"/>
                <w:b/>
                <w:color w:val="auto"/>
                <w:sz w:val="18"/>
                <w:szCs w:val="18"/>
                <w:highlight w:val="none"/>
              </w:rPr>
              <w:t>区域/服务</w:t>
            </w:r>
          </w:p>
        </w:tc>
        <w:tc>
          <w:tcPr>
            <w:tcW w:w="3100" w:type="dxa"/>
            <w:noWrap w:val="0"/>
            <w:vAlign w:val="center"/>
          </w:tcPr>
          <w:p w14:paraId="11679657">
            <w:pPr>
              <w:jc w:val="center"/>
              <w:rPr>
                <w:rFonts w:ascii="宋体" w:hAnsi="宋体"/>
                <w:b/>
                <w:color w:val="auto"/>
                <w:sz w:val="18"/>
                <w:szCs w:val="18"/>
                <w:highlight w:val="none"/>
              </w:rPr>
            </w:pPr>
            <w:r>
              <w:rPr>
                <w:rFonts w:hint="eastAsia" w:ascii="宋体" w:hAnsi="宋体"/>
                <w:b/>
                <w:color w:val="auto"/>
                <w:sz w:val="18"/>
                <w:szCs w:val="18"/>
                <w:highlight w:val="none"/>
              </w:rPr>
              <w:t>服务项目及要求</w:t>
            </w:r>
          </w:p>
        </w:tc>
        <w:tc>
          <w:tcPr>
            <w:tcW w:w="967" w:type="dxa"/>
            <w:vMerge w:val="continue"/>
            <w:noWrap w:val="0"/>
            <w:tcMar>
              <w:top w:w="0" w:type="dxa"/>
              <w:left w:w="108" w:type="dxa"/>
              <w:bottom w:w="0" w:type="dxa"/>
              <w:right w:w="108" w:type="dxa"/>
            </w:tcMar>
            <w:vAlign w:val="center"/>
          </w:tcPr>
          <w:p w14:paraId="5D316406">
            <w:pPr>
              <w:rPr>
                <w:rFonts w:hint="eastAsia" w:ascii="宋体" w:hAnsi="宋体"/>
                <w:color w:val="auto"/>
                <w:sz w:val="18"/>
                <w:szCs w:val="18"/>
                <w:highlight w:val="none"/>
              </w:rPr>
            </w:pPr>
          </w:p>
        </w:tc>
        <w:tc>
          <w:tcPr>
            <w:tcW w:w="1000" w:type="dxa"/>
            <w:vMerge w:val="continue"/>
            <w:noWrap w:val="0"/>
            <w:tcMar>
              <w:top w:w="0" w:type="dxa"/>
              <w:left w:w="108" w:type="dxa"/>
              <w:bottom w:w="0" w:type="dxa"/>
              <w:right w:w="108" w:type="dxa"/>
            </w:tcMar>
            <w:vAlign w:val="center"/>
          </w:tcPr>
          <w:p w14:paraId="6243EE9F">
            <w:pPr>
              <w:rPr>
                <w:rFonts w:hint="eastAsia" w:ascii="宋体" w:hAnsi="宋体"/>
                <w:color w:val="auto"/>
                <w:sz w:val="18"/>
                <w:szCs w:val="18"/>
                <w:highlight w:val="none"/>
              </w:rPr>
            </w:pPr>
          </w:p>
        </w:tc>
        <w:tc>
          <w:tcPr>
            <w:tcW w:w="972" w:type="dxa"/>
            <w:vMerge w:val="continue"/>
            <w:noWrap w:val="0"/>
            <w:tcMar>
              <w:top w:w="0" w:type="dxa"/>
              <w:left w:w="108" w:type="dxa"/>
              <w:bottom w:w="0" w:type="dxa"/>
              <w:right w:w="108" w:type="dxa"/>
            </w:tcMar>
            <w:vAlign w:val="center"/>
          </w:tcPr>
          <w:p w14:paraId="07F8A878">
            <w:pPr>
              <w:rPr>
                <w:rFonts w:hint="eastAsia" w:ascii="宋体" w:hAnsi="宋体"/>
                <w:color w:val="auto"/>
                <w:sz w:val="18"/>
                <w:szCs w:val="18"/>
                <w:highlight w:val="none"/>
              </w:rPr>
            </w:pPr>
          </w:p>
        </w:tc>
      </w:tr>
      <w:tr w14:paraId="1506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88" w:hRule="atLeast"/>
          <w:jc w:val="center"/>
        </w:trPr>
        <w:tc>
          <w:tcPr>
            <w:tcW w:w="869" w:type="dxa"/>
            <w:vMerge w:val="restart"/>
            <w:noWrap w:val="0"/>
            <w:tcMar>
              <w:top w:w="0" w:type="dxa"/>
              <w:left w:w="108" w:type="dxa"/>
              <w:bottom w:w="0" w:type="dxa"/>
              <w:right w:w="108" w:type="dxa"/>
            </w:tcMar>
            <w:vAlign w:val="center"/>
          </w:tcPr>
          <w:p w14:paraId="0C46085D">
            <w:pPr>
              <w:rPr>
                <w:rFonts w:ascii="宋体" w:hAnsi="宋体"/>
                <w:color w:val="auto"/>
                <w:sz w:val="18"/>
                <w:szCs w:val="18"/>
                <w:highlight w:val="none"/>
              </w:rPr>
            </w:pPr>
            <w:r>
              <w:rPr>
                <w:rFonts w:hint="eastAsia" w:ascii="宋体" w:hAnsi="宋体"/>
                <w:color w:val="auto"/>
                <w:sz w:val="18"/>
                <w:szCs w:val="18"/>
                <w:highlight w:val="none"/>
              </w:rPr>
              <w:t>固定建筑消防设施检测和消防电气线路检测</w:t>
            </w:r>
          </w:p>
        </w:tc>
        <w:tc>
          <w:tcPr>
            <w:tcW w:w="870" w:type="dxa"/>
            <w:vMerge w:val="restart"/>
            <w:noWrap w:val="0"/>
            <w:tcMar>
              <w:top w:w="0" w:type="dxa"/>
              <w:left w:w="108" w:type="dxa"/>
              <w:bottom w:w="0" w:type="dxa"/>
              <w:right w:w="108" w:type="dxa"/>
            </w:tcMar>
            <w:vAlign w:val="center"/>
          </w:tcPr>
          <w:p w14:paraId="5C1A50C0">
            <w:pPr>
              <w:jc w:val="center"/>
              <w:rPr>
                <w:rFonts w:hint="eastAsia" w:ascii="宋体" w:hAnsi="宋体"/>
                <w:color w:val="auto"/>
                <w:sz w:val="18"/>
                <w:szCs w:val="18"/>
                <w:highlight w:val="none"/>
              </w:rPr>
            </w:pPr>
            <w:r>
              <w:rPr>
                <w:rFonts w:hint="eastAsia" w:ascii="宋体" w:hAnsi="宋体"/>
                <w:color w:val="auto"/>
                <w:sz w:val="18"/>
                <w:szCs w:val="18"/>
                <w:highlight w:val="none"/>
              </w:rPr>
              <w:t>1</w:t>
            </w:r>
          </w:p>
        </w:tc>
        <w:tc>
          <w:tcPr>
            <w:tcW w:w="2183" w:type="dxa"/>
            <w:noWrap w:val="0"/>
            <w:tcMar>
              <w:top w:w="0" w:type="dxa"/>
              <w:left w:w="108" w:type="dxa"/>
              <w:bottom w:w="0" w:type="dxa"/>
              <w:right w:w="108" w:type="dxa"/>
            </w:tcMar>
            <w:vAlign w:val="center"/>
          </w:tcPr>
          <w:p w14:paraId="09F3CC16">
            <w:pPr>
              <w:jc w:val="center"/>
              <w:rPr>
                <w:rFonts w:ascii="宋体" w:hAnsi="宋体"/>
                <w:color w:val="auto"/>
                <w:sz w:val="18"/>
                <w:szCs w:val="18"/>
                <w:highlight w:val="none"/>
              </w:rPr>
            </w:pPr>
            <w:r>
              <w:rPr>
                <w:rFonts w:hint="eastAsia" w:ascii="宋体" w:hAnsi="宋体"/>
                <w:color w:val="auto"/>
                <w:sz w:val="18"/>
                <w:szCs w:val="18"/>
                <w:highlight w:val="none"/>
                <w:lang w:eastAsia="zh-CN"/>
              </w:rPr>
              <w:t>北</w:t>
            </w:r>
            <w:r>
              <w:rPr>
                <w:rFonts w:hint="eastAsia" w:ascii="宋体" w:hAnsi="宋体"/>
                <w:color w:val="auto"/>
                <w:sz w:val="18"/>
                <w:szCs w:val="18"/>
                <w:highlight w:val="none"/>
              </w:rPr>
              <w:t>馆</w:t>
            </w:r>
          </w:p>
        </w:tc>
        <w:tc>
          <w:tcPr>
            <w:tcW w:w="3100" w:type="dxa"/>
            <w:vMerge w:val="restart"/>
            <w:noWrap w:val="0"/>
            <w:tcMar>
              <w:top w:w="0" w:type="dxa"/>
              <w:left w:w="108" w:type="dxa"/>
              <w:bottom w:w="0" w:type="dxa"/>
              <w:right w:w="108" w:type="dxa"/>
            </w:tcMar>
            <w:vAlign w:val="top"/>
          </w:tcPr>
          <w:p w14:paraId="7BA29F68">
            <w:pPr>
              <w:rPr>
                <w:rFonts w:ascii="宋体" w:hAnsi="宋体"/>
                <w:color w:val="auto"/>
                <w:sz w:val="18"/>
                <w:szCs w:val="18"/>
                <w:highlight w:val="none"/>
              </w:rPr>
            </w:pPr>
            <w:r>
              <w:rPr>
                <w:rFonts w:hint="eastAsia" w:ascii="宋体" w:hAnsi="宋体"/>
                <w:color w:val="auto"/>
                <w:sz w:val="18"/>
                <w:szCs w:val="18"/>
                <w:highlight w:val="none"/>
              </w:rPr>
              <w:t>一、建筑消防设施检测：</w:t>
            </w:r>
          </w:p>
          <w:p w14:paraId="6A495E28">
            <w:pPr>
              <w:rPr>
                <w:rFonts w:ascii="宋体" w:hAnsi="宋体"/>
                <w:color w:val="auto"/>
                <w:sz w:val="18"/>
                <w:szCs w:val="18"/>
                <w:highlight w:val="none"/>
              </w:rPr>
            </w:pPr>
            <w:r>
              <w:rPr>
                <w:rFonts w:hint="eastAsia" w:ascii="宋体" w:hAnsi="宋体"/>
                <w:color w:val="auto"/>
                <w:sz w:val="18"/>
                <w:szCs w:val="18"/>
                <w:highlight w:val="none"/>
              </w:rPr>
              <w:t>1.火灾自动报警系统；</w:t>
            </w:r>
          </w:p>
          <w:p w14:paraId="0043D23B">
            <w:pPr>
              <w:rPr>
                <w:rFonts w:ascii="宋体" w:hAnsi="宋体"/>
                <w:color w:val="auto"/>
                <w:sz w:val="18"/>
                <w:szCs w:val="18"/>
                <w:highlight w:val="none"/>
              </w:rPr>
            </w:pPr>
            <w:r>
              <w:rPr>
                <w:rFonts w:hint="eastAsia" w:ascii="宋体" w:hAnsi="宋体"/>
                <w:color w:val="auto"/>
                <w:sz w:val="18"/>
                <w:szCs w:val="18"/>
                <w:highlight w:val="none"/>
              </w:rPr>
              <w:t>2.消防供水系统（含室外管网）；</w:t>
            </w:r>
          </w:p>
          <w:p w14:paraId="4CA1BBCE">
            <w:pPr>
              <w:rPr>
                <w:rFonts w:ascii="宋体" w:hAnsi="宋体"/>
                <w:color w:val="auto"/>
                <w:sz w:val="18"/>
                <w:szCs w:val="18"/>
                <w:highlight w:val="none"/>
              </w:rPr>
            </w:pPr>
            <w:r>
              <w:rPr>
                <w:rFonts w:hint="eastAsia" w:ascii="宋体" w:hAnsi="宋体"/>
                <w:color w:val="auto"/>
                <w:sz w:val="18"/>
                <w:szCs w:val="18"/>
                <w:highlight w:val="none"/>
              </w:rPr>
              <w:t>3.自动喷水灭火系统；</w:t>
            </w:r>
          </w:p>
          <w:p w14:paraId="406D639B">
            <w:pPr>
              <w:rPr>
                <w:rFonts w:ascii="宋体" w:hAnsi="宋体"/>
                <w:color w:val="auto"/>
                <w:sz w:val="18"/>
                <w:szCs w:val="18"/>
                <w:highlight w:val="none"/>
              </w:rPr>
            </w:pPr>
            <w:r>
              <w:rPr>
                <w:rFonts w:hint="eastAsia" w:ascii="宋体" w:hAnsi="宋体"/>
                <w:color w:val="auto"/>
                <w:sz w:val="18"/>
                <w:szCs w:val="18"/>
                <w:highlight w:val="none"/>
              </w:rPr>
              <w:t>4.消火栓和消防炮系统；</w:t>
            </w:r>
          </w:p>
          <w:p w14:paraId="43E1773A">
            <w:pPr>
              <w:rPr>
                <w:rFonts w:ascii="宋体" w:hAnsi="宋体"/>
                <w:color w:val="auto"/>
                <w:sz w:val="18"/>
                <w:szCs w:val="18"/>
                <w:highlight w:val="none"/>
              </w:rPr>
            </w:pPr>
            <w:r>
              <w:rPr>
                <w:rFonts w:hint="eastAsia" w:ascii="宋体" w:hAnsi="宋体"/>
                <w:color w:val="auto"/>
                <w:sz w:val="18"/>
                <w:szCs w:val="18"/>
                <w:highlight w:val="none"/>
              </w:rPr>
              <w:t>5.气体灭火系统；</w:t>
            </w:r>
          </w:p>
          <w:p w14:paraId="5F7F1625">
            <w:pPr>
              <w:rPr>
                <w:rFonts w:ascii="宋体" w:hAnsi="宋体"/>
                <w:color w:val="auto"/>
                <w:sz w:val="18"/>
                <w:szCs w:val="18"/>
                <w:highlight w:val="none"/>
              </w:rPr>
            </w:pPr>
            <w:r>
              <w:rPr>
                <w:rFonts w:hint="eastAsia" w:ascii="宋体" w:hAnsi="宋体"/>
                <w:color w:val="auto"/>
                <w:sz w:val="18"/>
                <w:szCs w:val="18"/>
                <w:highlight w:val="none"/>
              </w:rPr>
              <w:t>6.防火门系统、防火卷帘门系统；</w:t>
            </w:r>
          </w:p>
          <w:p w14:paraId="374F8FEF">
            <w:pPr>
              <w:rPr>
                <w:rFonts w:ascii="宋体" w:hAnsi="宋体"/>
                <w:color w:val="auto"/>
                <w:sz w:val="18"/>
                <w:szCs w:val="18"/>
                <w:highlight w:val="none"/>
              </w:rPr>
            </w:pPr>
            <w:r>
              <w:rPr>
                <w:rFonts w:hint="eastAsia" w:ascii="宋体" w:hAnsi="宋体"/>
                <w:color w:val="auto"/>
                <w:sz w:val="18"/>
                <w:szCs w:val="18"/>
                <w:highlight w:val="none"/>
              </w:rPr>
              <w:t>7.防排烟系统；</w:t>
            </w:r>
          </w:p>
          <w:p w14:paraId="0745BDE7">
            <w:pPr>
              <w:rPr>
                <w:rFonts w:ascii="宋体" w:hAnsi="宋体"/>
                <w:color w:val="auto"/>
                <w:sz w:val="18"/>
                <w:szCs w:val="18"/>
                <w:highlight w:val="none"/>
              </w:rPr>
            </w:pPr>
            <w:r>
              <w:rPr>
                <w:rFonts w:hint="eastAsia" w:ascii="宋体" w:hAnsi="宋体"/>
                <w:color w:val="auto"/>
                <w:sz w:val="18"/>
                <w:szCs w:val="18"/>
                <w:highlight w:val="none"/>
              </w:rPr>
              <w:t>8.电气火灾监控系统；</w:t>
            </w:r>
          </w:p>
          <w:p w14:paraId="2AEC7597">
            <w:pPr>
              <w:rPr>
                <w:rFonts w:ascii="宋体" w:hAnsi="宋体"/>
                <w:color w:val="auto"/>
                <w:sz w:val="18"/>
                <w:szCs w:val="18"/>
                <w:highlight w:val="none"/>
              </w:rPr>
            </w:pPr>
            <w:r>
              <w:rPr>
                <w:rFonts w:hint="eastAsia" w:ascii="宋体" w:hAnsi="宋体"/>
                <w:color w:val="auto"/>
                <w:sz w:val="18"/>
                <w:szCs w:val="18"/>
                <w:highlight w:val="none"/>
              </w:rPr>
              <w:t>9.消防供电系统；</w:t>
            </w:r>
          </w:p>
          <w:p w14:paraId="1D3A704A">
            <w:pPr>
              <w:rPr>
                <w:rFonts w:ascii="宋体" w:hAnsi="宋体"/>
                <w:color w:val="auto"/>
                <w:sz w:val="18"/>
                <w:szCs w:val="18"/>
                <w:highlight w:val="none"/>
              </w:rPr>
            </w:pPr>
            <w:r>
              <w:rPr>
                <w:rFonts w:hint="eastAsia" w:ascii="宋体" w:hAnsi="宋体"/>
                <w:color w:val="auto"/>
                <w:sz w:val="18"/>
                <w:szCs w:val="18"/>
                <w:highlight w:val="none"/>
              </w:rPr>
              <w:t>10.气体灭火系统；</w:t>
            </w:r>
          </w:p>
          <w:p w14:paraId="4F6EBA8E">
            <w:pPr>
              <w:rPr>
                <w:rFonts w:ascii="宋体" w:hAnsi="宋体"/>
                <w:color w:val="auto"/>
                <w:sz w:val="18"/>
                <w:szCs w:val="18"/>
                <w:highlight w:val="none"/>
              </w:rPr>
            </w:pPr>
            <w:r>
              <w:rPr>
                <w:rFonts w:hint="eastAsia" w:ascii="宋体" w:hAnsi="宋体"/>
                <w:color w:val="auto"/>
                <w:sz w:val="18"/>
                <w:szCs w:val="18"/>
                <w:highlight w:val="none"/>
              </w:rPr>
              <w:t>11.消防应急照明疏散指示系统；</w:t>
            </w:r>
          </w:p>
          <w:p w14:paraId="75555872">
            <w:pPr>
              <w:rPr>
                <w:rFonts w:ascii="宋体" w:hAnsi="宋体"/>
                <w:color w:val="auto"/>
                <w:sz w:val="18"/>
                <w:szCs w:val="18"/>
                <w:highlight w:val="none"/>
              </w:rPr>
            </w:pPr>
            <w:r>
              <w:rPr>
                <w:rFonts w:hint="eastAsia" w:ascii="宋体" w:hAnsi="宋体"/>
                <w:color w:val="auto"/>
                <w:sz w:val="18"/>
                <w:szCs w:val="18"/>
                <w:highlight w:val="none"/>
              </w:rPr>
              <w:t>二、建筑电气防火检测：</w:t>
            </w:r>
          </w:p>
          <w:p w14:paraId="46043A53">
            <w:pPr>
              <w:rPr>
                <w:rFonts w:ascii="宋体" w:hAnsi="宋体"/>
                <w:color w:val="auto"/>
                <w:sz w:val="18"/>
                <w:szCs w:val="18"/>
                <w:highlight w:val="none"/>
              </w:rPr>
            </w:pPr>
            <w:r>
              <w:rPr>
                <w:rFonts w:hint="eastAsia" w:ascii="宋体" w:hAnsi="宋体"/>
                <w:color w:val="auto"/>
                <w:sz w:val="18"/>
                <w:szCs w:val="18"/>
                <w:highlight w:val="none"/>
              </w:rPr>
              <w:t>1.供配电装置；</w:t>
            </w:r>
          </w:p>
          <w:p w14:paraId="40748FC0">
            <w:pPr>
              <w:rPr>
                <w:rFonts w:ascii="宋体" w:hAnsi="宋体"/>
                <w:color w:val="auto"/>
                <w:sz w:val="18"/>
                <w:szCs w:val="18"/>
                <w:highlight w:val="none"/>
              </w:rPr>
            </w:pPr>
            <w:r>
              <w:rPr>
                <w:rFonts w:hint="eastAsia" w:ascii="宋体" w:hAnsi="宋体"/>
                <w:color w:val="auto"/>
                <w:sz w:val="18"/>
                <w:szCs w:val="18"/>
                <w:highlight w:val="none"/>
              </w:rPr>
              <w:t>2.低压配电设备；</w:t>
            </w:r>
          </w:p>
          <w:p w14:paraId="7924482F">
            <w:pPr>
              <w:rPr>
                <w:rFonts w:ascii="宋体" w:hAnsi="宋体"/>
                <w:color w:val="auto"/>
                <w:sz w:val="18"/>
                <w:szCs w:val="18"/>
                <w:highlight w:val="none"/>
              </w:rPr>
            </w:pPr>
            <w:r>
              <w:rPr>
                <w:rFonts w:hint="eastAsia" w:ascii="宋体" w:hAnsi="宋体"/>
                <w:color w:val="auto"/>
                <w:sz w:val="18"/>
                <w:szCs w:val="18"/>
                <w:highlight w:val="none"/>
              </w:rPr>
              <w:t>3.配电线路；</w:t>
            </w:r>
          </w:p>
          <w:p w14:paraId="49F9622B">
            <w:pPr>
              <w:rPr>
                <w:rFonts w:ascii="宋体" w:hAnsi="宋体"/>
                <w:color w:val="auto"/>
                <w:sz w:val="18"/>
                <w:szCs w:val="18"/>
                <w:highlight w:val="none"/>
              </w:rPr>
            </w:pPr>
            <w:r>
              <w:rPr>
                <w:rFonts w:hint="eastAsia" w:ascii="宋体" w:hAnsi="宋体"/>
                <w:color w:val="auto"/>
                <w:sz w:val="18"/>
                <w:szCs w:val="18"/>
                <w:highlight w:val="none"/>
              </w:rPr>
              <w:t>4.低压用电设备；</w:t>
            </w:r>
          </w:p>
          <w:p w14:paraId="23EC30AB">
            <w:pPr>
              <w:rPr>
                <w:rFonts w:ascii="宋体" w:hAnsi="宋体"/>
                <w:color w:val="auto"/>
                <w:sz w:val="18"/>
                <w:szCs w:val="18"/>
                <w:highlight w:val="none"/>
              </w:rPr>
            </w:pPr>
            <w:r>
              <w:rPr>
                <w:rFonts w:hint="eastAsia" w:ascii="宋体" w:hAnsi="宋体"/>
                <w:color w:val="auto"/>
                <w:sz w:val="18"/>
                <w:szCs w:val="18"/>
                <w:highlight w:val="none"/>
              </w:rPr>
              <w:t>5.接地和等电位联结；</w:t>
            </w:r>
          </w:p>
          <w:p w14:paraId="70FABA94">
            <w:pPr>
              <w:rPr>
                <w:rFonts w:ascii="宋体" w:hAnsi="宋体"/>
                <w:color w:val="auto"/>
                <w:sz w:val="18"/>
                <w:szCs w:val="18"/>
                <w:highlight w:val="none"/>
              </w:rPr>
            </w:pPr>
            <w:r>
              <w:rPr>
                <w:rFonts w:hint="eastAsia" w:ascii="宋体" w:hAnsi="宋体"/>
                <w:color w:val="auto"/>
                <w:sz w:val="18"/>
                <w:szCs w:val="18"/>
                <w:highlight w:val="none"/>
              </w:rPr>
              <w:t>注：包含但不限于以上检测项目，具体以现场消防设施和电气线路为准。</w:t>
            </w:r>
          </w:p>
          <w:p w14:paraId="43F63208">
            <w:pPr>
              <w:numPr>
                <w:ilvl w:val="0"/>
                <w:numId w:val="4"/>
              </w:numPr>
              <w:rPr>
                <w:rFonts w:hint="eastAsia" w:ascii="宋体" w:hAnsi="宋体"/>
                <w:b/>
                <w:color w:val="auto"/>
                <w:sz w:val="18"/>
                <w:szCs w:val="18"/>
                <w:highlight w:val="none"/>
              </w:rPr>
            </w:pPr>
            <w:r>
              <w:rPr>
                <w:rFonts w:hint="eastAsia" w:ascii="宋体" w:hAnsi="宋体"/>
                <w:b/>
                <w:color w:val="auto"/>
                <w:sz w:val="18"/>
                <w:szCs w:val="18"/>
                <w:highlight w:val="none"/>
              </w:rPr>
              <w:t>以上服务项目均需出具正规检测报告。</w:t>
            </w:r>
          </w:p>
          <w:p w14:paraId="1C19FF7B">
            <w:pPr>
              <w:numPr>
                <w:ilvl w:val="0"/>
                <w:numId w:val="4"/>
              </w:numPr>
              <w:rPr>
                <w:rFonts w:hint="eastAsia" w:ascii="宋体" w:hAnsi="宋体"/>
                <w:b/>
                <w:color w:val="auto"/>
                <w:sz w:val="18"/>
                <w:szCs w:val="18"/>
                <w:highlight w:val="none"/>
              </w:rPr>
            </w:pPr>
            <w:r>
              <w:rPr>
                <w:rFonts w:hint="eastAsia" w:ascii="宋体" w:hAnsi="宋体"/>
                <w:b/>
                <w:color w:val="auto"/>
                <w:sz w:val="18"/>
                <w:szCs w:val="18"/>
                <w:highlight w:val="none"/>
                <w:lang w:val="en-US" w:eastAsia="zh-CN"/>
              </w:rPr>
              <w:t>检测时间及人员安排必须服从采购单位要求，并在任何区域或批次检测前，须提前3个工作日报送检测计划，经批准方可实施。</w:t>
            </w:r>
          </w:p>
          <w:p w14:paraId="779C21AD">
            <w:pPr>
              <w:numPr>
                <w:ilvl w:val="0"/>
                <w:numId w:val="4"/>
              </w:numPr>
              <w:rPr>
                <w:rFonts w:hint="eastAsia" w:ascii="宋体" w:hAnsi="宋体"/>
                <w:b/>
                <w:color w:val="auto"/>
                <w:sz w:val="18"/>
                <w:szCs w:val="18"/>
                <w:highlight w:val="none"/>
              </w:rPr>
            </w:pPr>
            <w:r>
              <w:rPr>
                <w:rFonts w:hint="eastAsia" w:ascii="宋体" w:hAnsi="宋体"/>
                <w:b/>
                <w:color w:val="auto"/>
                <w:sz w:val="18"/>
                <w:szCs w:val="18"/>
                <w:highlight w:val="none"/>
                <w:lang w:val="en-US" w:eastAsia="zh-CN"/>
              </w:rPr>
              <w:t>因检测发生消防设施设备故障或关联设备设施故障（电梯、电气控制柜、水泵等）、由检测单位有关技术人员2小时内完成故障分析，4-8小时内完成设施设备维修，消防设施设备维修必须持中级或以上构筑物消防员（维保及检测方向）维修，电气控制柜等动力设备设施依据现场设施情况，必须持特种工作业证书（电梯操作证、低压电工证、高压电动正、焊工证等，经批准方可实施维修），维修、测试不当引起一切费用或损失均由测试单位承担。成交供应商不能满足以上条件时，采购单位有权另行派遣维修力量，费用从成交供应商合同金额扣除。</w:t>
            </w:r>
          </w:p>
        </w:tc>
        <w:tc>
          <w:tcPr>
            <w:tcW w:w="967" w:type="dxa"/>
            <w:noWrap w:val="0"/>
            <w:tcMar>
              <w:top w:w="0" w:type="dxa"/>
              <w:left w:w="108" w:type="dxa"/>
              <w:bottom w:w="0" w:type="dxa"/>
              <w:right w:w="108" w:type="dxa"/>
            </w:tcMar>
            <w:vAlign w:val="center"/>
          </w:tcPr>
          <w:p w14:paraId="4CF8F569">
            <w:pPr>
              <w:jc w:val="center"/>
              <w:rPr>
                <w:rFonts w:ascii="宋体" w:hAnsi="宋体"/>
                <w:color w:val="auto"/>
                <w:sz w:val="18"/>
                <w:szCs w:val="18"/>
                <w:highlight w:val="none"/>
              </w:rPr>
            </w:pPr>
            <w:r>
              <w:rPr>
                <w:rFonts w:hint="eastAsia" w:ascii="宋体" w:hAnsi="宋体"/>
                <w:color w:val="auto"/>
                <w:sz w:val="18"/>
                <w:szCs w:val="18"/>
                <w:highlight w:val="none"/>
              </w:rPr>
              <w:t>0.3元/m2</w:t>
            </w:r>
          </w:p>
        </w:tc>
        <w:tc>
          <w:tcPr>
            <w:tcW w:w="1000" w:type="dxa"/>
            <w:noWrap w:val="0"/>
            <w:tcMar>
              <w:top w:w="0" w:type="dxa"/>
              <w:left w:w="108" w:type="dxa"/>
              <w:bottom w:w="0" w:type="dxa"/>
              <w:right w:w="108" w:type="dxa"/>
            </w:tcMar>
            <w:vAlign w:val="center"/>
          </w:tcPr>
          <w:p w14:paraId="6E8930B5">
            <w:pPr>
              <w:jc w:val="center"/>
              <w:rPr>
                <w:rFonts w:ascii="宋体" w:hAnsi="宋体"/>
                <w:color w:val="auto"/>
                <w:sz w:val="18"/>
                <w:szCs w:val="18"/>
                <w:highlight w:val="none"/>
              </w:rPr>
            </w:pPr>
            <w:r>
              <w:rPr>
                <w:rFonts w:hint="eastAsia" w:ascii="宋体" w:hAnsi="宋体"/>
                <w:color w:val="auto"/>
                <w:sz w:val="18"/>
                <w:szCs w:val="18"/>
                <w:highlight w:val="none"/>
              </w:rPr>
              <w:t>25000m2</w:t>
            </w:r>
          </w:p>
        </w:tc>
        <w:tc>
          <w:tcPr>
            <w:tcW w:w="972" w:type="dxa"/>
            <w:noWrap w:val="0"/>
            <w:tcMar>
              <w:top w:w="0" w:type="dxa"/>
              <w:left w:w="108" w:type="dxa"/>
              <w:bottom w:w="0" w:type="dxa"/>
              <w:right w:w="108" w:type="dxa"/>
            </w:tcMar>
            <w:vAlign w:val="center"/>
          </w:tcPr>
          <w:p w14:paraId="3D3E2EF9">
            <w:pPr>
              <w:jc w:val="center"/>
              <w:rPr>
                <w:rFonts w:ascii="宋体" w:hAnsi="宋体"/>
                <w:color w:val="auto"/>
                <w:sz w:val="18"/>
                <w:szCs w:val="18"/>
                <w:highlight w:val="none"/>
              </w:rPr>
            </w:pPr>
            <w:r>
              <w:rPr>
                <w:rFonts w:hint="eastAsia" w:ascii="宋体" w:hAnsi="宋体"/>
                <w:color w:val="auto"/>
                <w:sz w:val="18"/>
                <w:szCs w:val="18"/>
                <w:highlight w:val="none"/>
              </w:rPr>
              <w:t>7500</w:t>
            </w:r>
          </w:p>
        </w:tc>
      </w:tr>
      <w:tr w14:paraId="1E51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58" w:hRule="atLeast"/>
          <w:jc w:val="center"/>
        </w:trPr>
        <w:tc>
          <w:tcPr>
            <w:tcW w:w="869" w:type="dxa"/>
            <w:vMerge w:val="continue"/>
            <w:noWrap w:val="0"/>
            <w:tcMar>
              <w:top w:w="0" w:type="dxa"/>
              <w:left w:w="108" w:type="dxa"/>
              <w:bottom w:w="0" w:type="dxa"/>
              <w:right w:w="108" w:type="dxa"/>
            </w:tcMar>
            <w:vAlign w:val="center"/>
          </w:tcPr>
          <w:p w14:paraId="2986E611">
            <w:pPr>
              <w:rPr>
                <w:rFonts w:ascii="宋体" w:hAnsi="宋体"/>
                <w:color w:val="auto"/>
                <w:sz w:val="18"/>
                <w:szCs w:val="18"/>
                <w:highlight w:val="none"/>
              </w:rPr>
            </w:pPr>
          </w:p>
        </w:tc>
        <w:tc>
          <w:tcPr>
            <w:tcW w:w="870" w:type="dxa"/>
            <w:vMerge w:val="continue"/>
            <w:noWrap w:val="0"/>
            <w:tcMar>
              <w:top w:w="0" w:type="dxa"/>
              <w:left w:w="108" w:type="dxa"/>
              <w:bottom w:w="0" w:type="dxa"/>
              <w:right w:w="108" w:type="dxa"/>
            </w:tcMar>
            <w:vAlign w:val="center"/>
          </w:tcPr>
          <w:p w14:paraId="1F37CD55">
            <w:pPr>
              <w:jc w:val="center"/>
              <w:rPr>
                <w:rFonts w:ascii="宋体" w:hAnsi="宋体"/>
                <w:color w:val="auto"/>
                <w:sz w:val="18"/>
                <w:szCs w:val="18"/>
                <w:highlight w:val="none"/>
              </w:rPr>
            </w:pPr>
          </w:p>
        </w:tc>
        <w:tc>
          <w:tcPr>
            <w:tcW w:w="2183" w:type="dxa"/>
            <w:noWrap w:val="0"/>
            <w:tcMar>
              <w:top w:w="0" w:type="dxa"/>
              <w:left w:w="108" w:type="dxa"/>
              <w:bottom w:w="0" w:type="dxa"/>
              <w:right w:w="108" w:type="dxa"/>
            </w:tcMar>
            <w:vAlign w:val="center"/>
          </w:tcPr>
          <w:p w14:paraId="58CD61EF">
            <w:pPr>
              <w:jc w:val="center"/>
              <w:rPr>
                <w:rFonts w:ascii="宋体" w:hAnsi="宋体"/>
                <w:color w:val="auto"/>
                <w:sz w:val="18"/>
                <w:szCs w:val="18"/>
                <w:highlight w:val="none"/>
              </w:rPr>
            </w:pPr>
            <w:r>
              <w:rPr>
                <w:rFonts w:hint="eastAsia" w:ascii="宋体" w:hAnsi="宋体"/>
                <w:color w:val="auto"/>
                <w:sz w:val="18"/>
                <w:szCs w:val="18"/>
                <w:highlight w:val="none"/>
                <w:lang w:eastAsia="zh-CN"/>
              </w:rPr>
              <w:t>东</w:t>
            </w:r>
            <w:r>
              <w:rPr>
                <w:rFonts w:hint="eastAsia" w:ascii="宋体" w:hAnsi="宋体"/>
                <w:color w:val="auto"/>
                <w:sz w:val="18"/>
                <w:szCs w:val="18"/>
                <w:highlight w:val="none"/>
              </w:rPr>
              <w:t>馆</w:t>
            </w:r>
          </w:p>
        </w:tc>
        <w:tc>
          <w:tcPr>
            <w:tcW w:w="3100" w:type="dxa"/>
            <w:vMerge w:val="continue"/>
            <w:noWrap w:val="0"/>
            <w:tcMar>
              <w:top w:w="0" w:type="dxa"/>
              <w:left w:w="108" w:type="dxa"/>
              <w:bottom w:w="0" w:type="dxa"/>
              <w:right w:w="108" w:type="dxa"/>
            </w:tcMar>
            <w:vAlign w:val="top"/>
          </w:tcPr>
          <w:p w14:paraId="55EBD960">
            <w:pPr>
              <w:rPr>
                <w:rFonts w:ascii="宋体" w:hAnsi="宋体"/>
                <w:color w:val="auto"/>
                <w:sz w:val="18"/>
                <w:szCs w:val="18"/>
                <w:highlight w:val="none"/>
              </w:rPr>
            </w:pPr>
          </w:p>
        </w:tc>
        <w:tc>
          <w:tcPr>
            <w:tcW w:w="967" w:type="dxa"/>
            <w:noWrap w:val="0"/>
            <w:tcMar>
              <w:top w:w="0" w:type="dxa"/>
              <w:left w:w="108" w:type="dxa"/>
              <w:bottom w:w="0" w:type="dxa"/>
              <w:right w:w="108" w:type="dxa"/>
            </w:tcMar>
            <w:vAlign w:val="center"/>
          </w:tcPr>
          <w:p w14:paraId="66E22283">
            <w:pPr>
              <w:jc w:val="center"/>
              <w:rPr>
                <w:rFonts w:ascii="宋体" w:hAnsi="宋体"/>
                <w:color w:val="auto"/>
                <w:sz w:val="18"/>
                <w:szCs w:val="18"/>
                <w:highlight w:val="none"/>
              </w:rPr>
            </w:pPr>
            <w:r>
              <w:rPr>
                <w:rFonts w:hint="eastAsia" w:ascii="宋体" w:hAnsi="宋体"/>
                <w:color w:val="auto"/>
                <w:sz w:val="18"/>
                <w:szCs w:val="18"/>
                <w:highlight w:val="none"/>
              </w:rPr>
              <w:t>0.3元/m2</w:t>
            </w:r>
          </w:p>
        </w:tc>
        <w:tc>
          <w:tcPr>
            <w:tcW w:w="1000" w:type="dxa"/>
            <w:noWrap w:val="0"/>
            <w:tcMar>
              <w:top w:w="0" w:type="dxa"/>
              <w:left w:w="108" w:type="dxa"/>
              <w:bottom w:w="0" w:type="dxa"/>
              <w:right w:w="108" w:type="dxa"/>
            </w:tcMar>
            <w:vAlign w:val="center"/>
          </w:tcPr>
          <w:p w14:paraId="3B7982A8">
            <w:pPr>
              <w:jc w:val="center"/>
              <w:rPr>
                <w:rFonts w:ascii="宋体" w:hAnsi="宋体"/>
                <w:color w:val="auto"/>
                <w:sz w:val="18"/>
                <w:szCs w:val="18"/>
                <w:highlight w:val="none"/>
              </w:rPr>
            </w:pPr>
            <w:r>
              <w:rPr>
                <w:rFonts w:hint="eastAsia" w:ascii="宋体" w:hAnsi="宋体"/>
                <w:color w:val="auto"/>
                <w:sz w:val="18"/>
                <w:szCs w:val="18"/>
                <w:highlight w:val="none"/>
              </w:rPr>
              <w:t>7000m2</w:t>
            </w:r>
          </w:p>
        </w:tc>
        <w:tc>
          <w:tcPr>
            <w:tcW w:w="972" w:type="dxa"/>
            <w:noWrap w:val="0"/>
            <w:tcMar>
              <w:top w:w="0" w:type="dxa"/>
              <w:left w:w="108" w:type="dxa"/>
              <w:bottom w:w="0" w:type="dxa"/>
              <w:right w:w="108" w:type="dxa"/>
            </w:tcMar>
            <w:vAlign w:val="center"/>
          </w:tcPr>
          <w:p w14:paraId="24ACCE0E">
            <w:pPr>
              <w:jc w:val="center"/>
              <w:rPr>
                <w:rFonts w:ascii="宋体" w:hAnsi="宋体"/>
                <w:color w:val="auto"/>
                <w:sz w:val="18"/>
                <w:szCs w:val="18"/>
                <w:highlight w:val="none"/>
              </w:rPr>
            </w:pPr>
            <w:r>
              <w:rPr>
                <w:rFonts w:hint="eastAsia" w:ascii="宋体" w:hAnsi="宋体"/>
                <w:color w:val="auto"/>
                <w:sz w:val="18"/>
                <w:szCs w:val="18"/>
                <w:highlight w:val="none"/>
              </w:rPr>
              <w:t>2100</w:t>
            </w:r>
          </w:p>
        </w:tc>
      </w:tr>
      <w:tr w14:paraId="192B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33" w:hRule="atLeast"/>
          <w:jc w:val="center"/>
        </w:trPr>
        <w:tc>
          <w:tcPr>
            <w:tcW w:w="869" w:type="dxa"/>
            <w:vMerge w:val="continue"/>
            <w:noWrap w:val="0"/>
            <w:tcMar>
              <w:top w:w="0" w:type="dxa"/>
              <w:left w:w="108" w:type="dxa"/>
              <w:bottom w:w="0" w:type="dxa"/>
              <w:right w:w="108" w:type="dxa"/>
            </w:tcMar>
            <w:vAlign w:val="center"/>
          </w:tcPr>
          <w:p w14:paraId="15572107">
            <w:pPr>
              <w:rPr>
                <w:rFonts w:ascii="宋体" w:hAnsi="宋体"/>
                <w:color w:val="auto"/>
                <w:sz w:val="18"/>
                <w:szCs w:val="18"/>
                <w:highlight w:val="none"/>
              </w:rPr>
            </w:pPr>
          </w:p>
        </w:tc>
        <w:tc>
          <w:tcPr>
            <w:tcW w:w="870" w:type="dxa"/>
            <w:vMerge w:val="continue"/>
            <w:noWrap w:val="0"/>
            <w:tcMar>
              <w:top w:w="0" w:type="dxa"/>
              <w:left w:w="108" w:type="dxa"/>
              <w:bottom w:w="0" w:type="dxa"/>
              <w:right w:w="108" w:type="dxa"/>
            </w:tcMar>
            <w:vAlign w:val="center"/>
          </w:tcPr>
          <w:p w14:paraId="4E72CAA7">
            <w:pPr>
              <w:jc w:val="center"/>
              <w:rPr>
                <w:rFonts w:ascii="宋体" w:hAnsi="宋体"/>
                <w:color w:val="auto"/>
                <w:sz w:val="18"/>
                <w:szCs w:val="18"/>
                <w:highlight w:val="none"/>
              </w:rPr>
            </w:pPr>
          </w:p>
        </w:tc>
        <w:tc>
          <w:tcPr>
            <w:tcW w:w="2183" w:type="dxa"/>
            <w:noWrap w:val="0"/>
            <w:tcMar>
              <w:top w:w="0" w:type="dxa"/>
              <w:left w:w="108" w:type="dxa"/>
              <w:bottom w:w="0" w:type="dxa"/>
              <w:right w:w="108" w:type="dxa"/>
            </w:tcMar>
            <w:vAlign w:val="center"/>
          </w:tcPr>
          <w:p w14:paraId="634DE8BD">
            <w:pPr>
              <w:jc w:val="center"/>
              <w:rPr>
                <w:rFonts w:ascii="宋体" w:hAnsi="宋体"/>
                <w:color w:val="auto"/>
                <w:sz w:val="18"/>
                <w:szCs w:val="18"/>
                <w:highlight w:val="none"/>
              </w:rPr>
            </w:pPr>
            <w:r>
              <w:rPr>
                <w:rFonts w:hint="eastAsia" w:ascii="宋体" w:hAnsi="宋体"/>
                <w:color w:val="auto"/>
                <w:sz w:val="18"/>
                <w:szCs w:val="18"/>
                <w:highlight w:val="none"/>
                <w:lang w:eastAsia="zh-CN"/>
              </w:rPr>
              <w:t>西</w:t>
            </w:r>
            <w:r>
              <w:rPr>
                <w:rFonts w:hint="eastAsia" w:ascii="宋体" w:hAnsi="宋体"/>
                <w:color w:val="auto"/>
                <w:sz w:val="18"/>
                <w:szCs w:val="18"/>
                <w:highlight w:val="none"/>
              </w:rPr>
              <w:t>馆</w:t>
            </w:r>
          </w:p>
        </w:tc>
        <w:tc>
          <w:tcPr>
            <w:tcW w:w="3100" w:type="dxa"/>
            <w:vMerge w:val="continue"/>
            <w:noWrap w:val="0"/>
            <w:tcMar>
              <w:top w:w="0" w:type="dxa"/>
              <w:left w:w="108" w:type="dxa"/>
              <w:bottom w:w="0" w:type="dxa"/>
              <w:right w:w="108" w:type="dxa"/>
            </w:tcMar>
            <w:vAlign w:val="top"/>
          </w:tcPr>
          <w:p w14:paraId="2078B0CE">
            <w:pPr>
              <w:rPr>
                <w:rFonts w:ascii="宋体" w:hAnsi="宋体"/>
                <w:color w:val="auto"/>
                <w:sz w:val="18"/>
                <w:szCs w:val="18"/>
                <w:highlight w:val="none"/>
              </w:rPr>
            </w:pPr>
          </w:p>
        </w:tc>
        <w:tc>
          <w:tcPr>
            <w:tcW w:w="967" w:type="dxa"/>
            <w:noWrap w:val="0"/>
            <w:tcMar>
              <w:top w:w="0" w:type="dxa"/>
              <w:left w:w="108" w:type="dxa"/>
              <w:bottom w:w="0" w:type="dxa"/>
              <w:right w:w="108" w:type="dxa"/>
            </w:tcMar>
            <w:vAlign w:val="center"/>
          </w:tcPr>
          <w:p w14:paraId="769FE94E">
            <w:pPr>
              <w:jc w:val="center"/>
              <w:rPr>
                <w:rFonts w:ascii="宋体" w:hAnsi="宋体"/>
                <w:color w:val="auto"/>
                <w:sz w:val="18"/>
                <w:szCs w:val="18"/>
                <w:highlight w:val="none"/>
              </w:rPr>
            </w:pPr>
            <w:r>
              <w:rPr>
                <w:rFonts w:hint="eastAsia" w:ascii="宋体" w:hAnsi="宋体"/>
                <w:color w:val="auto"/>
                <w:sz w:val="18"/>
                <w:szCs w:val="18"/>
                <w:highlight w:val="none"/>
              </w:rPr>
              <w:t>0.3元/m2</w:t>
            </w:r>
          </w:p>
        </w:tc>
        <w:tc>
          <w:tcPr>
            <w:tcW w:w="1000" w:type="dxa"/>
            <w:noWrap w:val="0"/>
            <w:tcMar>
              <w:top w:w="0" w:type="dxa"/>
              <w:left w:w="108" w:type="dxa"/>
              <w:bottom w:w="0" w:type="dxa"/>
              <w:right w:w="108" w:type="dxa"/>
            </w:tcMar>
            <w:vAlign w:val="center"/>
          </w:tcPr>
          <w:p w14:paraId="298B028E">
            <w:pPr>
              <w:jc w:val="center"/>
              <w:rPr>
                <w:rFonts w:ascii="宋体" w:hAnsi="宋体"/>
                <w:color w:val="auto"/>
                <w:sz w:val="18"/>
                <w:szCs w:val="18"/>
                <w:highlight w:val="none"/>
              </w:rPr>
            </w:pPr>
            <w:r>
              <w:rPr>
                <w:rFonts w:hint="eastAsia" w:ascii="宋体" w:hAnsi="宋体"/>
                <w:color w:val="auto"/>
                <w:sz w:val="18"/>
                <w:szCs w:val="18"/>
                <w:highlight w:val="none"/>
              </w:rPr>
              <w:t>7000m2</w:t>
            </w:r>
          </w:p>
        </w:tc>
        <w:tc>
          <w:tcPr>
            <w:tcW w:w="972" w:type="dxa"/>
            <w:noWrap w:val="0"/>
            <w:tcMar>
              <w:top w:w="0" w:type="dxa"/>
              <w:left w:w="108" w:type="dxa"/>
              <w:bottom w:w="0" w:type="dxa"/>
              <w:right w:w="108" w:type="dxa"/>
            </w:tcMar>
            <w:vAlign w:val="center"/>
          </w:tcPr>
          <w:p w14:paraId="2033A4A6">
            <w:pPr>
              <w:jc w:val="center"/>
              <w:rPr>
                <w:rFonts w:ascii="宋体" w:hAnsi="宋体"/>
                <w:color w:val="auto"/>
                <w:sz w:val="18"/>
                <w:szCs w:val="18"/>
                <w:highlight w:val="none"/>
              </w:rPr>
            </w:pPr>
            <w:r>
              <w:rPr>
                <w:rFonts w:hint="eastAsia" w:ascii="宋体" w:hAnsi="宋体"/>
                <w:color w:val="auto"/>
                <w:sz w:val="18"/>
                <w:szCs w:val="18"/>
                <w:highlight w:val="none"/>
              </w:rPr>
              <w:t>2100</w:t>
            </w:r>
          </w:p>
        </w:tc>
      </w:tr>
      <w:tr w14:paraId="0DB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88" w:hRule="atLeast"/>
          <w:jc w:val="center"/>
        </w:trPr>
        <w:tc>
          <w:tcPr>
            <w:tcW w:w="869" w:type="dxa"/>
            <w:vMerge w:val="continue"/>
            <w:noWrap w:val="0"/>
            <w:tcMar>
              <w:top w:w="0" w:type="dxa"/>
              <w:left w:w="108" w:type="dxa"/>
              <w:bottom w:w="0" w:type="dxa"/>
              <w:right w:w="108" w:type="dxa"/>
            </w:tcMar>
            <w:vAlign w:val="center"/>
          </w:tcPr>
          <w:p w14:paraId="278118BA">
            <w:pPr>
              <w:rPr>
                <w:rFonts w:ascii="宋体" w:hAnsi="宋体"/>
                <w:color w:val="auto"/>
                <w:sz w:val="18"/>
                <w:szCs w:val="18"/>
                <w:highlight w:val="none"/>
              </w:rPr>
            </w:pPr>
          </w:p>
        </w:tc>
        <w:tc>
          <w:tcPr>
            <w:tcW w:w="870" w:type="dxa"/>
            <w:vMerge w:val="continue"/>
            <w:noWrap w:val="0"/>
            <w:tcMar>
              <w:top w:w="0" w:type="dxa"/>
              <w:left w:w="108" w:type="dxa"/>
              <w:bottom w:w="0" w:type="dxa"/>
              <w:right w:w="108" w:type="dxa"/>
            </w:tcMar>
            <w:vAlign w:val="center"/>
          </w:tcPr>
          <w:p w14:paraId="16E5A13C">
            <w:pPr>
              <w:jc w:val="center"/>
              <w:rPr>
                <w:rFonts w:ascii="宋体" w:hAnsi="宋体"/>
                <w:color w:val="auto"/>
                <w:sz w:val="18"/>
                <w:szCs w:val="18"/>
                <w:highlight w:val="none"/>
              </w:rPr>
            </w:pPr>
          </w:p>
        </w:tc>
        <w:tc>
          <w:tcPr>
            <w:tcW w:w="2183" w:type="dxa"/>
            <w:noWrap w:val="0"/>
            <w:tcMar>
              <w:top w:w="0" w:type="dxa"/>
              <w:left w:w="108" w:type="dxa"/>
              <w:bottom w:w="0" w:type="dxa"/>
              <w:right w:w="108" w:type="dxa"/>
            </w:tcMar>
            <w:vAlign w:val="center"/>
          </w:tcPr>
          <w:p w14:paraId="1A98FC8D">
            <w:pPr>
              <w:jc w:val="center"/>
              <w:rPr>
                <w:rFonts w:ascii="宋体" w:hAnsi="宋体"/>
                <w:color w:val="auto"/>
                <w:sz w:val="18"/>
                <w:szCs w:val="18"/>
                <w:highlight w:val="none"/>
              </w:rPr>
            </w:pPr>
            <w:r>
              <w:rPr>
                <w:rFonts w:hint="eastAsia" w:ascii="宋体" w:hAnsi="宋体"/>
                <w:color w:val="auto"/>
                <w:sz w:val="18"/>
                <w:szCs w:val="18"/>
                <w:highlight w:val="none"/>
              </w:rPr>
              <w:t>南</w:t>
            </w:r>
            <w:r>
              <w:rPr>
                <w:rFonts w:hint="eastAsia" w:ascii="宋体" w:hAnsi="宋体"/>
                <w:color w:val="auto"/>
                <w:sz w:val="18"/>
                <w:szCs w:val="18"/>
                <w:highlight w:val="none"/>
                <w:lang w:eastAsia="zh-CN"/>
              </w:rPr>
              <w:t>广场</w:t>
            </w:r>
            <w:r>
              <w:rPr>
                <w:rFonts w:hint="eastAsia" w:ascii="宋体" w:hAnsi="宋体"/>
                <w:color w:val="auto"/>
                <w:sz w:val="18"/>
                <w:szCs w:val="18"/>
                <w:highlight w:val="none"/>
              </w:rPr>
              <w:t>地下停车场</w:t>
            </w:r>
          </w:p>
        </w:tc>
        <w:tc>
          <w:tcPr>
            <w:tcW w:w="3100" w:type="dxa"/>
            <w:vMerge w:val="continue"/>
            <w:noWrap w:val="0"/>
            <w:tcMar>
              <w:top w:w="0" w:type="dxa"/>
              <w:left w:w="108" w:type="dxa"/>
              <w:bottom w:w="0" w:type="dxa"/>
              <w:right w:w="108" w:type="dxa"/>
            </w:tcMar>
            <w:vAlign w:val="top"/>
          </w:tcPr>
          <w:p w14:paraId="292FAB7C">
            <w:pPr>
              <w:rPr>
                <w:rFonts w:ascii="宋体" w:hAnsi="宋体"/>
                <w:color w:val="auto"/>
                <w:sz w:val="18"/>
                <w:szCs w:val="18"/>
                <w:highlight w:val="none"/>
              </w:rPr>
            </w:pPr>
          </w:p>
        </w:tc>
        <w:tc>
          <w:tcPr>
            <w:tcW w:w="967" w:type="dxa"/>
            <w:noWrap w:val="0"/>
            <w:tcMar>
              <w:top w:w="0" w:type="dxa"/>
              <w:left w:w="108" w:type="dxa"/>
              <w:bottom w:w="0" w:type="dxa"/>
              <w:right w:w="108" w:type="dxa"/>
            </w:tcMar>
            <w:vAlign w:val="center"/>
          </w:tcPr>
          <w:p w14:paraId="7A775630">
            <w:pPr>
              <w:jc w:val="center"/>
              <w:rPr>
                <w:rFonts w:ascii="宋体" w:hAnsi="宋体"/>
                <w:color w:val="auto"/>
                <w:sz w:val="18"/>
                <w:szCs w:val="18"/>
                <w:highlight w:val="none"/>
              </w:rPr>
            </w:pPr>
            <w:r>
              <w:rPr>
                <w:rFonts w:hint="eastAsia" w:ascii="宋体" w:hAnsi="宋体"/>
                <w:color w:val="auto"/>
                <w:sz w:val="18"/>
                <w:szCs w:val="18"/>
                <w:highlight w:val="none"/>
              </w:rPr>
              <w:t>0.3元/m2</w:t>
            </w:r>
          </w:p>
        </w:tc>
        <w:tc>
          <w:tcPr>
            <w:tcW w:w="1000" w:type="dxa"/>
            <w:noWrap w:val="0"/>
            <w:tcMar>
              <w:top w:w="0" w:type="dxa"/>
              <w:left w:w="108" w:type="dxa"/>
              <w:bottom w:w="0" w:type="dxa"/>
              <w:right w:w="108" w:type="dxa"/>
            </w:tcMar>
            <w:vAlign w:val="center"/>
          </w:tcPr>
          <w:p w14:paraId="48723BE7">
            <w:pPr>
              <w:jc w:val="center"/>
              <w:rPr>
                <w:rFonts w:ascii="宋体" w:hAnsi="宋体"/>
                <w:color w:val="auto"/>
                <w:sz w:val="18"/>
                <w:szCs w:val="18"/>
                <w:highlight w:val="none"/>
              </w:rPr>
            </w:pPr>
            <w:r>
              <w:rPr>
                <w:rFonts w:hint="eastAsia" w:ascii="宋体" w:hAnsi="宋体"/>
                <w:color w:val="auto"/>
                <w:sz w:val="18"/>
                <w:szCs w:val="18"/>
                <w:highlight w:val="none"/>
              </w:rPr>
              <w:t>8000m2</w:t>
            </w:r>
          </w:p>
        </w:tc>
        <w:tc>
          <w:tcPr>
            <w:tcW w:w="972" w:type="dxa"/>
            <w:noWrap w:val="0"/>
            <w:tcMar>
              <w:top w:w="0" w:type="dxa"/>
              <w:left w:w="108" w:type="dxa"/>
              <w:bottom w:w="0" w:type="dxa"/>
              <w:right w:w="108" w:type="dxa"/>
            </w:tcMar>
            <w:vAlign w:val="center"/>
          </w:tcPr>
          <w:p w14:paraId="67233615">
            <w:pPr>
              <w:jc w:val="center"/>
              <w:rPr>
                <w:rFonts w:ascii="宋体" w:hAnsi="宋体"/>
                <w:color w:val="auto"/>
                <w:sz w:val="18"/>
                <w:szCs w:val="18"/>
                <w:highlight w:val="none"/>
              </w:rPr>
            </w:pPr>
            <w:r>
              <w:rPr>
                <w:rFonts w:hint="eastAsia" w:ascii="宋体" w:hAnsi="宋体"/>
                <w:color w:val="auto"/>
                <w:sz w:val="18"/>
                <w:szCs w:val="18"/>
                <w:highlight w:val="none"/>
              </w:rPr>
              <w:t>2400</w:t>
            </w:r>
          </w:p>
        </w:tc>
      </w:tr>
      <w:tr w14:paraId="2C06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58" w:hRule="atLeast"/>
          <w:jc w:val="center"/>
        </w:trPr>
        <w:tc>
          <w:tcPr>
            <w:tcW w:w="869" w:type="dxa"/>
            <w:vMerge w:val="continue"/>
            <w:noWrap w:val="0"/>
            <w:tcMar>
              <w:top w:w="0" w:type="dxa"/>
              <w:left w:w="108" w:type="dxa"/>
              <w:bottom w:w="0" w:type="dxa"/>
              <w:right w:w="108" w:type="dxa"/>
            </w:tcMar>
            <w:vAlign w:val="center"/>
          </w:tcPr>
          <w:p w14:paraId="3DCD9B6E">
            <w:pPr>
              <w:rPr>
                <w:rFonts w:ascii="宋体" w:hAnsi="宋体"/>
                <w:color w:val="auto"/>
                <w:sz w:val="18"/>
                <w:szCs w:val="18"/>
                <w:highlight w:val="none"/>
              </w:rPr>
            </w:pPr>
          </w:p>
        </w:tc>
        <w:tc>
          <w:tcPr>
            <w:tcW w:w="870" w:type="dxa"/>
            <w:vMerge w:val="continue"/>
            <w:noWrap w:val="0"/>
            <w:tcMar>
              <w:top w:w="0" w:type="dxa"/>
              <w:left w:w="108" w:type="dxa"/>
              <w:bottom w:w="0" w:type="dxa"/>
              <w:right w:w="108" w:type="dxa"/>
            </w:tcMar>
            <w:vAlign w:val="center"/>
          </w:tcPr>
          <w:p w14:paraId="63A2D30D">
            <w:pPr>
              <w:jc w:val="center"/>
              <w:rPr>
                <w:rFonts w:ascii="宋体" w:hAnsi="宋体"/>
                <w:color w:val="auto"/>
                <w:sz w:val="18"/>
                <w:szCs w:val="18"/>
                <w:highlight w:val="none"/>
              </w:rPr>
            </w:pPr>
          </w:p>
        </w:tc>
        <w:tc>
          <w:tcPr>
            <w:tcW w:w="2183" w:type="dxa"/>
            <w:noWrap w:val="0"/>
            <w:tcMar>
              <w:top w:w="0" w:type="dxa"/>
              <w:left w:w="108" w:type="dxa"/>
              <w:bottom w:w="0" w:type="dxa"/>
              <w:right w:w="108" w:type="dxa"/>
            </w:tcMar>
            <w:vAlign w:val="center"/>
          </w:tcPr>
          <w:p w14:paraId="63701485">
            <w:pPr>
              <w:jc w:val="center"/>
              <w:rPr>
                <w:rFonts w:ascii="宋体" w:hAnsi="宋体"/>
                <w:color w:val="auto"/>
                <w:sz w:val="18"/>
                <w:szCs w:val="18"/>
                <w:highlight w:val="none"/>
              </w:rPr>
            </w:pPr>
            <w:r>
              <w:rPr>
                <w:rFonts w:hint="eastAsia" w:ascii="宋体" w:hAnsi="宋体"/>
                <w:color w:val="auto"/>
                <w:sz w:val="18"/>
                <w:szCs w:val="18"/>
                <w:highlight w:val="none"/>
              </w:rPr>
              <w:t>设备楼</w:t>
            </w:r>
          </w:p>
        </w:tc>
        <w:tc>
          <w:tcPr>
            <w:tcW w:w="3100" w:type="dxa"/>
            <w:vMerge w:val="continue"/>
            <w:noWrap w:val="0"/>
            <w:tcMar>
              <w:top w:w="0" w:type="dxa"/>
              <w:left w:w="108" w:type="dxa"/>
              <w:bottom w:w="0" w:type="dxa"/>
              <w:right w:w="108" w:type="dxa"/>
            </w:tcMar>
            <w:vAlign w:val="top"/>
          </w:tcPr>
          <w:p w14:paraId="4B91A579">
            <w:pPr>
              <w:rPr>
                <w:rFonts w:ascii="宋体" w:hAnsi="宋体"/>
                <w:color w:val="auto"/>
                <w:sz w:val="18"/>
                <w:szCs w:val="18"/>
                <w:highlight w:val="none"/>
              </w:rPr>
            </w:pPr>
          </w:p>
        </w:tc>
        <w:tc>
          <w:tcPr>
            <w:tcW w:w="967" w:type="dxa"/>
            <w:noWrap w:val="0"/>
            <w:tcMar>
              <w:top w:w="0" w:type="dxa"/>
              <w:left w:w="108" w:type="dxa"/>
              <w:bottom w:w="0" w:type="dxa"/>
              <w:right w:w="108" w:type="dxa"/>
            </w:tcMar>
            <w:vAlign w:val="center"/>
          </w:tcPr>
          <w:p w14:paraId="216AA3D0">
            <w:pPr>
              <w:jc w:val="center"/>
              <w:rPr>
                <w:rFonts w:ascii="宋体" w:hAnsi="宋体"/>
                <w:color w:val="auto"/>
                <w:sz w:val="18"/>
                <w:szCs w:val="18"/>
                <w:highlight w:val="none"/>
              </w:rPr>
            </w:pPr>
            <w:r>
              <w:rPr>
                <w:rFonts w:hint="eastAsia" w:ascii="宋体" w:hAnsi="宋体"/>
                <w:color w:val="auto"/>
                <w:sz w:val="18"/>
                <w:szCs w:val="18"/>
                <w:highlight w:val="none"/>
              </w:rPr>
              <w:t>0.3元/m2</w:t>
            </w:r>
          </w:p>
        </w:tc>
        <w:tc>
          <w:tcPr>
            <w:tcW w:w="1000" w:type="dxa"/>
            <w:noWrap w:val="0"/>
            <w:tcMar>
              <w:top w:w="0" w:type="dxa"/>
              <w:left w:w="108" w:type="dxa"/>
              <w:bottom w:w="0" w:type="dxa"/>
              <w:right w:w="108" w:type="dxa"/>
            </w:tcMar>
            <w:vAlign w:val="center"/>
          </w:tcPr>
          <w:p w14:paraId="4883DF66">
            <w:pPr>
              <w:jc w:val="center"/>
              <w:rPr>
                <w:rFonts w:ascii="宋体" w:hAnsi="宋体"/>
                <w:color w:val="auto"/>
                <w:sz w:val="18"/>
                <w:szCs w:val="18"/>
                <w:highlight w:val="none"/>
              </w:rPr>
            </w:pPr>
            <w:r>
              <w:rPr>
                <w:rFonts w:hint="eastAsia" w:ascii="宋体" w:hAnsi="宋体"/>
                <w:color w:val="auto"/>
                <w:sz w:val="18"/>
                <w:szCs w:val="18"/>
                <w:highlight w:val="none"/>
              </w:rPr>
              <w:t>5000m2</w:t>
            </w:r>
          </w:p>
        </w:tc>
        <w:tc>
          <w:tcPr>
            <w:tcW w:w="972" w:type="dxa"/>
            <w:noWrap w:val="0"/>
            <w:tcMar>
              <w:top w:w="0" w:type="dxa"/>
              <w:left w:w="108" w:type="dxa"/>
              <w:bottom w:w="0" w:type="dxa"/>
              <w:right w:w="108" w:type="dxa"/>
            </w:tcMar>
            <w:vAlign w:val="center"/>
          </w:tcPr>
          <w:p w14:paraId="04132FB1">
            <w:pPr>
              <w:jc w:val="center"/>
              <w:rPr>
                <w:rFonts w:ascii="宋体" w:hAnsi="宋体"/>
                <w:color w:val="auto"/>
                <w:sz w:val="18"/>
                <w:szCs w:val="18"/>
                <w:highlight w:val="none"/>
              </w:rPr>
            </w:pPr>
            <w:r>
              <w:rPr>
                <w:rFonts w:hint="eastAsia" w:ascii="宋体" w:hAnsi="宋体"/>
                <w:color w:val="auto"/>
                <w:sz w:val="18"/>
                <w:szCs w:val="18"/>
                <w:highlight w:val="none"/>
              </w:rPr>
              <w:t>1500</w:t>
            </w:r>
          </w:p>
        </w:tc>
      </w:tr>
      <w:tr w14:paraId="03E4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60" w:hRule="atLeast"/>
          <w:jc w:val="center"/>
        </w:trPr>
        <w:tc>
          <w:tcPr>
            <w:tcW w:w="869" w:type="dxa"/>
            <w:vMerge w:val="continue"/>
            <w:noWrap w:val="0"/>
            <w:tcMar>
              <w:top w:w="0" w:type="dxa"/>
              <w:left w:w="108" w:type="dxa"/>
              <w:bottom w:w="0" w:type="dxa"/>
              <w:right w:w="108" w:type="dxa"/>
            </w:tcMar>
            <w:vAlign w:val="center"/>
          </w:tcPr>
          <w:p w14:paraId="63278706">
            <w:pPr>
              <w:rPr>
                <w:rFonts w:ascii="宋体" w:hAnsi="宋体"/>
                <w:color w:val="auto"/>
                <w:sz w:val="18"/>
                <w:szCs w:val="18"/>
                <w:highlight w:val="none"/>
              </w:rPr>
            </w:pPr>
          </w:p>
        </w:tc>
        <w:tc>
          <w:tcPr>
            <w:tcW w:w="870" w:type="dxa"/>
            <w:vMerge w:val="continue"/>
            <w:noWrap w:val="0"/>
            <w:tcMar>
              <w:top w:w="0" w:type="dxa"/>
              <w:left w:w="108" w:type="dxa"/>
              <w:bottom w:w="0" w:type="dxa"/>
              <w:right w:w="108" w:type="dxa"/>
            </w:tcMar>
            <w:vAlign w:val="center"/>
          </w:tcPr>
          <w:p w14:paraId="64881A1C">
            <w:pPr>
              <w:jc w:val="center"/>
              <w:rPr>
                <w:rFonts w:ascii="宋体" w:hAnsi="宋体"/>
                <w:color w:val="auto"/>
                <w:sz w:val="18"/>
                <w:szCs w:val="18"/>
                <w:highlight w:val="none"/>
              </w:rPr>
            </w:pPr>
          </w:p>
        </w:tc>
        <w:tc>
          <w:tcPr>
            <w:tcW w:w="2183" w:type="dxa"/>
            <w:noWrap w:val="0"/>
            <w:tcMar>
              <w:top w:w="0" w:type="dxa"/>
              <w:left w:w="108" w:type="dxa"/>
              <w:bottom w:w="0" w:type="dxa"/>
              <w:right w:w="108" w:type="dxa"/>
            </w:tcMar>
            <w:vAlign w:val="center"/>
          </w:tcPr>
          <w:p w14:paraId="33BF9A6F">
            <w:pPr>
              <w:jc w:val="center"/>
              <w:rPr>
                <w:rFonts w:ascii="宋体" w:hAnsi="宋体"/>
                <w:color w:val="auto"/>
                <w:sz w:val="18"/>
                <w:szCs w:val="18"/>
                <w:highlight w:val="none"/>
              </w:rPr>
            </w:pPr>
            <w:r>
              <w:rPr>
                <w:rFonts w:hint="eastAsia" w:ascii="宋体" w:hAnsi="宋体"/>
                <w:color w:val="auto"/>
                <w:sz w:val="18"/>
                <w:szCs w:val="18"/>
                <w:highlight w:val="none"/>
              </w:rPr>
              <w:t>三中心（游客服务中心、文物保护中心、文物研究中心）</w:t>
            </w:r>
          </w:p>
        </w:tc>
        <w:tc>
          <w:tcPr>
            <w:tcW w:w="3100" w:type="dxa"/>
            <w:vMerge w:val="continue"/>
            <w:noWrap w:val="0"/>
            <w:tcMar>
              <w:top w:w="0" w:type="dxa"/>
              <w:left w:w="108" w:type="dxa"/>
              <w:bottom w:w="0" w:type="dxa"/>
              <w:right w:w="108" w:type="dxa"/>
            </w:tcMar>
            <w:vAlign w:val="top"/>
          </w:tcPr>
          <w:p w14:paraId="08F0B525">
            <w:pPr>
              <w:rPr>
                <w:rFonts w:ascii="宋体" w:hAnsi="宋体"/>
                <w:color w:val="auto"/>
                <w:sz w:val="18"/>
                <w:szCs w:val="18"/>
                <w:highlight w:val="none"/>
              </w:rPr>
            </w:pPr>
          </w:p>
        </w:tc>
        <w:tc>
          <w:tcPr>
            <w:tcW w:w="967" w:type="dxa"/>
            <w:noWrap w:val="0"/>
            <w:tcMar>
              <w:top w:w="0" w:type="dxa"/>
              <w:left w:w="108" w:type="dxa"/>
              <w:bottom w:w="0" w:type="dxa"/>
              <w:right w:w="108" w:type="dxa"/>
            </w:tcMar>
            <w:vAlign w:val="center"/>
          </w:tcPr>
          <w:p w14:paraId="4AE5969F">
            <w:pPr>
              <w:jc w:val="center"/>
              <w:rPr>
                <w:rFonts w:ascii="宋体" w:hAnsi="宋体"/>
                <w:color w:val="auto"/>
                <w:sz w:val="18"/>
                <w:szCs w:val="18"/>
                <w:highlight w:val="none"/>
              </w:rPr>
            </w:pPr>
            <w:r>
              <w:rPr>
                <w:rFonts w:hint="eastAsia" w:ascii="宋体" w:hAnsi="宋体"/>
                <w:color w:val="auto"/>
                <w:sz w:val="18"/>
                <w:szCs w:val="18"/>
                <w:highlight w:val="none"/>
              </w:rPr>
              <w:t>0.3元/m2</w:t>
            </w:r>
          </w:p>
        </w:tc>
        <w:tc>
          <w:tcPr>
            <w:tcW w:w="1000" w:type="dxa"/>
            <w:noWrap w:val="0"/>
            <w:tcMar>
              <w:top w:w="0" w:type="dxa"/>
              <w:left w:w="108" w:type="dxa"/>
              <w:bottom w:w="0" w:type="dxa"/>
              <w:right w:w="108" w:type="dxa"/>
            </w:tcMar>
            <w:vAlign w:val="center"/>
          </w:tcPr>
          <w:p w14:paraId="6BD3DDA3">
            <w:pPr>
              <w:jc w:val="center"/>
              <w:rPr>
                <w:rFonts w:ascii="宋体" w:hAnsi="宋体"/>
                <w:color w:val="auto"/>
                <w:sz w:val="18"/>
                <w:szCs w:val="18"/>
                <w:highlight w:val="none"/>
              </w:rPr>
            </w:pPr>
            <w:r>
              <w:rPr>
                <w:rFonts w:hint="eastAsia" w:ascii="宋体" w:hAnsi="宋体"/>
                <w:color w:val="auto"/>
                <w:sz w:val="18"/>
                <w:szCs w:val="18"/>
                <w:highlight w:val="none"/>
              </w:rPr>
              <w:t>14000m2</w:t>
            </w:r>
          </w:p>
        </w:tc>
        <w:tc>
          <w:tcPr>
            <w:tcW w:w="972" w:type="dxa"/>
            <w:noWrap w:val="0"/>
            <w:tcMar>
              <w:top w:w="0" w:type="dxa"/>
              <w:left w:w="108" w:type="dxa"/>
              <w:bottom w:w="0" w:type="dxa"/>
              <w:right w:w="108" w:type="dxa"/>
            </w:tcMar>
            <w:vAlign w:val="center"/>
          </w:tcPr>
          <w:p w14:paraId="37638719">
            <w:pPr>
              <w:jc w:val="center"/>
              <w:rPr>
                <w:rFonts w:ascii="宋体" w:hAnsi="宋体"/>
                <w:color w:val="auto"/>
                <w:sz w:val="18"/>
                <w:szCs w:val="18"/>
                <w:highlight w:val="none"/>
              </w:rPr>
            </w:pPr>
            <w:r>
              <w:rPr>
                <w:rFonts w:hint="eastAsia" w:ascii="宋体" w:hAnsi="宋体"/>
                <w:color w:val="auto"/>
                <w:sz w:val="18"/>
                <w:szCs w:val="18"/>
                <w:highlight w:val="none"/>
              </w:rPr>
              <w:t>4200</w:t>
            </w:r>
          </w:p>
        </w:tc>
      </w:tr>
      <w:tr w14:paraId="76F1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18" w:hRule="atLeast"/>
          <w:jc w:val="center"/>
        </w:trPr>
        <w:tc>
          <w:tcPr>
            <w:tcW w:w="869" w:type="dxa"/>
            <w:vMerge w:val="continue"/>
            <w:noWrap w:val="0"/>
            <w:tcMar>
              <w:top w:w="0" w:type="dxa"/>
              <w:left w:w="108" w:type="dxa"/>
              <w:bottom w:w="0" w:type="dxa"/>
              <w:right w:w="108" w:type="dxa"/>
            </w:tcMar>
            <w:vAlign w:val="center"/>
          </w:tcPr>
          <w:p w14:paraId="2F118CEA">
            <w:pPr>
              <w:rPr>
                <w:rFonts w:ascii="宋体" w:hAnsi="宋体"/>
                <w:color w:val="auto"/>
                <w:sz w:val="18"/>
                <w:szCs w:val="18"/>
                <w:highlight w:val="none"/>
              </w:rPr>
            </w:pPr>
          </w:p>
        </w:tc>
        <w:tc>
          <w:tcPr>
            <w:tcW w:w="870" w:type="dxa"/>
            <w:vMerge w:val="continue"/>
            <w:noWrap w:val="0"/>
            <w:tcMar>
              <w:top w:w="0" w:type="dxa"/>
              <w:left w:w="108" w:type="dxa"/>
              <w:bottom w:w="0" w:type="dxa"/>
              <w:right w:w="108" w:type="dxa"/>
            </w:tcMar>
            <w:vAlign w:val="center"/>
          </w:tcPr>
          <w:p w14:paraId="045F5C1E">
            <w:pPr>
              <w:jc w:val="center"/>
              <w:rPr>
                <w:rFonts w:ascii="宋体" w:hAnsi="宋体"/>
                <w:color w:val="auto"/>
                <w:sz w:val="18"/>
                <w:szCs w:val="18"/>
                <w:highlight w:val="none"/>
              </w:rPr>
            </w:pPr>
          </w:p>
        </w:tc>
        <w:tc>
          <w:tcPr>
            <w:tcW w:w="2183" w:type="dxa"/>
            <w:noWrap w:val="0"/>
            <w:tcMar>
              <w:top w:w="0" w:type="dxa"/>
              <w:left w:w="108" w:type="dxa"/>
              <w:bottom w:w="0" w:type="dxa"/>
              <w:right w:w="108" w:type="dxa"/>
            </w:tcMar>
            <w:vAlign w:val="center"/>
          </w:tcPr>
          <w:p w14:paraId="357AC0D9">
            <w:pPr>
              <w:jc w:val="center"/>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eastAsia="zh-CN"/>
              </w:rPr>
              <w:t>南馆</w:t>
            </w:r>
          </w:p>
        </w:tc>
        <w:tc>
          <w:tcPr>
            <w:tcW w:w="3100" w:type="dxa"/>
            <w:vMerge w:val="continue"/>
            <w:noWrap w:val="0"/>
            <w:tcMar>
              <w:top w:w="0" w:type="dxa"/>
              <w:left w:w="108" w:type="dxa"/>
              <w:bottom w:w="0" w:type="dxa"/>
              <w:right w:w="108" w:type="dxa"/>
            </w:tcMar>
            <w:vAlign w:val="top"/>
          </w:tcPr>
          <w:p w14:paraId="3C42CF3A">
            <w:pPr>
              <w:rPr>
                <w:rFonts w:ascii="宋体" w:hAnsi="宋体"/>
                <w:color w:val="auto"/>
                <w:sz w:val="18"/>
                <w:szCs w:val="18"/>
                <w:highlight w:val="none"/>
              </w:rPr>
            </w:pPr>
          </w:p>
        </w:tc>
        <w:tc>
          <w:tcPr>
            <w:tcW w:w="967" w:type="dxa"/>
            <w:noWrap w:val="0"/>
            <w:tcMar>
              <w:top w:w="0" w:type="dxa"/>
              <w:left w:w="108" w:type="dxa"/>
              <w:bottom w:w="0" w:type="dxa"/>
              <w:right w:w="108" w:type="dxa"/>
            </w:tcMar>
            <w:vAlign w:val="center"/>
          </w:tcPr>
          <w:p w14:paraId="4F0AEF76">
            <w:pPr>
              <w:jc w:val="center"/>
              <w:rPr>
                <w:rFonts w:ascii="宋体" w:hAnsi="宋体"/>
                <w:color w:val="auto"/>
                <w:sz w:val="18"/>
                <w:szCs w:val="18"/>
                <w:highlight w:val="none"/>
              </w:rPr>
            </w:pPr>
            <w:r>
              <w:rPr>
                <w:rFonts w:hint="eastAsia" w:ascii="宋体" w:hAnsi="宋体"/>
                <w:color w:val="auto"/>
                <w:sz w:val="18"/>
                <w:szCs w:val="18"/>
                <w:highlight w:val="none"/>
              </w:rPr>
              <w:t>0.3元/m2</w:t>
            </w:r>
          </w:p>
        </w:tc>
        <w:tc>
          <w:tcPr>
            <w:tcW w:w="1000" w:type="dxa"/>
            <w:noWrap w:val="0"/>
            <w:tcMar>
              <w:top w:w="0" w:type="dxa"/>
              <w:left w:w="108" w:type="dxa"/>
              <w:bottom w:w="0" w:type="dxa"/>
              <w:right w:w="108" w:type="dxa"/>
            </w:tcMar>
            <w:vAlign w:val="center"/>
          </w:tcPr>
          <w:p w14:paraId="7D28DD65">
            <w:pPr>
              <w:jc w:val="center"/>
              <w:rPr>
                <w:rFonts w:ascii="宋体" w:hAnsi="宋体"/>
                <w:color w:val="auto"/>
                <w:sz w:val="18"/>
                <w:szCs w:val="18"/>
                <w:highlight w:val="none"/>
              </w:rPr>
            </w:pPr>
            <w:r>
              <w:rPr>
                <w:rFonts w:hint="eastAsia" w:ascii="宋体" w:hAnsi="宋体"/>
                <w:color w:val="auto"/>
                <w:sz w:val="18"/>
                <w:szCs w:val="18"/>
                <w:highlight w:val="none"/>
              </w:rPr>
              <w:t>40000m2</w:t>
            </w:r>
          </w:p>
        </w:tc>
        <w:tc>
          <w:tcPr>
            <w:tcW w:w="972" w:type="dxa"/>
            <w:noWrap w:val="0"/>
            <w:tcMar>
              <w:top w:w="0" w:type="dxa"/>
              <w:left w:w="108" w:type="dxa"/>
              <w:bottom w:w="0" w:type="dxa"/>
              <w:right w:w="108" w:type="dxa"/>
            </w:tcMar>
            <w:vAlign w:val="center"/>
          </w:tcPr>
          <w:p w14:paraId="21AF8C77">
            <w:pPr>
              <w:jc w:val="center"/>
              <w:rPr>
                <w:rFonts w:ascii="宋体" w:hAnsi="宋体"/>
                <w:color w:val="auto"/>
                <w:sz w:val="18"/>
                <w:szCs w:val="18"/>
                <w:highlight w:val="none"/>
              </w:rPr>
            </w:pPr>
            <w:r>
              <w:rPr>
                <w:rFonts w:hint="eastAsia" w:ascii="宋体" w:hAnsi="宋体"/>
                <w:color w:val="auto"/>
                <w:sz w:val="18"/>
                <w:szCs w:val="18"/>
                <w:highlight w:val="none"/>
              </w:rPr>
              <w:t>12000</w:t>
            </w:r>
          </w:p>
        </w:tc>
      </w:tr>
      <w:tr w14:paraId="3A9D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08" w:hRule="atLeast"/>
          <w:jc w:val="center"/>
        </w:trPr>
        <w:tc>
          <w:tcPr>
            <w:tcW w:w="869" w:type="dxa"/>
            <w:vMerge w:val="continue"/>
            <w:noWrap w:val="0"/>
            <w:tcMar>
              <w:top w:w="0" w:type="dxa"/>
              <w:left w:w="108" w:type="dxa"/>
              <w:bottom w:w="0" w:type="dxa"/>
              <w:right w:w="108" w:type="dxa"/>
            </w:tcMar>
            <w:vAlign w:val="center"/>
          </w:tcPr>
          <w:p w14:paraId="13621D05">
            <w:pPr>
              <w:rPr>
                <w:rFonts w:ascii="宋体" w:hAnsi="宋体"/>
                <w:color w:val="auto"/>
                <w:sz w:val="18"/>
                <w:szCs w:val="18"/>
                <w:highlight w:val="none"/>
              </w:rPr>
            </w:pPr>
          </w:p>
        </w:tc>
        <w:tc>
          <w:tcPr>
            <w:tcW w:w="870" w:type="dxa"/>
            <w:vMerge w:val="continue"/>
            <w:noWrap w:val="0"/>
            <w:tcMar>
              <w:top w:w="0" w:type="dxa"/>
              <w:left w:w="108" w:type="dxa"/>
              <w:bottom w:w="0" w:type="dxa"/>
              <w:right w:w="108" w:type="dxa"/>
            </w:tcMar>
            <w:vAlign w:val="center"/>
          </w:tcPr>
          <w:p w14:paraId="4E133EA9">
            <w:pPr>
              <w:jc w:val="center"/>
              <w:rPr>
                <w:rFonts w:ascii="宋体" w:hAnsi="宋体"/>
                <w:color w:val="auto"/>
                <w:sz w:val="18"/>
                <w:szCs w:val="18"/>
                <w:highlight w:val="none"/>
              </w:rPr>
            </w:pPr>
          </w:p>
        </w:tc>
        <w:tc>
          <w:tcPr>
            <w:tcW w:w="2183" w:type="dxa"/>
            <w:noWrap w:val="0"/>
            <w:tcMar>
              <w:top w:w="0" w:type="dxa"/>
              <w:left w:w="108" w:type="dxa"/>
              <w:bottom w:w="0" w:type="dxa"/>
              <w:right w:w="108" w:type="dxa"/>
            </w:tcMar>
            <w:vAlign w:val="center"/>
          </w:tcPr>
          <w:p w14:paraId="1221B8A2">
            <w:pPr>
              <w:jc w:val="center"/>
              <w:rPr>
                <w:rFonts w:ascii="宋体" w:hAnsi="宋体"/>
                <w:color w:val="auto"/>
                <w:sz w:val="18"/>
                <w:szCs w:val="18"/>
                <w:highlight w:val="none"/>
              </w:rPr>
            </w:pPr>
            <w:r>
              <w:rPr>
                <w:rFonts w:hint="eastAsia" w:ascii="宋体" w:hAnsi="宋体"/>
                <w:color w:val="auto"/>
                <w:sz w:val="18"/>
                <w:szCs w:val="18"/>
                <w:highlight w:val="none"/>
              </w:rPr>
              <w:t>北广场地下停车场</w:t>
            </w:r>
          </w:p>
        </w:tc>
        <w:tc>
          <w:tcPr>
            <w:tcW w:w="3100" w:type="dxa"/>
            <w:vMerge w:val="continue"/>
            <w:noWrap w:val="0"/>
            <w:tcMar>
              <w:top w:w="0" w:type="dxa"/>
              <w:left w:w="108" w:type="dxa"/>
              <w:bottom w:w="0" w:type="dxa"/>
              <w:right w:w="108" w:type="dxa"/>
            </w:tcMar>
            <w:vAlign w:val="top"/>
          </w:tcPr>
          <w:p w14:paraId="4BB3F54F">
            <w:pPr>
              <w:rPr>
                <w:rFonts w:ascii="宋体" w:hAnsi="宋体"/>
                <w:color w:val="auto"/>
                <w:sz w:val="18"/>
                <w:szCs w:val="18"/>
                <w:highlight w:val="none"/>
              </w:rPr>
            </w:pPr>
          </w:p>
        </w:tc>
        <w:tc>
          <w:tcPr>
            <w:tcW w:w="967" w:type="dxa"/>
            <w:noWrap w:val="0"/>
            <w:tcMar>
              <w:top w:w="0" w:type="dxa"/>
              <w:left w:w="108" w:type="dxa"/>
              <w:bottom w:w="0" w:type="dxa"/>
              <w:right w:w="108" w:type="dxa"/>
            </w:tcMar>
            <w:vAlign w:val="center"/>
          </w:tcPr>
          <w:p w14:paraId="6064A524">
            <w:pPr>
              <w:jc w:val="center"/>
              <w:rPr>
                <w:rFonts w:ascii="宋体" w:hAnsi="宋体"/>
                <w:color w:val="auto"/>
                <w:sz w:val="18"/>
                <w:szCs w:val="18"/>
                <w:highlight w:val="none"/>
              </w:rPr>
            </w:pPr>
            <w:r>
              <w:rPr>
                <w:rFonts w:hint="eastAsia" w:ascii="宋体" w:hAnsi="宋体"/>
                <w:color w:val="auto"/>
                <w:sz w:val="18"/>
                <w:szCs w:val="18"/>
                <w:highlight w:val="none"/>
              </w:rPr>
              <w:t>0.3元/m2</w:t>
            </w:r>
          </w:p>
        </w:tc>
        <w:tc>
          <w:tcPr>
            <w:tcW w:w="1000" w:type="dxa"/>
            <w:noWrap w:val="0"/>
            <w:tcMar>
              <w:top w:w="0" w:type="dxa"/>
              <w:left w:w="108" w:type="dxa"/>
              <w:bottom w:w="0" w:type="dxa"/>
              <w:right w:w="108" w:type="dxa"/>
            </w:tcMar>
            <w:vAlign w:val="center"/>
          </w:tcPr>
          <w:p w14:paraId="276347B3">
            <w:pPr>
              <w:jc w:val="center"/>
              <w:rPr>
                <w:rFonts w:ascii="宋体" w:hAnsi="宋体"/>
                <w:color w:val="auto"/>
                <w:sz w:val="18"/>
                <w:szCs w:val="18"/>
                <w:highlight w:val="none"/>
              </w:rPr>
            </w:pPr>
            <w:r>
              <w:rPr>
                <w:rFonts w:hint="eastAsia" w:ascii="宋体" w:hAnsi="宋体"/>
                <w:color w:val="auto"/>
                <w:sz w:val="18"/>
                <w:szCs w:val="18"/>
                <w:highlight w:val="none"/>
              </w:rPr>
              <w:t>9000m2</w:t>
            </w:r>
          </w:p>
        </w:tc>
        <w:tc>
          <w:tcPr>
            <w:tcW w:w="972" w:type="dxa"/>
            <w:noWrap w:val="0"/>
            <w:tcMar>
              <w:top w:w="0" w:type="dxa"/>
              <w:left w:w="108" w:type="dxa"/>
              <w:bottom w:w="0" w:type="dxa"/>
              <w:right w:w="108" w:type="dxa"/>
            </w:tcMar>
            <w:vAlign w:val="center"/>
          </w:tcPr>
          <w:p w14:paraId="4DC7EDBD">
            <w:pPr>
              <w:jc w:val="center"/>
              <w:rPr>
                <w:rFonts w:ascii="宋体" w:hAnsi="宋体"/>
                <w:color w:val="auto"/>
                <w:sz w:val="18"/>
                <w:szCs w:val="18"/>
                <w:highlight w:val="none"/>
              </w:rPr>
            </w:pPr>
            <w:r>
              <w:rPr>
                <w:rFonts w:hint="eastAsia" w:ascii="宋体" w:hAnsi="宋体"/>
                <w:color w:val="auto"/>
                <w:sz w:val="18"/>
                <w:szCs w:val="18"/>
                <w:highlight w:val="none"/>
              </w:rPr>
              <w:t>2700</w:t>
            </w:r>
          </w:p>
        </w:tc>
      </w:tr>
      <w:tr w14:paraId="178D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911" w:hRule="atLeast"/>
          <w:jc w:val="center"/>
        </w:trPr>
        <w:tc>
          <w:tcPr>
            <w:tcW w:w="869" w:type="dxa"/>
            <w:vMerge w:val="continue"/>
            <w:noWrap w:val="0"/>
            <w:tcMar>
              <w:top w:w="0" w:type="dxa"/>
              <w:left w:w="108" w:type="dxa"/>
              <w:bottom w:w="0" w:type="dxa"/>
              <w:right w:w="108" w:type="dxa"/>
            </w:tcMar>
            <w:vAlign w:val="center"/>
          </w:tcPr>
          <w:p w14:paraId="6C2EBB43">
            <w:pPr>
              <w:rPr>
                <w:rFonts w:ascii="宋体" w:hAnsi="宋体"/>
                <w:color w:val="auto"/>
                <w:sz w:val="18"/>
                <w:szCs w:val="18"/>
                <w:highlight w:val="none"/>
              </w:rPr>
            </w:pPr>
          </w:p>
        </w:tc>
        <w:tc>
          <w:tcPr>
            <w:tcW w:w="870" w:type="dxa"/>
            <w:vMerge w:val="continue"/>
            <w:noWrap w:val="0"/>
            <w:tcMar>
              <w:top w:w="0" w:type="dxa"/>
              <w:left w:w="108" w:type="dxa"/>
              <w:bottom w:w="0" w:type="dxa"/>
              <w:right w:w="108" w:type="dxa"/>
            </w:tcMar>
            <w:vAlign w:val="center"/>
          </w:tcPr>
          <w:p w14:paraId="1D76AE64">
            <w:pPr>
              <w:jc w:val="center"/>
              <w:rPr>
                <w:rFonts w:ascii="宋体" w:hAnsi="宋体"/>
                <w:color w:val="auto"/>
                <w:sz w:val="18"/>
                <w:szCs w:val="18"/>
                <w:highlight w:val="none"/>
              </w:rPr>
            </w:pPr>
          </w:p>
        </w:tc>
        <w:tc>
          <w:tcPr>
            <w:tcW w:w="2183" w:type="dxa"/>
            <w:noWrap w:val="0"/>
            <w:tcMar>
              <w:top w:w="0" w:type="dxa"/>
              <w:left w:w="108" w:type="dxa"/>
              <w:bottom w:w="0" w:type="dxa"/>
              <w:right w:w="108" w:type="dxa"/>
            </w:tcMar>
            <w:vAlign w:val="center"/>
          </w:tcPr>
          <w:p w14:paraId="7EC9FF6D">
            <w:pPr>
              <w:jc w:val="center"/>
              <w:rPr>
                <w:rFonts w:ascii="宋体" w:hAnsi="宋体"/>
                <w:color w:val="auto"/>
                <w:sz w:val="18"/>
                <w:szCs w:val="18"/>
                <w:highlight w:val="none"/>
              </w:rPr>
            </w:pPr>
            <w:r>
              <w:rPr>
                <w:rFonts w:hint="eastAsia" w:ascii="宋体" w:hAnsi="宋体"/>
                <w:color w:val="auto"/>
                <w:sz w:val="18"/>
                <w:szCs w:val="18"/>
                <w:highlight w:val="none"/>
              </w:rPr>
              <w:t>其他建筑</w:t>
            </w:r>
          </w:p>
        </w:tc>
        <w:tc>
          <w:tcPr>
            <w:tcW w:w="3100" w:type="dxa"/>
            <w:vMerge w:val="continue"/>
            <w:noWrap w:val="0"/>
            <w:tcMar>
              <w:top w:w="0" w:type="dxa"/>
              <w:left w:w="108" w:type="dxa"/>
              <w:bottom w:w="0" w:type="dxa"/>
              <w:right w:w="108" w:type="dxa"/>
            </w:tcMar>
            <w:vAlign w:val="top"/>
          </w:tcPr>
          <w:p w14:paraId="3728B875">
            <w:pPr>
              <w:rPr>
                <w:rFonts w:ascii="宋体" w:hAnsi="宋体"/>
                <w:color w:val="auto"/>
                <w:sz w:val="18"/>
                <w:szCs w:val="18"/>
                <w:highlight w:val="none"/>
              </w:rPr>
            </w:pPr>
          </w:p>
        </w:tc>
        <w:tc>
          <w:tcPr>
            <w:tcW w:w="967" w:type="dxa"/>
            <w:noWrap w:val="0"/>
            <w:tcMar>
              <w:top w:w="0" w:type="dxa"/>
              <w:left w:w="108" w:type="dxa"/>
              <w:bottom w:w="0" w:type="dxa"/>
              <w:right w:w="108" w:type="dxa"/>
            </w:tcMar>
            <w:vAlign w:val="center"/>
          </w:tcPr>
          <w:p w14:paraId="73C936DE">
            <w:pPr>
              <w:jc w:val="center"/>
              <w:rPr>
                <w:rFonts w:ascii="宋体" w:hAnsi="宋体"/>
                <w:color w:val="auto"/>
                <w:sz w:val="18"/>
                <w:szCs w:val="18"/>
                <w:highlight w:val="none"/>
              </w:rPr>
            </w:pPr>
            <w:r>
              <w:rPr>
                <w:rFonts w:hint="eastAsia" w:ascii="宋体" w:hAnsi="宋体"/>
                <w:color w:val="auto"/>
                <w:sz w:val="18"/>
                <w:szCs w:val="18"/>
                <w:highlight w:val="none"/>
              </w:rPr>
              <w:t>0.3元/m2</w:t>
            </w:r>
          </w:p>
        </w:tc>
        <w:tc>
          <w:tcPr>
            <w:tcW w:w="1000" w:type="dxa"/>
            <w:noWrap w:val="0"/>
            <w:tcMar>
              <w:top w:w="0" w:type="dxa"/>
              <w:left w:w="108" w:type="dxa"/>
              <w:bottom w:w="0" w:type="dxa"/>
              <w:right w:w="108" w:type="dxa"/>
            </w:tcMar>
            <w:vAlign w:val="center"/>
          </w:tcPr>
          <w:p w14:paraId="341ECD55">
            <w:pPr>
              <w:jc w:val="center"/>
              <w:rPr>
                <w:rFonts w:ascii="宋体" w:hAnsi="宋体"/>
                <w:color w:val="auto"/>
                <w:sz w:val="18"/>
                <w:szCs w:val="18"/>
                <w:highlight w:val="none"/>
              </w:rPr>
            </w:pPr>
            <w:r>
              <w:rPr>
                <w:rFonts w:hint="eastAsia" w:ascii="宋体" w:hAnsi="宋体"/>
                <w:color w:val="auto"/>
                <w:sz w:val="18"/>
                <w:szCs w:val="18"/>
                <w:highlight w:val="none"/>
              </w:rPr>
              <w:t>3000m2</w:t>
            </w:r>
          </w:p>
        </w:tc>
        <w:tc>
          <w:tcPr>
            <w:tcW w:w="972" w:type="dxa"/>
            <w:noWrap w:val="0"/>
            <w:tcMar>
              <w:top w:w="0" w:type="dxa"/>
              <w:left w:w="108" w:type="dxa"/>
              <w:bottom w:w="0" w:type="dxa"/>
              <w:right w:w="108" w:type="dxa"/>
            </w:tcMar>
            <w:vAlign w:val="center"/>
          </w:tcPr>
          <w:p w14:paraId="753164B7">
            <w:pPr>
              <w:jc w:val="center"/>
              <w:rPr>
                <w:rFonts w:ascii="宋体" w:hAnsi="宋体"/>
                <w:color w:val="auto"/>
                <w:sz w:val="18"/>
                <w:szCs w:val="18"/>
                <w:highlight w:val="none"/>
              </w:rPr>
            </w:pPr>
            <w:r>
              <w:rPr>
                <w:rFonts w:hint="eastAsia" w:ascii="宋体" w:hAnsi="宋体"/>
                <w:color w:val="auto"/>
                <w:sz w:val="18"/>
                <w:szCs w:val="18"/>
                <w:highlight w:val="none"/>
              </w:rPr>
              <w:t>900</w:t>
            </w:r>
          </w:p>
        </w:tc>
      </w:tr>
      <w:tr w14:paraId="50D3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18" w:hRule="atLeast"/>
          <w:jc w:val="center"/>
        </w:trPr>
        <w:tc>
          <w:tcPr>
            <w:tcW w:w="869" w:type="dxa"/>
            <w:vMerge w:val="continue"/>
            <w:noWrap w:val="0"/>
            <w:tcMar>
              <w:top w:w="0" w:type="dxa"/>
              <w:left w:w="108" w:type="dxa"/>
              <w:bottom w:w="0" w:type="dxa"/>
              <w:right w:w="108" w:type="dxa"/>
            </w:tcMar>
            <w:vAlign w:val="center"/>
          </w:tcPr>
          <w:p w14:paraId="6C95B8F9">
            <w:pPr>
              <w:rPr>
                <w:rFonts w:ascii="宋体" w:hAnsi="宋体"/>
                <w:color w:val="auto"/>
                <w:sz w:val="18"/>
                <w:szCs w:val="18"/>
                <w:highlight w:val="none"/>
              </w:rPr>
            </w:pPr>
          </w:p>
        </w:tc>
        <w:tc>
          <w:tcPr>
            <w:tcW w:w="870" w:type="dxa"/>
            <w:noWrap w:val="0"/>
            <w:tcMar>
              <w:top w:w="0" w:type="dxa"/>
              <w:left w:w="108" w:type="dxa"/>
              <w:bottom w:w="0" w:type="dxa"/>
              <w:right w:w="108" w:type="dxa"/>
            </w:tcMar>
            <w:vAlign w:val="center"/>
          </w:tcPr>
          <w:p w14:paraId="76D71C34">
            <w:pPr>
              <w:jc w:val="center"/>
              <w:rPr>
                <w:rFonts w:hint="eastAsia" w:ascii="宋体" w:hAnsi="宋体"/>
                <w:color w:val="auto"/>
                <w:sz w:val="18"/>
                <w:szCs w:val="18"/>
                <w:highlight w:val="none"/>
              </w:rPr>
            </w:pPr>
            <w:r>
              <w:rPr>
                <w:rFonts w:hint="eastAsia" w:ascii="宋体" w:hAnsi="宋体"/>
                <w:color w:val="auto"/>
                <w:sz w:val="18"/>
                <w:szCs w:val="18"/>
                <w:highlight w:val="none"/>
              </w:rPr>
              <w:t>2</w:t>
            </w:r>
          </w:p>
        </w:tc>
        <w:tc>
          <w:tcPr>
            <w:tcW w:w="2183" w:type="dxa"/>
            <w:noWrap w:val="0"/>
            <w:tcMar>
              <w:top w:w="0" w:type="dxa"/>
              <w:left w:w="108" w:type="dxa"/>
              <w:bottom w:w="0" w:type="dxa"/>
              <w:right w:w="108" w:type="dxa"/>
            </w:tcMar>
            <w:vAlign w:val="center"/>
          </w:tcPr>
          <w:p w14:paraId="3C5381DA">
            <w:pPr>
              <w:jc w:val="center"/>
              <w:rPr>
                <w:rFonts w:hint="eastAsia" w:ascii="宋体" w:hAnsi="宋体"/>
                <w:color w:val="auto"/>
                <w:sz w:val="18"/>
                <w:szCs w:val="18"/>
                <w:highlight w:val="none"/>
              </w:rPr>
            </w:pPr>
            <w:r>
              <w:rPr>
                <w:rFonts w:hint="eastAsia" w:ascii="宋体" w:hAnsi="宋体"/>
                <w:color w:val="auto"/>
                <w:sz w:val="18"/>
                <w:szCs w:val="18"/>
                <w:highlight w:val="none"/>
              </w:rPr>
              <w:t>专用设备租赁使用费</w:t>
            </w:r>
          </w:p>
        </w:tc>
        <w:tc>
          <w:tcPr>
            <w:tcW w:w="3100" w:type="dxa"/>
            <w:noWrap w:val="0"/>
            <w:tcMar>
              <w:top w:w="0" w:type="dxa"/>
              <w:left w:w="108" w:type="dxa"/>
              <w:bottom w:w="0" w:type="dxa"/>
              <w:right w:w="108" w:type="dxa"/>
            </w:tcMar>
            <w:vAlign w:val="top"/>
          </w:tcPr>
          <w:p w14:paraId="447EB545">
            <w:pPr>
              <w:jc w:val="left"/>
              <w:rPr>
                <w:rFonts w:ascii="宋体" w:hAnsi="宋体"/>
                <w:color w:val="auto"/>
                <w:sz w:val="18"/>
                <w:szCs w:val="18"/>
                <w:highlight w:val="none"/>
              </w:rPr>
            </w:pPr>
            <w:r>
              <w:rPr>
                <w:rFonts w:hint="eastAsia" w:ascii="宋体" w:hAnsi="宋体"/>
                <w:color w:val="auto"/>
                <w:sz w:val="18"/>
                <w:szCs w:val="18"/>
                <w:highlight w:val="none"/>
              </w:rPr>
              <w:t>除提供必须用于检测的专用设备外，因检测建筑场地层高所需，供货方在检测期间</w:t>
            </w:r>
            <w:r>
              <w:rPr>
                <w:rFonts w:hint="eastAsia" w:ascii="宋体" w:hAnsi="宋体"/>
                <w:color w:val="auto"/>
                <w:sz w:val="18"/>
                <w:szCs w:val="18"/>
                <w:highlight w:val="none"/>
                <w:lang w:eastAsia="zh-CN"/>
              </w:rPr>
              <w:t>提供自行式</w:t>
            </w:r>
            <w:r>
              <w:rPr>
                <w:rFonts w:hint="eastAsia" w:ascii="宋体" w:hAnsi="宋体"/>
                <w:color w:val="auto"/>
                <w:sz w:val="18"/>
                <w:szCs w:val="18"/>
                <w:highlight w:val="none"/>
              </w:rPr>
              <w:t>电动升降</w:t>
            </w:r>
            <w:r>
              <w:rPr>
                <w:rFonts w:hint="eastAsia" w:ascii="宋体" w:hAnsi="宋体"/>
                <w:color w:val="auto"/>
                <w:sz w:val="18"/>
                <w:szCs w:val="18"/>
                <w:highlight w:val="none"/>
                <w:lang w:eastAsia="zh-CN"/>
              </w:rPr>
              <w:t>平台</w:t>
            </w:r>
            <w:r>
              <w:rPr>
                <w:rFonts w:hint="eastAsia" w:ascii="宋体" w:hAnsi="宋体"/>
                <w:color w:val="auto"/>
                <w:sz w:val="18"/>
                <w:szCs w:val="18"/>
                <w:highlight w:val="none"/>
              </w:rPr>
              <w:t>一部（</w:t>
            </w:r>
            <w:r>
              <w:rPr>
                <w:rFonts w:hint="eastAsia" w:ascii="宋体" w:hAnsi="宋体"/>
                <w:color w:val="auto"/>
                <w:sz w:val="18"/>
                <w:szCs w:val="18"/>
                <w:highlight w:val="none"/>
                <w:lang w:val="en-US" w:eastAsia="zh-CN"/>
              </w:rPr>
              <w:t>10</w:t>
            </w:r>
            <w:r>
              <w:rPr>
                <w:rFonts w:hint="eastAsia" w:ascii="宋体" w:hAnsi="宋体"/>
                <w:color w:val="auto"/>
                <w:sz w:val="18"/>
                <w:szCs w:val="18"/>
                <w:highlight w:val="none"/>
              </w:rPr>
              <w:t>米）和人字梯一部（12米），专用设备</w:t>
            </w:r>
            <w:r>
              <w:rPr>
                <w:rFonts w:hint="eastAsia" w:ascii="宋体" w:hAnsi="宋体"/>
                <w:color w:val="auto"/>
                <w:sz w:val="18"/>
                <w:szCs w:val="18"/>
                <w:highlight w:val="none"/>
                <w:lang w:eastAsia="zh-CN"/>
              </w:rPr>
              <w:t>供</w:t>
            </w:r>
            <w:r>
              <w:rPr>
                <w:rFonts w:hint="eastAsia" w:ascii="宋体" w:hAnsi="宋体"/>
                <w:color w:val="auto"/>
                <w:sz w:val="18"/>
                <w:szCs w:val="18"/>
                <w:highlight w:val="none"/>
              </w:rPr>
              <w:t>检测人员一</w:t>
            </w:r>
            <w:r>
              <w:rPr>
                <w:rFonts w:hint="eastAsia" w:ascii="宋体" w:hAnsi="宋体"/>
                <w:color w:val="auto"/>
                <w:sz w:val="18"/>
                <w:szCs w:val="18"/>
                <w:highlight w:val="none"/>
                <w:lang w:eastAsia="zh-CN"/>
              </w:rPr>
              <w:t>检测使用</w:t>
            </w:r>
            <w:r>
              <w:rPr>
                <w:rFonts w:hint="eastAsia" w:ascii="宋体" w:hAnsi="宋体"/>
                <w:color w:val="auto"/>
                <w:sz w:val="18"/>
                <w:szCs w:val="18"/>
                <w:highlight w:val="none"/>
              </w:rPr>
              <w:t>，租赁使用天数不少于</w:t>
            </w:r>
            <w:r>
              <w:rPr>
                <w:rFonts w:hint="eastAsia" w:ascii="宋体" w:hAnsi="宋体"/>
                <w:color w:val="auto"/>
                <w:sz w:val="18"/>
                <w:szCs w:val="18"/>
                <w:highlight w:val="none"/>
                <w:lang w:val="en-US" w:eastAsia="zh-CN"/>
              </w:rPr>
              <w:t>59</w:t>
            </w:r>
            <w:r>
              <w:rPr>
                <w:rFonts w:hint="eastAsia" w:ascii="宋体" w:hAnsi="宋体"/>
                <w:color w:val="auto"/>
                <w:sz w:val="18"/>
                <w:szCs w:val="18"/>
                <w:highlight w:val="none"/>
              </w:rPr>
              <w:t>天。</w:t>
            </w:r>
          </w:p>
        </w:tc>
        <w:tc>
          <w:tcPr>
            <w:tcW w:w="967" w:type="dxa"/>
            <w:noWrap w:val="0"/>
            <w:tcMar>
              <w:top w:w="0" w:type="dxa"/>
              <w:left w:w="108" w:type="dxa"/>
              <w:bottom w:w="0" w:type="dxa"/>
              <w:right w:w="108" w:type="dxa"/>
            </w:tcMar>
            <w:vAlign w:val="center"/>
          </w:tcPr>
          <w:p w14:paraId="71B722CB">
            <w:pPr>
              <w:jc w:val="center"/>
              <w:rPr>
                <w:rFonts w:ascii="宋体" w:hAnsi="宋体"/>
                <w:color w:val="auto"/>
                <w:sz w:val="18"/>
                <w:szCs w:val="18"/>
                <w:highlight w:val="none"/>
              </w:rPr>
            </w:pPr>
            <w:r>
              <w:rPr>
                <w:rFonts w:hint="eastAsia" w:ascii="宋体" w:hAnsi="宋体"/>
                <w:color w:val="auto"/>
                <w:sz w:val="18"/>
                <w:szCs w:val="18"/>
                <w:highlight w:val="none"/>
                <w:lang w:val="en-US" w:eastAsia="zh-CN"/>
              </w:rPr>
              <w:t>4</w:t>
            </w:r>
            <w:r>
              <w:rPr>
                <w:rFonts w:hint="eastAsia" w:ascii="宋体" w:hAnsi="宋体"/>
                <w:color w:val="auto"/>
                <w:sz w:val="18"/>
                <w:szCs w:val="18"/>
                <w:highlight w:val="none"/>
              </w:rPr>
              <w:t>00元/天</w:t>
            </w:r>
          </w:p>
        </w:tc>
        <w:tc>
          <w:tcPr>
            <w:tcW w:w="1000" w:type="dxa"/>
            <w:noWrap w:val="0"/>
            <w:tcMar>
              <w:top w:w="0" w:type="dxa"/>
              <w:left w:w="108" w:type="dxa"/>
              <w:bottom w:w="0" w:type="dxa"/>
              <w:right w:w="108" w:type="dxa"/>
            </w:tcMar>
            <w:vAlign w:val="center"/>
          </w:tcPr>
          <w:p w14:paraId="13ECBDED">
            <w:pPr>
              <w:jc w:val="center"/>
              <w:rPr>
                <w:rFonts w:ascii="宋体" w:hAnsi="宋体"/>
                <w:color w:val="auto"/>
                <w:sz w:val="18"/>
                <w:szCs w:val="18"/>
                <w:highlight w:val="none"/>
              </w:rPr>
            </w:pPr>
            <w:r>
              <w:rPr>
                <w:rFonts w:hint="eastAsia" w:ascii="宋体" w:hAnsi="宋体"/>
                <w:color w:val="auto"/>
                <w:sz w:val="18"/>
                <w:szCs w:val="18"/>
                <w:highlight w:val="none"/>
                <w:lang w:val="en-US" w:eastAsia="zh-CN"/>
              </w:rPr>
              <w:t>59</w:t>
            </w:r>
            <w:r>
              <w:rPr>
                <w:rFonts w:hint="eastAsia" w:ascii="宋体" w:hAnsi="宋体"/>
                <w:color w:val="auto"/>
                <w:sz w:val="18"/>
                <w:szCs w:val="18"/>
                <w:highlight w:val="none"/>
              </w:rPr>
              <w:t>天</w:t>
            </w:r>
          </w:p>
        </w:tc>
        <w:tc>
          <w:tcPr>
            <w:tcW w:w="972" w:type="dxa"/>
            <w:noWrap w:val="0"/>
            <w:tcMar>
              <w:top w:w="0" w:type="dxa"/>
              <w:left w:w="108" w:type="dxa"/>
              <w:bottom w:w="0" w:type="dxa"/>
              <w:right w:w="108" w:type="dxa"/>
            </w:tcMar>
            <w:vAlign w:val="center"/>
          </w:tcPr>
          <w:p w14:paraId="65C12AFA">
            <w:pPr>
              <w:jc w:val="center"/>
              <w:rPr>
                <w:rFonts w:ascii="宋体" w:hAnsi="宋体"/>
                <w:color w:val="auto"/>
                <w:sz w:val="18"/>
                <w:szCs w:val="18"/>
                <w:highlight w:val="none"/>
              </w:rPr>
            </w:pPr>
            <w:r>
              <w:rPr>
                <w:rFonts w:hint="eastAsia" w:ascii="宋体" w:hAnsi="宋体"/>
                <w:color w:val="auto"/>
                <w:sz w:val="18"/>
                <w:szCs w:val="18"/>
                <w:highlight w:val="none"/>
              </w:rPr>
              <w:t>23600</w:t>
            </w:r>
          </w:p>
        </w:tc>
      </w:tr>
      <w:tr w14:paraId="379E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869" w:type="dxa"/>
            <w:vMerge w:val="continue"/>
            <w:noWrap w:val="0"/>
            <w:tcMar>
              <w:top w:w="0" w:type="dxa"/>
              <w:left w:w="108" w:type="dxa"/>
              <w:bottom w:w="0" w:type="dxa"/>
              <w:right w:w="108" w:type="dxa"/>
            </w:tcMar>
            <w:vAlign w:val="center"/>
          </w:tcPr>
          <w:p w14:paraId="3EDA8296">
            <w:pPr>
              <w:rPr>
                <w:rFonts w:ascii="宋体" w:hAnsi="宋体"/>
                <w:color w:val="auto"/>
                <w:sz w:val="18"/>
                <w:szCs w:val="18"/>
                <w:highlight w:val="none"/>
              </w:rPr>
            </w:pPr>
          </w:p>
        </w:tc>
        <w:tc>
          <w:tcPr>
            <w:tcW w:w="870" w:type="dxa"/>
            <w:noWrap w:val="0"/>
            <w:tcMar>
              <w:top w:w="0" w:type="dxa"/>
              <w:left w:w="108" w:type="dxa"/>
              <w:bottom w:w="0" w:type="dxa"/>
              <w:right w:w="108" w:type="dxa"/>
            </w:tcMar>
            <w:vAlign w:val="center"/>
          </w:tcPr>
          <w:p w14:paraId="397E86BA">
            <w:pPr>
              <w:jc w:val="center"/>
              <w:rPr>
                <w:rFonts w:ascii="宋体" w:hAnsi="宋体"/>
                <w:color w:val="auto"/>
                <w:sz w:val="18"/>
                <w:szCs w:val="18"/>
                <w:highlight w:val="none"/>
              </w:rPr>
            </w:pPr>
          </w:p>
        </w:tc>
        <w:tc>
          <w:tcPr>
            <w:tcW w:w="2183" w:type="dxa"/>
            <w:noWrap w:val="0"/>
            <w:tcMar>
              <w:top w:w="0" w:type="dxa"/>
              <w:left w:w="108" w:type="dxa"/>
              <w:bottom w:w="0" w:type="dxa"/>
              <w:right w:w="108" w:type="dxa"/>
            </w:tcMar>
            <w:vAlign w:val="center"/>
          </w:tcPr>
          <w:p w14:paraId="3B8B429C">
            <w:pPr>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rPr>
              <w:t>合计</w:t>
            </w:r>
          </w:p>
        </w:tc>
        <w:tc>
          <w:tcPr>
            <w:tcW w:w="3100" w:type="dxa"/>
            <w:noWrap w:val="0"/>
            <w:tcMar>
              <w:top w:w="0" w:type="dxa"/>
              <w:left w:w="108" w:type="dxa"/>
              <w:bottom w:w="0" w:type="dxa"/>
              <w:right w:w="108" w:type="dxa"/>
            </w:tcMar>
            <w:vAlign w:val="top"/>
          </w:tcPr>
          <w:p w14:paraId="7DE9A8DF">
            <w:pPr>
              <w:jc w:val="center"/>
              <w:rPr>
                <w:rFonts w:ascii="宋体" w:hAnsi="宋体"/>
                <w:color w:val="auto"/>
                <w:sz w:val="18"/>
                <w:szCs w:val="18"/>
                <w:highlight w:val="none"/>
              </w:rPr>
            </w:pPr>
            <w:r>
              <w:rPr>
                <w:rFonts w:hint="eastAsia" w:ascii="宋体" w:hAnsi="宋体"/>
                <w:color w:val="auto"/>
                <w:sz w:val="18"/>
                <w:szCs w:val="18"/>
                <w:highlight w:val="none"/>
              </w:rPr>
              <w:t>/</w:t>
            </w:r>
          </w:p>
        </w:tc>
        <w:tc>
          <w:tcPr>
            <w:tcW w:w="967" w:type="dxa"/>
            <w:noWrap w:val="0"/>
            <w:tcMar>
              <w:top w:w="0" w:type="dxa"/>
              <w:left w:w="108" w:type="dxa"/>
              <w:bottom w:w="0" w:type="dxa"/>
              <w:right w:w="108" w:type="dxa"/>
            </w:tcMar>
            <w:vAlign w:val="center"/>
          </w:tcPr>
          <w:p w14:paraId="39E6B304">
            <w:pPr>
              <w:jc w:val="center"/>
              <w:rPr>
                <w:rFonts w:ascii="宋体" w:hAnsi="宋体"/>
                <w:color w:val="auto"/>
                <w:sz w:val="18"/>
                <w:szCs w:val="18"/>
                <w:highlight w:val="none"/>
              </w:rPr>
            </w:pPr>
            <w:r>
              <w:rPr>
                <w:rFonts w:ascii="宋体" w:hAnsi="宋体"/>
                <w:color w:val="auto"/>
                <w:sz w:val="18"/>
                <w:szCs w:val="18"/>
                <w:highlight w:val="none"/>
              </w:rPr>
              <w:t>/</w:t>
            </w:r>
          </w:p>
        </w:tc>
        <w:tc>
          <w:tcPr>
            <w:tcW w:w="1000" w:type="dxa"/>
            <w:noWrap w:val="0"/>
            <w:tcMar>
              <w:top w:w="0" w:type="dxa"/>
              <w:left w:w="108" w:type="dxa"/>
              <w:bottom w:w="0" w:type="dxa"/>
              <w:right w:w="108" w:type="dxa"/>
            </w:tcMar>
            <w:vAlign w:val="center"/>
          </w:tcPr>
          <w:p w14:paraId="73200DEA">
            <w:pPr>
              <w:jc w:val="center"/>
              <w:rPr>
                <w:rFonts w:ascii="宋体" w:hAnsi="宋体"/>
                <w:color w:val="auto"/>
                <w:sz w:val="18"/>
                <w:szCs w:val="18"/>
                <w:highlight w:val="none"/>
              </w:rPr>
            </w:pPr>
            <w:r>
              <w:rPr>
                <w:rFonts w:ascii="宋体" w:hAnsi="宋体"/>
                <w:color w:val="auto"/>
                <w:sz w:val="18"/>
                <w:szCs w:val="18"/>
                <w:highlight w:val="none"/>
              </w:rPr>
              <w:t>/</w:t>
            </w:r>
          </w:p>
        </w:tc>
        <w:tc>
          <w:tcPr>
            <w:tcW w:w="972" w:type="dxa"/>
            <w:noWrap w:val="0"/>
            <w:tcMar>
              <w:top w:w="0" w:type="dxa"/>
              <w:left w:w="108" w:type="dxa"/>
              <w:bottom w:w="0" w:type="dxa"/>
              <w:right w:w="108" w:type="dxa"/>
            </w:tcMar>
            <w:vAlign w:val="center"/>
          </w:tcPr>
          <w:p w14:paraId="34D35E24">
            <w:pPr>
              <w:jc w:val="center"/>
              <w:rPr>
                <w:rFonts w:ascii="宋体" w:hAnsi="宋体"/>
                <w:color w:val="auto"/>
                <w:sz w:val="18"/>
                <w:szCs w:val="18"/>
                <w:highlight w:val="none"/>
              </w:rPr>
            </w:pPr>
            <w:r>
              <w:rPr>
                <w:rFonts w:hint="eastAsia" w:ascii="宋体" w:hAnsi="宋体"/>
                <w:color w:val="auto"/>
                <w:sz w:val="18"/>
                <w:szCs w:val="18"/>
                <w:highlight w:val="none"/>
              </w:rPr>
              <w:t>59000</w:t>
            </w:r>
          </w:p>
        </w:tc>
      </w:tr>
      <w:tr w14:paraId="7F28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464" w:hRule="atLeast"/>
          <w:jc w:val="center"/>
        </w:trPr>
        <w:tc>
          <w:tcPr>
            <w:tcW w:w="869" w:type="dxa"/>
            <w:vMerge w:val="restart"/>
            <w:noWrap w:val="0"/>
            <w:tcMar>
              <w:top w:w="0" w:type="dxa"/>
              <w:left w:w="108" w:type="dxa"/>
              <w:bottom w:w="0" w:type="dxa"/>
              <w:right w:w="108" w:type="dxa"/>
            </w:tcMar>
            <w:vAlign w:val="center"/>
          </w:tcPr>
          <w:p w14:paraId="76136291">
            <w:pPr>
              <w:jc w:val="center"/>
              <w:rPr>
                <w:rFonts w:ascii="宋体" w:hAnsi="宋体"/>
                <w:color w:val="auto"/>
                <w:sz w:val="18"/>
                <w:szCs w:val="18"/>
                <w:highlight w:val="none"/>
              </w:rPr>
            </w:pPr>
            <w:r>
              <w:rPr>
                <w:rFonts w:hint="eastAsia" w:ascii="宋体" w:hAnsi="宋体"/>
                <w:color w:val="auto"/>
                <w:sz w:val="18"/>
                <w:szCs w:val="18"/>
                <w:highlight w:val="none"/>
              </w:rPr>
              <w:t>消防安全评估</w:t>
            </w:r>
          </w:p>
        </w:tc>
        <w:tc>
          <w:tcPr>
            <w:tcW w:w="870" w:type="dxa"/>
            <w:noWrap w:val="0"/>
            <w:tcMar>
              <w:top w:w="0" w:type="dxa"/>
              <w:left w:w="108" w:type="dxa"/>
              <w:bottom w:w="0" w:type="dxa"/>
              <w:right w:w="108" w:type="dxa"/>
            </w:tcMar>
            <w:vAlign w:val="center"/>
          </w:tcPr>
          <w:p w14:paraId="72A69DFC">
            <w:pPr>
              <w:jc w:val="center"/>
              <w:rPr>
                <w:rFonts w:hint="eastAsia" w:ascii="宋体" w:hAnsi="宋体"/>
                <w:color w:val="auto"/>
                <w:sz w:val="18"/>
                <w:szCs w:val="18"/>
                <w:highlight w:val="none"/>
              </w:rPr>
            </w:pPr>
            <w:r>
              <w:rPr>
                <w:rFonts w:hint="eastAsia" w:ascii="宋体" w:hAnsi="宋体"/>
                <w:color w:val="auto"/>
                <w:sz w:val="18"/>
                <w:szCs w:val="18"/>
                <w:highlight w:val="none"/>
              </w:rPr>
              <w:t>3</w:t>
            </w:r>
          </w:p>
        </w:tc>
        <w:tc>
          <w:tcPr>
            <w:tcW w:w="2183" w:type="dxa"/>
            <w:noWrap w:val="0"/>
            <w:tcMar>
              <w:top w:w="0" w:type="dxa"/>
              <w:left w:w="108" w:type="dxa"/>
              <w:bottom w:w="0" w:type="dxa"/>
              <w:right w:w="108" w:type="dxa"/>
            </w:tcMar>
            <w:vAlign w:val="center"/>
          </w:tcPr>
          <w:p w14:paraId="3373FDB3">
            <w:pPr>
              <w:jc w:val="center"/>
              <w:rPr>
                <w:rFonts w:hint="eastAsia" w:ascii="宋体" w:hAnsi="宋体"/>
                <w:color w:val="auto"/>
                <w:sz w:val="18"/>
                <w:szCs w:val="18"/>
                <w:highlight w:val="none"/>
              </w:rPr>
            </w:pPr>
            <w:r>
              <w:rPr>
                <w:rFonts w:hint="eastAsia" w:ascii="宋体" w:hAnsi="宋体"/>
                <w:color w:val="auto"/>
                <w:sz w:val="18"/>
                <w:szCs w:val="18"/>
                <w:highlight w:val="none"/>
              </w:rPr>
              <w:t>评估费用</w:t>
            </w:r>
          </w:p>
        </w:tc>
        <w:tc>
          <w:tcPr>
            <w:tcW w:w="3100" w:type="dxa"/>
            <w:noWrap w:val="0"/>
            <w:tcMar>
              <w:top w:w="0" w:type="dxa"/>
              <w:left w:w="108" w:type="dxa"/>
              <w:bottom w:w="0" w:type="dxa"/>
              <w:right w:w="108" w:type="dxa"/>
            </w:tcMar>
            <w:vAlign w:val="top"/>
          </w:tcPr>
          <w:p w14:paraId="01289356">
            <w:pPr>
              <w:rPr>
                <w:rFonts w:ascii="宋体" w:hAnsi="宋体"/>
                <w:color w:val="auto"/>
                <w:sz w:val="18"/>
                <w:szCs w:val="18"/>
                <w:highlight w:val="none"/>
              </w:rPr>
            </w:pPr>
            <w:r>
              <w:rPr>
                <w:rFonts w:hint="eastAsia" w:ascii="宋体" w:hAnsi="宋体"/>
                <w:color w:val="auto"/>
                <w:sz w:val="18"/>
                <w:szCs w:val="18"/>
                <w:highlight w:val="none"/>
              </w:rPr>
              <w:t>评估形式：驻点评估。配合采购人创建消防安全示范单位，检测期间至少安排五名专业检测人员在博物馆驻点</w:t>
            </w:r>
            <w:r>
              <w:rPr>
                <w:rFonts w:hint="eastAsia" w:ascii="宋体" w:hAnsi="宋体"/>
                <w:color w:val="auto"/>
                <w:sz w:val="18"/>
                <w:szCs w:val="18"/>
                <w:highlight w:val="none"/>
                <w:lang w:val="en-US" w:eastAsia="zh-CN"/>
              </w:rPr>
              <w:t>120个工作日</w:t>
            </w:r>
            <w:r>
              <w:rPr>
                <w:rFonts w:hint="eastAsia" w:ascii="宋体" w:hAnsi="宋体"/>
                <w:color w:val="auto"/>
                <w:sz w:val="18"/>
                <w:szCs w:val="18"/>
                <w:highlight w:val="none"/>
              </w:rPr>
              <w:t>。</w:t>
            </w:r>
          </w:p>
          <w:p w14:paraId="44FB1664">
            <w:pPr>
              <w:rPr>
                <w:rFonts w:ascii="宋体" w:hAnsi="宋体"/>
                <w:color w:val="auto"/>
                <w:sz w:val="18"/>
                <w:szCs w:val="18"/>
                <w:highlight w:val="none"/>
              </w:rPr>
            </w:pPr>
            <w:r>
              <w:rPr>
                <w:rFonts w:hint="eastAsia" w:ascii="宋体" w:hAnsi="宋体"/>
                <w:color w:val="auto"/>
                <w:sz w:val="18"/>
                <w:szCs w:val="18"/>
                <w:highlight w:val="none"/>
              </w:rPr>
              <w:t>评估范围：湖北省博物馆区域内所有固定消防设施。</w:t>
            </w:r>
          </w:p>
          <w:p w14:paraId="4B761744">
            <w:pPr>
              <w:rPr>
                <w:rFonts w:ascii="宋体" w:hAnsi="宋体"/>
                <w:color w:val="auto"/>
                <w:sz w:val="18"/>
                <w:szCs w:val="18"/>
                <w:highlight w:val="none"/>
              </w:rPr>
            </w:pPr>
            <w:r>
              <w:rPr>
                <w:rFonts w:hint="eastAsia" w:ascii="宋体" w:hAnsi="宋体"/>
                <w:color w:val="auto"/>
                <w:sz w:val="18"/>
                <w:szCs w:val="18"/>
                <w:highlight w:val="none"/>
              </w:rPr>
              <w:t>第一阶段驻点评估周期：自签订合同之日起，连续的90个工作日。</w:t>
            </w:r>
          </w:p>
          <w:p w14:paraId="1D24BCCA">
            <w:pPr>
              <w:rPr>
                <w:rFonts w:ascii="宋体" w:hAnsi="宋体"/>
                <w:color w:val="auto"/>
                <w:sz w:val="18"/>
                <w:szCs w:val="18"/>
                <w:highlight w:val="none"/>
              </w:rPr>
            </w:pPr>
            <w:r>
              <w:rPr>
                <w:rFonts w:hint="eastAsia" w:ascii="宋体" w:hAnsi="宋体"/>
                <w:color w:val="auto"/>
                <w:sz w:val="18"/>
                <w:szCs w:val="18"/>
                <w:highlight w:val="none"/>
              </w:rPr>
              <w:t>出具初步的消防安全评估报告。</w:t>
            </w:r>
          </w:p>
          <w:p w14:paraId="5185DF0C">
            <w:pPr>
              <w:rPr>
                <w:rFonts w:hint="eastAsia" w:ascii="宋体" w:hAnsi="宋体" w:cs="宋体"/>
                <w:color w:val="auto"/>
                <w:sz w:val="18"/>
                <w:szCs w:val="18"/>
                <w:highlight w:val="none"/>
              </w:rPr>
            </w:pPr>
            <w:r>
              <w:rPr>
                <w:rFonts w:hint="eastAsia" w:ascii="宋体" w:hAnsi="宋体"/>
                <w:color w:val="auto"/>
                <w:sz w:val="18"/>
                <w:szCs w:val="18"/>
                <w:highlight w:val="none"/>
              </w:rPr>
              <w:t>第二阶段驻点评估周期</w:t>
            </w:r>
            <w:r>
              <w:rPr>
                <w:rFonts w:hint="eastAsia" w:ascii="宋体" w:hAnsi="宋体" w:cs="宋体"/>
                <w:color w:val="auto"/>
                <w:sz w:val="18"/>
                <w:szCs w:val="18"/>
                <w:highlight w:val="none"/>
              </w:rPr>
              <w:t>：自采购方对照初步安全评估报告进行整改后，连续的30个工作日。</w:t>
            </w:r>
          </w:p>
          <w:p w14:paraId="49CCBA37">
            <w:pPr>
              <w:rPr>
                <w:rFonts w:ascii="宋体" w:hAnsi="宋体"/>
                <w:color w:val="auto"/>
                <w:sz w:val="18"/>
                <w:szCs w:val="18"/>
                <w:highlight w:val="none"/>
              </w:rPr>
            </w:pPr>
            <w:r>
              <w:rPr>
                <w:rFonts w:hint="eastAsia" w:ascii="宋体" w:hAnsi="宋体"/>
                <w:color w:val="auto"/>
                <w:sz w:val="18"/>
                <w:szCs w:val="18"/>
                <w:highlight w:val="none"/>
              </w:rPr>
              <w:t>出具完整的消防安全评估报告。</w:t>
            </w:r>
          </w:p>
          <w:p w14:paraId="335654F2">
            <w:pPr>
              <w:rPr>
                <w:rFonts w:ascii="宋体" w:hAnsi="宋体"/>
                <w:color w:val="auto"/>
                <w:sz w:val="18"/>
                <w:szCs w:val="18"/>
                <w:highlight w:val="none"/>
              </w:rPr>
            </w:pPr>
            <w:r>
              <w:rPr>
                <w:rFonts w:hint="eastAsia" w:ascii="宋体" w:hAnsi="宋体"/>
                <w:color w:val="auto"/>
                <w:sz w:val="18"/>
                <w:szCs w:val="18"/>
                <w:highlight w:val="none"/>
              </w:rPr>
              <w:t>5.驻点工作时间：9：00-17：00。</w:t>
            </w:r>
          </w:p>
          <w:p w14:paraId="69ACB043">
            <w:pPr>
              <w:rPr>
                <w:rFonts w:hint="eastAsia" w:ascii="宋体" w:hAnsi="宋体"/>
                <w:color w:val="auto"/>
                <w:sz w:val="18"/>
                <w:szCs w:val="18"/>
                <w:highlight w:val="none"/>
              </w:rPr>
            </w:pPr>
            <w:r>
              <w:rPr>
                <w:rFonts w:hint="eastAsia" w:ascii="宋体" w:hAnsi="宋体"/>
                <w:color w:val="auto"/>
                <w:sz w:val="18"/>
                <w:szCs w:val="18"/>
                <w:highlight w:val="none"/>
              </w:rPr>
              <w:t>6.驻点人员要求：供应商拟驻点团队需具有两名一级注册消防工程师证书，其他检测人员（不少于三人）具备中级消防设施操作员（国家职业资格四级）。需提供驻点人员聘用合同、证书复印件、在职社保证明和个人社会消防技术服务信息系统查询截图。</w:t>
            </w:r>
          </w:p>
          <w:p w14:paraId="0FB2AF82">
            <w:pPr>
              <w:rPr>
                <w:rFonts w:ascii="宋体" w:hAnsi="宋体"/>
                <w:color w:val="auto"/>
                <w:sz w:val="18"/>
                <w:szCs w:val="18"/>
                <w:highlight w:val="none"/>
              </w:rPr>
            </w:pPr>
            <w:r>
              <w:rPr>
                <w:rFonts w:hint="eastAsia" w:ascii="宋体" w:hAnsi="宋体"/>
                <w:color w:val="auto"/>
                <w:sz w:val="18"/>
                <w:szCs w:val="18"/>
                <w:highlight w:val="none"/>
              </w:rPr>
              <w:t>7.评估报告内容：</w:t>
            </w:r>
          </w:p>
          <w:p w14:paraId="1D4A5CAA">
            <w:pPr>
              <w:rPr>
                <w:rFonts w:ascii="宋体" w:hAnsi="宋体"/>
                <w:color w:val="auto"/>
                <w:sz w:val="18"/>
                <w:szCs w:val="18"/>
                <w:highlight w:val="none"/>
              </w:rPr>
            </w:pPr>
            <w:r>
              <w:rPr>
                <w:rFonts w:hint="eastAsia" w:ascii="宋体" w:hAnsi="宋体"/>
                <w:color w:val="auto"/>
                <w:sz w:val="18"/>
                <w:szCs w:val="18"/>
                <w:highlight w:val="none"/>
              </w:rPr>
              <w:t xml:space="preserve">（1）单位概况及消防安全基本情况； </w:t>
            </w:r>
          </w:p>
          <w:p w14:paraId="19E71A52">
            <w:pPr>
              <w:rPr>
                <w:rFonts w:ascii="宋体" w:hAnsi="宋体"/>
                <w:color w:val="auto"/>
                <w:sz w:val="18"/>
                <w:szCs w:val="18"/>
                <w:highlight w:val="none"/>
              </w:rPr>
            </w:pPr>
            <w:r>
              <w:rPr>
                <w:rFonts w:hint="eastAsia" w:ascii="宋体" w:hAnsi="宋体"/>
                <w:color w:val="auto"/>
                <w:sz w:val="18"/>
                <w:szCs w:val="18"/>
                <w:highlight w:val="none"/>
              </w:rPr>
              <w:t xml:space="preserve">（2）评估的内容； </w:t>
            </w:r>
          </w:p>
          <w:p w14:paraId="0989C381">
            <w:pPr>
              <w:rPr>
                <w:rFonts w:ascii="宋体" w:hAnsi="宋体"/>
                <w:color w:val="auto"/>
                <w:sz w:val="18"/>
                <w:szCs w:val="18"/>
                <w:highlight w:val="none"/>
              </w:rPr>
            </w:pPr>
            <w:r>
              <w:rPr>
                <w:rFonts w:hint="eastAsia" w:ascii="宋体" w:hAnsi="宋体"/>
                <w:color w:val="auto"/>
                <w:sz w:val="18"/>
                <w:szCs w:val="18"/>
                <w:highlight w:val="none"/>
              </w:rPr>
              <w:t>（3）存在的问题；（需提供每日签到表、每日现场检查图片及每日检查详细数据，作为验收的凭证）</w:t>
            </w:r>
          </w:p>
          <w:p w14:paraId="4D529B7C">
            <w:pPr>
              <w:rPr>
                <w:rFonts w:ascii="宋体" w:hAnsi="宋体"/>
                <w:color w:val="auto"/>
                <w:sz w:val="18"/>
                <w:szCs w:val="18"/>
                <w:highlight w:val="none"/>
              </w:rPr>
            </w:pPr>
            <w:r>
              <w:rPr>
                <w:rFonts w:hint="eastAsia" w:ascii="宋体" w:hAnsi="宋体"/>
                <w:color w:val="auto"/>
                <w:sz w:val="18"/>
                <w:szCs w:val="18"/>
                <w:highlight w:val="none"/>
              </w:rPr>
              <w:t>（4）评估结论；</w:t>
            </w:r>
          </w:p>
          <w:p w14:paraId="5CECE440">
            <w:pPr>
              <w:rPr>
                <w:rFonts w:ascii="宋体" w:hAnsi="宋体"/>
                <w:color w:val="auto"/>
                <w:sz w:val="18"/>
                <w:szCs w:val="18"/>
                <w:highlight w:val="none"/>
              </w:rPr>
            </w:pPr>
            <w:r>
              <w:rPr>
                <w:rFonts w:hint="eastAsia" w:ascii="宋体" w:hAnsi="宋体"/>
                <w:color w:val="auto"/>
                <w:sz w:val="18"/>
                <w:szCs w:val="18"/>
                <w:highlight w:val="none"/>
              </w:rPr>
              <w:t>（5）消防安全整改对策、措施及建议。</w:t>
            </w:r>
          </w:p>
          <w:p w14:paraId="29A1DAFB">
            <w:pPr>
              <w:rPr>
                <w:rFonts w:hint="eastAsia" w:ascii="宋体" w:hAnsi="宋体"/>
                <w:b/>
                <w:color w:val="auto"/>
                <w:sz w:val="18"/>
                <w:szCs w:val="18"/>
                <w:highlight w:val="none"/>
              </w:rPr>
            </w:pPr>
          </w:p>
        </w:tc>
        <w:tc>
          <w:tcPr>
            <w:tcW w:w="967" w:type="dxa"/>
            <w:noWrap w:val="0"/>
            <w:tcMar>
              <w:top w:w="0" w:type="dxa"/>
              <w:left w:w="108" w:type="dxa"/>
              <w:bottom w:w="0" w:type="dxa"/>
              <w:right w:w="108" w:type="dxa"/>
            </w:tcMar>
            <w:vAlign w:val="center"/>
          </w:tcPr>
          <w:p w14:paraId="10F4854D">
            <w:pPr>
              <w:jc w:val="center"/>
              <w:rPr>
                <w:rFonts w:ascii="宋体" w:hAnsi="宋体"/>
                <w:color w:val="auto"/>
                <w:sz w:val="18"/>
                <w:szCs w:val="18"/>
                <w:highlight w:val="none"/>
              </w:rPr>
            </w:pPr>
            <w:r>
              <w:rPr>
                <w:rFonts w:hint="eastAsia" w:ascii="宋体" w:hAnsi="宋体"/>
                <w:color w:val="auto"/>
                <w:sz w:val="18"/>
                <w:szCs w:val="18"/>
                <w:highlight w:val="none"/>
              </w:rPr>
              <w:t>5</w:t>
            </w: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000元/次</w:t>
            </w:r>
          </w:p>
        </w:tc>
        <w:tc>
          <w:tcPr>
            <w:tcW w:w="1000" w:type="dxa"/>
            <w:noWrap w:val="0"/>
            <w:tcMar>
              <w:top w:w="0" w:type="dxa"/>
              <w:left w:w="108" w:type="dxa"/>
              <w:bottom w:w="0" w:type="dxa"/>
              <w:right w:w="108" w:type="dxa"/>
            </w:tcMar>
            <w:vAlign w:val="center"/>
          </w:tcPr>
          <w:p w14:paraId="363030C0">
            <w:pPr>
              <w:jc w:val="center"/>
              <w:rPr>
                <w:rFonts w:hint="eastAsia" w:ascii="宋体" w:hAnsi="宋体"/>
                <w:color w:val="auto"/>
                <w:sz w:val="18"/>
                <w:szCs w:val="18"/>
                <w:highlight w:val="none"/>
              </w:rPr>
            </w:pPr>
            <w:r>
              <w:rPr>
                <w:rFonts w:hint="eastAsia" w:ascii="宋体" w:hAnsi="宋体"/>
                <w:color w:val="auto"/>
                <w:sz w:val="18"/>
                <w:szCs w:val="18"/>
                <w:highlight w:val="none"/>
              </w:rPr>
              <w:t>一项</w:t>
            </w:r>
          </w:p>
        </w:tc>
        <w:tc>
          <w:tcPr>
            <w:tcW w:w="972" w:type="dxa"/>
            <w:noWrap w:val="0"/>
            <w:tcMar>
              <w:top w:w="0" w:type="dxa"/>
              <w:left w:w="108" w:type="dxa"/>
              <w:bottom w:w="0" w:type="dxa"/>
              <w:right w:w="108" w:type="dxa"/>
            </w:tcMar>
            <w:vAlign w:val="center"/>
          </w:tcPr>
          <w:p w14:paraId="249AA386">
            <w:pPr>
              <w:jc w:val="center"/>
              <w:rPr>
                <w:rFonts w:ascii="宋体" w:hAnsi="宋体"/>
                <w:color w:val="auto"/>
                <w:sz w:val="18"/>
                <w:szCs w:val="18"/>
                <w:highlight w:val="none"/>
              </w:rPr>
            </w:pPr>
            <w:r>
              <w:rPr>
                <w:rFonts w:hint="eastAsia" w:ascii="宋体" w:hAnsi="宋体"/>
                <w:color w:val="auto"/>
                <w:sz w:val="18"/>
                <w:szCs w:val="18"/>
                <w:highlight w:val="none"/>
              </w:rPr>
              <w:t>5</w:t>
            </w: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000</w:t>
            </w:r>
          </w:p>
        </w:tc>
      </w:tr>
      <w:tr w14:paraId="0E45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617" w:hRule="atLeast"/>
          <w:jc w:val="center"/>
        </w:trPr>
        <w:tc>
          <w:tcPr>
            <w:tcW w:w="869" w:type="dxa"/>
            <w:vMerge w:val="continue"/>
            <w:noWrap w:val="0"/>
            <w:tcMar>
              <w:top w:w="0" w:type="dxa"/>
              <w:left w:w="108" w:type="dxa"/>
              <w:bottom w:w="0" w:type="dxa"/>
              <w:right w:w="108" w:type="dxa"/>
            </w:tcMar>
            <w:vAlign w:val="center"/>
          </w:tcPr>
          <w:p w14:paraId="1DE87ADB">
            <w:pPr>
              <w:jc w:val="center"/>
              <w:rPr>
                <w:rFonts w:hint="eastAsia" w:ascii="宋体" w:hAnsi="宋体"/>
                <w:color w:val="auto"/>
                <w:sz w:val="18"/>
                <w:szCs w:val="18"/>
                <w:highlight w:val="none"/>
              </w:rPr>
            </w:pPr>
          </w:p>
        </w:tc>
        <w:tc>
          <w:tcPr>
            <w:tcW w:w="870" w:type="dxa"/>
            <w:vMerge w:val="restart"/>
            <w:noWrap w:val="0"/>
            <w:tcMar>
              <w:top w:w="0" w:type="dxa"/>
              <w:left w:w="108" w:type="dxa"/>
              <w:bottom w:w="0" w:type="dxa"/>
              <w:right w:w="108" w:type="dxa"/>
            </w:tcMar>
            <w:vAlign w:val="center"/>
          </w:tcPr>
          <w:p w14:paraId="547C29E6">
            <w:pPr>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4</w:t>
            </w:r>
          </w:p>
        </w:tc>
        <w:tc>
          <w:tcPr>
            <w:tcW w:w="2183" w:type="dxa"/>
            <w:vMerge w:val="restart"/>
            <w:noWrap w:val="0"/>
            <w:tcMar>
              <w:top w:w="0" w:type="dxa"/>
              <w:left w:w="108" w:type="dxa"/>
              <w:bottom w:w="0" w:type="dxa"/>
              <w:right w:w="108" w:type="dxa"/>
            </w:tcMar>
            <w:vAlign w:val="center"/>
          </w:tcPr>
          <w:p w14:paraId="620C5FC4">
            <w:pPr>
              <w:jc w:val="center"/>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eastAsia="zh-CN"/>
              </w:rPr>
              <w:t>评估配套服务</w:t>
            </w:r>
          </w:p>
        </w:tc>
        <w:tc>
          <w:tcPr>
            <w:tcW w:w="3100" w:type="dxa"/>
            <w:noWrap w:val="0"/>
            <w:tcMar>
              <w:top w:w="0" w:type="dxa"/>
              <w:left w:w="108" w:type="dxa"/>
              <w:bottom w:w="0" w:type="dxa"/>
              <w:right w:w="108" w:type="dxa"/>
            </w:tcMar>
            <w:vAlign w:val="top"/>
          </w:tcPr>
          <w:p w14:paraId="4FDBFB4C">
            <w:pPr>
              <w:numPr>
                <w:ilvl w:val="0"/>
                <w:numId w:val="5"/>
              </w:numPr>
              <w:rPr>
                <w:rFonts w:ascii="宋体" w:hAnsi="宋体"/>
                <w:b/>
                <w:color w:val="auto"/>
                <w:sz w:val="18"/>
                <w:szCs w:val="18"/>
                <w:highlight w:val="none"/>
              </w:rPr>
            </w:pPr>
            <w:r>
              <w:rPr>
                <w:rFonts w:hint="eastAsia" w:ascii="宋体" w:hAnsi="宋体"/>
                <w:color w:val="auto"/>
                <w:sz w:val="18"/>
                <w:szCs w:val="18"/>
                <w:highlight w:val="none"/>
              </w:rPr>
              <w:t>配合采购方创建五星消防控制室，由专业评估人员</w:t>
            </w:r>
            <w:r>
              <w:rPr>
                <w:rFonts w:hint="eastAsia" w:ascii="宋体" w:hAnsi="宋体"/>
                <w:color w:val="auto"/>
                <w:sz w:val="18"/>
                <w:szCs w:val="18"/>
                <w:highlight w:val="none"/>
                <w:lang w:eastAsia="zh-CN"/>
              </w:rPr>
              <w:t>根据评估情况制定</w:t>
            </w:r>
            <w:r>
              <w:rPr>
                <w:rFonts w:hint="eastAsia" w:ascii="宋体" w:hAnsi="宋体"/>
                <w:color w:val="auto"/>
                <w:sz w:val="18"/>
                <w:szCs w:val="18"/>
                <w:highlight w:val="none"/>
              </w:rPr>
              <w:t>消防应急预案，并装订成册10套。（含应对突发火灾事故预案、应急疏散预案、大型活动消防预案等）</w:t>
            </w:r>
          </w:p>
        </w:tc>
        <w:tc>
          <w:tcPr>
            <w:tcW w:w="967" w:type="dxa"/>
            <w:noWrap w:val="0"/>
            <w:tcMar>
              <w:top w:w="0" w:type="dxa"/>
              <w:left w:w="108" w:type="dxa"/>
              <w:bottom w:w="0" w:type="dxa"/>
              <w:right w:w="108" w:type="dxa"/>
            </w:tcMar>
            <w:vAlign w:val="center"/>
          </w:tcPr>
          <w:p w14:paraId="2FED858D">
            <w:pPr>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6000元/项</w:t>
            </w:r>
          </w:p>
        </w:tc>
        <w:tc>
          <w:tcPr>
            <w:tcW w:w="1000" w:type="dxa"/>
            <w:noWrap w:val="0"/>
            <w:tcMar>
              <w:top w:w="0" w:type="dxa"/>
              <w:left w:w="108" w:type="dxa"/>
              <w:bottom w:w="0" w:type="dxa"/>
              <w:right w:w="108" w:type="dxa"/>
            </w:tcMar>
            <w:vAlign w:val="center"/>
          </w:tcPr>
          <w:p w14:paraId="15771377">
            <w:pPr>
              <w:ind w:firstLine="360" w:firstLineChars="200"/>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eastAsia="zh-CN"/>
              </w:rPr>
              <w:t>一项</w:t>
            </w:r>
          </w:p>
        </w:tc>
        <w:tc>
          <w:tcPr>
            <w:tcW w:w="972" w:type="dxa"/>
            <w:noWrap w:val="0"/>
            <w:tcMar>
              <w:top w:w="0" w:type="dxa"/>
              <w:left w:w="108" w:type="dxa"/>
              <w:bottom w:w="0" w:type="dxa"/>
              <w:right w:w="108" w:type="dxa"/>
            </w:tcMar>
            <w:vAlign w:val="center"/>
          </w:tcPr>
          <w:p w14:paraId="32376A7B">
            <w:pPr>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6000</w:t>
            </w:r>
          </w:p>
        </w:tc>
      </w:tr>
      <w:tr w14:paraId="7211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542" w:hRule="atLeast"/>
          <w:jc w:val="center"/>
        </w:trPr>
        <w:tc>
          <w:tcPr>
            <w:tcW w:w="869" w:type="dxa"/>
            <w:vMerge w:val="continue"/>
            <w:noWrap w:val="0"/>
            <w:tcMar>
              <w:top w:w="0" w:type="dxa"/>
              <w:left w:w="108" w:type="dxa"/>
              <w:bottom w:w="0" w:type="dxa"/>
              <w:right w:w="108" w:type="dxa"/>
            </w:tcMar>
            <w:vAlign w:val="center"/>
          </w:tcPr>
          <w:p w14:paraId="58E1B342">
            <w:pPr>
              <w:jc w:val="center"/>
              <w:rPr>
                <w:rFonts w:hint="eastAsia" w:ascii="宋体" w:hAnsi="宋体"/>
                <w:color w:val="auto"/>
                <w:sz w:val="18"/>
                <w:szCs w:val="18"/>
                <w:highlight w:val="none"/>
              </w:rPr>
            </w:pPr>
          </w:p>
        </w:tc>
        <w:tc>
          <w:tcPr>
            <w:tcW w:w="870" w:type="dxa"/>
            <w:vMerge w:val="continue"/>
            <w:noWrap w:val="0"/>
            <w:tcMar>
              <w:top w:w="0" w:type="dxa"/>
              <w:left w:w="108" w:type="dxa"/>
              <w:bottom w:w="0" w:type="dxa"/>
              <w:right w:w="108" w:type="dxa"/>
            </w:tcMar>
            <w:vAlign w:val="center"/>
          </w:tcPr>
          <w:p w14:paraId="7A414792">
            <w:pPr>
              <w:jc w:val="center"/>
              <w:rPr>
                <w:rFonts w:hint="eastAsia" w:ascii="宋体" w:hAnsi="宋体"/>
                <w:color w:val="auto"/>
                <w:sz w:val="18"/>
                <w:szCs w:val="18"/>
                <w:highlight w:val="none"/>
              </w:rPr>
            </w:pPr>
          </w:p>
        </w:tc>
        <w:tc>
          <w:tcPr>
            <w:tcW w:w="2183" w:type="dxa"/>
            <w:vMerge w:val="continue"/>
            <w:noWrap w:val="0"/>
            <w:tcMar>
              <w:top w:w="0" w:type="dxa"/>
              <w:left w:w="108" w:type="dxa"/>
              <w:bottom w:w="0" w:type="dxa"/>
              <w:right w:w="108" w:type="dxa"/>
            </w:tcMar>
            <w:vAlign w:val="center"/>
          </w:tcPr>
          <w:p w14:paraId="00DDAFE1">
            <w:pPr>
              <w:jc w:val="center"/>
              <w:rPr>
                <w:rFonts w:hint="eastAsia" w:ascii="宋体" w:hAnsi="宋体"/>
                <w:color w:val="auto"/>
                <w:sz w:val="18"/>
                <w:szCs w:val="18"/>
                <w:highlight w:val="none"/>
              </w:rPr>
            </w:pPr>
          </w:p>
        </w:tc>
        <w:tc>
          <w:tcPr>
            <w:tcW w:w="3100" w:type="dxa"/>
            <w:noWrap w:val="0"/>
            <w:tcMar>
              <w:top w:w="0" w:type="dxa"/>
              <w:left w:w="108" w:type="dxa"/>
              <w:bottom w:w="0" w:type="dxa"/>
              <w:right w:w="108" w:type="dxa"/>
            </w:tcMar>
            <w:vAlign w:val="top"/>
          </w:tcPr>
          <w:p w14:paraId="0730F8E0">
            <w:pPr>
              <w:rPr>
                <w:rFonts w:ascii="宋体" w:hAnsi="宋体"/>
                <w:b/>
                <w:color w:val="auto"/>
                <w:sz w:val="18"/>
                <w:szCs w:val="18"/>
                <w:highlight w:val="none"/>
              </w:rPr>
            </w:pP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配合采购方创建五星级别消防控制室，由评估人员制定消防设施设备操作流程，并装订成册10套。（含监控室主机操作流程、现场设备操作手册等；有喷淋泵操作规程、火灾报警系统操作规程、报警阀组操作规程、稳压系统操作规程、消防广播操作规程、防排烟系统操作规程、气体灭火操作规程、防火卷帘门操作规程、应急照明系统操作规程、水</w:t>
            </w:r>
            <w:r>
              <w:rPr>
                <w:rFonts w:hint="eastAsia" w:ascii="宋体" w:hAnsi="宋体"/>
                <w:color w:val="auto"/>
                <w:sz w:val="18"/>
                <w:szCs w:val="18"/>
                <w:highlight w:val="none"/>
                <w:lang w:eastAsia="zh-CN"/>
              </w:rPr>
              <w:t>炮系统</w:t>
            </w:r>
            <w:r>
              <w:rPr>
                <w:rFonts w:hint="eastAsia" w:ascii="宋体" w:hAnsi="宋体"/>
                <w:color w:val="auto"/>
                <w:sz w:val="18"/>
                <w:szCs w:val="18"/>
                <w:highlight w:val="none"/>
              </w:rPr>
              <w:t>操作规程等）</w:t>
            </w:r>
          </w:p>
        </w:tc>
        <w:tc>
          <w:tcPr>
            <w:tcW w:w="967" w:type="dxa"/>
            <w:noWrap w:val="0"/>
            <w:tcMar>
              <w:top w:w="0" w:type="dxa"/>
              <w:left w:w="108" w:type="dxa"/>
              <w:bottom w:w="0" w:type="dxa"/>
              <w:right w:w="108" w:type="dxa"/>
            </w:tcMar>
            <w:vAlign w:val="center"/>
          </w:tcPr>
          <w:p w14:paraId="4D24409D">
            <w:pPr>
              <w:jc w:val="center"/>
              <w:rPr>
                <w:rFonts w:hint="eastAsia" w:ascii="宋体" w:hAnsi="宋体"/>
                <w:color w:val="auto"/>
                <w:sz w:val="18"/>
                <w:szCs w:val="18"/>
                <w:highlight w:val="none"/>
              </w:rPr>
            </w:pPr>
            <w:r>
              <w:rPr>
                <w:rFonts w:hint="eastAsia" w:ascii="宋体" w:hAnsi="宋体"/>
                <w:color w:val="auto"/>
                <w:sz w:val="18"/>
                <w:szCs w:val="18"/>
                <w:highlight w:val="none"/>
                <w:lang w:val="en-US" w:eastAsia="zh-CN"/>
              </w:rPr>
              <w:t>6000元/项</w:t>
            </w:r>
          </w:p>
        </w:tc>
        <w:tc>
          <w:tcPr>
            <w:tcW w:w="1000" w:type="dxa"/>
            <w:noWrap w:val="0"/>
            <w:tcMar>
              <w:top w:w="0" w:type="dxa"/>
              <w:left w:w="108" w:type="dxa"/>
              <w:bottom w:w="0" w:type="dxa"/>
              <w:right w:w="108" w:type="dxa"/>
            </w:tcMar>
            <w:vAlign w:val="center"/>
          </w:tcPr>
          <w:p w14:paraId="2EE16CF4">
            <w:pPr>
              <w:ind w:firstLine="360" w:firstLineChars="200"/>
              <w:rPr>
                <w:rFonts w:hint="eastAsia" w:ascii="宋体" w:hAnsi="宋体"/>
                <w:color w:val="auto"/>
                <w:sz w:val="18"/>
                <w:szCs w:val="18"/>
                <w:highlight w:val="none"/>
              </w:rPr>
            </w:pPr>
            <w:r>
              <w:rPr>
                <w:rFonts w:hint="eastAsia" w:ascii="宋体" w:hAnsi="宋体"/>
                <w:color w:val="auto"/>
                <w:sz w:val="18"/>
                <w:szCs w:val="18"/>
                <w:highlight w:val="none"/>
                <w:lang w:eastAsia="zh-CN"/>
              </w:rPr>
              <w:t>一项</w:t>
            </w:r>
          </w:p>
        </w:tc>
        <w:tc>
          <w:tcPr>
            <w:tcW w:w="972" w:type="dxa"/>
            <w:noWrap w:val="0"/>
            <w:tcMar>
              <w:top w:w="0" w:type="dxa"/>
              <w:left w:w="108" w:type="dxa"/>
              <w:bottom w:w="0" w:type="dxa"/>
              <w:right w:w="108" w:type="dxa"/>
            </w:tcMar>
            <w:vAlign w:val="center"/>
          </w:tcPr>
          <w:p w14:paraId="27D80262">
            <w:pPr>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6000</w:t>
            </w:r>
          </w:p>
        </w:tc>
      </w:tr>
      <w:tr w14:paraId="228B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93" w:hRule="atLeast"/>
          <w:jc w:val="center"/>
        </w:trPr>
        <w:tc>
          <w:tcPr>
            <w:tcW w:w="869" w:type="dxa"/>
            <w:vMerge w:val="continue"/>
            <w:noWrap w:val="0"/>
            <w:tcMar>
              <w:top w:w="0" w:type="dxa"/>
              <w:left w:w="108" w:type="dxa"/>
              <w:bottom w:w="0" w:type="dxa"/>
              <w:right w:w="108" w:type="dxa"/>
            </w:tcMar>
            <w:vAlign w:val="center"/>
          </w:tcPr>
          <w:p w14:paraId="5D5554B1">
            <w:pPr>
              <w:jc w:val="center"/>
              <w:rPr>
                <w:rFonts w:hint="eastAsia" w:ascii="宋体" w:hAnsi="宋体"/>
                <w:color w:val="auto"/>
                <w:sz w:val="18"/>
                <w:szCs w:val="18"/>
                <w:highlight w:val="none"/>
              </w:rPr>
            </w:pPr>
          </w:p>
        </w:tc>
        <w:tc>
          <w:tcPr>
            <w:tcW w:w="870" w:type="dxa"/>
            <w:vMerge w:val="continue"/>
            <w:noWrap w:val="0"/>
            <w:tcMar>
              <w:top w:w="0" w:type="dxa"/>
              <w:left w:w="108" w:type="dxa"/>
              <w:bottom w:w="0" w:type="dxa"/>
              <w:right w:w="108" w:type="dxa"/>
            </w:tcMar>
            <w:vAlign w:val="center"/>
          </w:tcPr>
          <w:p w14:paraId="7533ECC7">
            <w:pPr>
              <w:jc w:val="center"/>
              <w:rPr>
                <w:rFonts w:hint="eastAsia" w:ascii="宋体" w:hAnsi="宋体"/>
                <w:color w:val="auto"/>
                <w:sz w:val="18"/>
                <w:szCs w:val="18"/>
                <w:highlight w:val="none"/>
              </w:rPr>
            </w:pPr>
          </w:p>
        </w:tc>
        <w:tc>
          <w:tcPr>
            <w:tcW w:w="2183" w:type="dxa"/>
            <w:vMerge w:val="continue"/>
            <w:noWrap w:val="0"/>
            <w:tcMar>
              <w:top w:w="0" w:type="dxa"/>
              <w:left w:w="108" w:type="dxa"/>
              <w:bottom w:w="0" w:type="dxa"/>
              <w:right w:w="108" w:type="dxa"/>
            </w:tcMar>
            <w:vAlign w:val="center"/>
          </w:tcPr>
          <w:p w14:paraId="2AC8722B">
            <w:pPr>
              <w:jc w:val="center"/>
              <w:rPr>
                <w:rFonts w:hint="eastAsia" w:ascii="宋体" w:hAnsi="宋体"/>
                <w:color w:val="auto"/>
                <w:sz w:val="18"/>
                <w:szCs w:val="18"/>
                <w:highlight w:val="none"/>
              </w:rPr>
            </w:pPr>
          </w:p>
        </w:tc>
        <w:tc>
          <w:tcPr>
            <w:tcW w:w="3100" w:type="dxa"/>
            <w:noWrap w:val="0"/>
            <w:tcMar>
              <w:top w:w="0" w:type="dxa"/>
              <w:left w:w="108" w:type="dxa"/>
              <w:bottom w:w="0" w:type="dxa"/>
              <w:right w:w="108" w:type="dxa"/>
            </w:tcMar>
            <w:vAlign w:val="top"/>
          </w:tcPr>
          <w:p w14:paraId="09483AF0">
            <w:pPr>
              <w:jc w:val="left"/>
              <w:rPr>
                <w:rFonts w:hint="eastAsia" w:ascii="宋体" w:hAnsi="宋体"/>
                <w:color w:val="auto"/>
                <w:sz w:val="18"/>
                <w:szCs w:val="18"/>
                <w:highlight w:val="none"/>
              </w:rPr>
            </w:pPr>
            <w:r>
              <w:rPr>
                <w:rFonts w:hint="eastAsia" w:ascii="宋体" w:hAnsi="宋体"/>
                <w:color w:val="auto"/>
                <w:sz w:val="18"/>
                <w:szCs w:val="18"/>
                <w:highlight w:val="none"/>
                <w:lang w:val="en-US" w:eastAsia="zh-CN"/>
              </w:rPr>
              <w:t>3、</w:t>
            </w:r>
            <w:r>
              <w:rPr>
                <w:rFonts w:hint="eastAsia" w:ascii="宋体" w:hAnsi="宋体"/>
                <w:color w:val="auto"/>
                <w:sz w:val="18"/>
                <w:szCs w:val="18"/>
                <w:highlight w:val="none"/>
              </w:rPr>
              <w:t>配合采购方创建消防示范单位，由评估人员对检测评估现场所有消防设施操作间、设施设备分类统计，形成设备清单。制作、悬挂现场消防设施设备标识牌</w:t>
            </w: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00个，大小</w:t>
            </w:r>
            <w:r>
              <w:rPr>
                <w:rFonts w:hint="eastAsia" w:ascii="宋体" w:hAnsi="宋体"/>
                <w:color w:val="auto"/>
                <w:sz w:val="18"/>
                <w:szCs w:val="18"/>
                <w:highlight w:val="none"/>
                <w:lang w:eastAsia="zh-CN"/>
              </w:rPr>
              <w:t>约</w:t>
            </w:r>
            <w:r>
              <w:rPr>
                <w:rFonts w:hint="eastAsia" w:ascii="宋体" w:hAnsi="宋体"/>
                <w:color w:val="auto"/>
                <w:sz w:val="18"/>
                <w:szCs w:val="18"/>
                <w:highlight w:val="none"/>
              </w:rPr>
              <w:t>20*20cm，亚克力材质。（含标牌内容制作、人工安装）如涉及到高空操作费用，由投标方承担。</w:t>
            </w:r>
          </w:p>
          <w:p w14:paraId="37111228">
            <w:pPr>
              <w:jc w:val="left"/>
              <w:rPr>
                <w:rFonts w:ascii="宋体" w:hAnsi="宋体"/>
                <w:b/>
                <w:color w:val="auto"/>
                <w:sz w:val="18"/>
                <w:szCs w:val="18"/>
                <w:highlight w:val="none"/>
              </w:rPr>
            </w:pPr>
          </w:p>
        </w:tc>
        <w:tc>
          <w:tcPr>
            <w:tcW w:w="967" w:type="dxa"/>
            <w:noWrap w:val="0"/>
            <w:tcMar>
              <w:top w:w="0" w:type="dxa"/>
              <w:left w:w="108" w:type="dxa"/>
              <w:bottom w:w="0" w:type="dxa"/>
              <w:right w:w="108" w:type="dxa"/>
            </w:tcMar>
            <w:vAlign w:val="center"/>
          </w:tcPr>
          <w:p w14:paraId="117A8060">
            <w:pPr>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40元/个</w:t>
            </w:r>
          </w:p>
        </w:tc>
        <w:tc>
          <w:tcPr>
            <w:tcW w:w="1000" w:type="dxa"/>
            <w:noWrap w:val="0"/>
            <w:tcMar>
              <w:top w:w="0" w:type="dxa"/>
              <w:left w:w="108" w:type="dxa"/>
              <w:bottom w:w="0" w:type="dxa"/>
              <w:right w:w="108" w:type="dxa"/>
            </w:tcMar>
            <w:vAlign w:val="center"/>
          </w:tcPr>
          <w:p w14:paraId="34E44178">
            <w:pPr>
              <w:ind w:firstLine="180" w:firstLineChars="100"/>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200个</w:t>
            </w:r>
          </w:p>
        </w:tc>
        <w:tc>
          <w:tcPr>
            <w:tcW w:w="972" w:type="dxa"/>
            <w:noWrap w:val="0"/>
            <w:tcMar>
              <w:top w:w="0" w:type="dxa"/>
              <w:left w:w="108" w:type="dxa"/>
              <w:bottom w:w="0" w:type="dxa"/>
              <w:right w:w="108" w:type="dxa"/>
            </w:tcMar>
            <w:vAlign w:val="center"/>
          </w:tcPr>
          <w:p w14:paraId="1EEA6F7D">
            <w:pPr>
              <w:jc w:val="center"/>
              <w:rPr>
                <w:rFonts w:hint="eastAsia" w:ascii="宋体" w:hAnsi="宋体"/>
                <w:color w:val="auto"/>
                <w:sz w:val="18"/>
                <w:szCs w:val="18"/>
                <w:highlight w:val="none"/>
              </w:rPr>
            </w:pPr>
            <w:r>
              <w:rPr>
                <w:rFonts w:hint="eastAsia" w:ascii="宋体" w:hAnsi="宋体"/>
                <w:color w:val="auto"/>
                <w:sz w:val="18"/>
                <w:szCs w:val="18"/>
                <w:highlight w:val="none"/>
                <w:lang w:val="en-US" w:eastAsia="zh-CN"/>
              </w:rPr>
              <w:t>8000</w:t>
            </w:r>
          </w:p>
        </w:tc>
      </w:tr>
      <w:tr w14:paraId="2FE8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80" w:hRule="atLeast"/>
          <w:jc w:val="center"/>
        </w:trPr>
        <w:tc>
          <w:tcPr>
            <w:tcW w:w="869" w:type="dxa"/>
            <w:vMerge w:val="continue"/>
            <w:noWrap w:val="0"/>
            <w:tcMar>
              <w:top w:w="0" w:type="dxa"/>
              <w:left w:w="108" w:type="dxa"/>
              <w:bottom w:w="0" w:type="dxa"/>
              <w:right w:w="108" w:type="dxa"/>
            </w:tcMar>
            <w:vAlign w:val="center"/>
          </w:tcPr>
          <w:p w14:paraId="633E7CC9">
            <w:pPr>
              <w:jc w:val="center"/>
              <w:rPr>
                <w:rFonts w:hint="eastAsia" w:ascii="宋体" w:hAnsi="宋体"/>
                <w:color w:val="auto"/>
                <w:sz w:val="18"/>
                <w:szCs w:val="18"/>
                <w:highlight w:val="none"/>
              </w:rPr>
            </w:pPr>
          </w:p>
        </w:tc>
        <w:tc>
          <w:tcPr>
            <w:tcW w:w="870" w:type="dxa"/>
            <w:vMerge w:val="continue"/>
            <w:noWrap w:val="0"/>
            <w:tcMar>
              <w:top w:w="0" w:type="dxa"/>
              <w:left w:w="108" w:type="dxa"/>
              <w:bottom w:w="0" w:type="dxa"/>
              <w:right w:w="108" w:type="dxa"/>
            </w:tcMar>
            <w:vAlign w:val="center"/>
          </w:tcPr>
          <w:p w14:paraId="34A25DA5">
            <w:pPr>
              <w:jc w:val="center"/>
              <w:rPr>
                <w:rFonts w:hint="eastAsia" w:ascii="宋体" w:hAnsi="宋体"/>
                <w:color w:val="auto"/>
                <w:sz w:val="18"/>
                <w:szCs w:val="18"/>
                <w:highlight w:val="none"/>
              </w:rPr>
            </w:pPr>
          </w:p>
        </w:tc>
        <w:tc>
          <w:tcPr>
            <w:tcW w:w="2183" w:type="dxa"/>
            <w:vMerge w:val="continue"/>
            <w:noWrap w:val="0"/>
            <w:tcMar>
              <w:top w:w="0" w:type="dxa"/>
              <w:left w:w="108" w:type="dxa"/>
              <w:bottom w:w="0" w:type="dxa"/>
              <w:right w:w="108" w:type="dxa"/>
            </w:tcMar>
            <w:vAlign w:val="center"/>
          </w:tcPr>
          <w:p w14:paraId="26B87258">
            <w:pPr>
              <w:jc w:val="center"/>
              <w:rPr>
                <w:rFonts w:hint="eastAsia" w:ascii="宋体" w:hAnsi="宋体"/>
                <w:color w:val="auto"/>
                <w:sz w:val="18"/>
                <w:szCs w:val="18"/>
                <w:highlight w:val="none"/>
              </w:rPr>
            </w:pPr>
          </w:p>
        </w:tc>
        <w:tc>
          <w:tcPr>
            <w:tcW w:w="3100" w:type="dxa"/>
            <w:noWrap w:val="0"/>
            <w:tcMar>
              <w:top w:w="0" w:type="dxa"/>
              <w:left w:w="108" w:type="dxa"/>
              <w:bottom w:w="0" w:type="dxa"/>
              <w:right w:w="108" w:type="dxa"/>
            </w:tcMar>
            <w:vAlign w:val="top"/>
          </w:tcPr>
          <w:p w14:paraId="4E6B30B4">
            <w:pPr>
              <w:jc w:val="left"/>
              <w:rPr>
                <w:rFonts w:ascii="宋体" w:hAnsi="宋体"/>
                <w:color w:val="auto"/>
                <w:sz w:val="18"/>
                <w:szCs w:val="18"/>
                <w:highlight w:val="none"/>
              </w:rPr>
            </w:pPr>
            <w:r>
              <w:rPr>
                <w:rFonts w:hint="eastAsia" w:ascii="宋体" w:hAnsi="宋体"/>
                <w:color w:val="auto"/>
                <w:sz w:val="18"/>
                <w:szCs w:val="18"/>
                <w:highlight w:val="none"/>
              </w:rPr>
              <w:t>4、配合采购方创建消防示范单位，制作、悬挂禁烟等宣传标识</w:t>
            </w:r>
            <w:r>
              <w:rPr>
                <w:rFonts w:hint="eastAsia" w:ascii="宋体" w:hAnsi="宋体"/>
                <w:color w:val="auto"/>
                <w:sz w:val="18"/>
                <w:szCs w:val="18"/>
                <w:highlight w:val="none"/>
                <w:lang w:val="en-US" w:eastAsia="zh-CN"/>
              </w:rPr>
              <w:t>10</w:t>
            </w:r>
            <w:r>
              <w:rPr>
                <w:rFonts w:hint="eastAsia" w:ascii="宋体" w:hAnsi="宋体"/>
                <w:color w:val="auto"/>
                <w:sz w:val="18"/>
                <w:szCs w:val="18"/>
                <w:highlight w:val="none"/>
              </w:rPr>
              <w:t>0个，大小</w:t>
            </w:r>
            <w:r>
              <w:rPr>
                <w:rFonts w:hint="eastAsia" w:ascii="宋体" w:hAnsi="宋体"/>
                <w:color w:val="auto"/>
                <w:sz w:val="18"/>
                <w:szCs w:val="18"/>
                <w:highlight w:val="none"/>
                <w:lang w:eastAsia="zh-CN"/>
              </w:rPr>
              <w:t>约</w:t>
            </w:r>
            <w:r>
              <w:rPr>
                <w:rFonts w:hint="eastAsia" w:ascii="宋体" w:hAnsi="宋体"/>
                <w:color w:val="auto"/>
                <w:sz w:val="18"/>
                <w:szCs w:val="18"/>
                <w:highlight w:val="none"/>
              </w:rPr>
              <w:t>30*40cm，亚克力材质。（含标牌内容制作、安装）</w:t>
            </w:r>
          </w:p>
          <w:p w14:paraId="2F20B8F3">
            <w:pPr>
              <w:jc w:val="left"/>
              <w:rPr>
                <w:rFonts w:ascii="宋体" w:hAnsi="宋体"/>
                <w:b/>
                <w:color w:val="auto"/>
                <w:sz w:val="18"/>
                <w:szCs w:val="18"/>
                <w:highlight w:val="none"/>
              </w:rPr>
            </w:pPr>
          </w:p>
        </w:tc>
        <w:tc>
          <w:tcPr>
            <w:tcW w:w="967" w:type="dxa"/>
            <w:noWrap w:val="0"/>
            <w:tcMar>
              <w:top w:w="0" w:type="dxa"/>
              <w:left w:w="108" w:type="dxa"/>
              <w:bottom w:w="0" w:type="dxa"/>
              <w:right w:w="108" w:type="dxa"/>
            </w:tcMar>
            <w:vAlign w:val="center"/>
          </w:tcPr>
          <w:p w14:paraId="7548F8D4">
            <w:pPr>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55元/个</w:t>
            </w:r>
          </w:p>
        </w:tc>
        <w:tc>
          <w:tcPr>
            <w:tcW w:w="1000" w:type="dxa"/>
            <w:noWrap w:val="0"/>
            <w:tcMar>
              <w:top w:w="0" w:type="dxa"/>
              <w:left w:w="108" w:type="dxa"/>
              <w:bottom w:w="0" w:type="dxa"/>
              <w:right w:w="108" w:type="dxa"/>
            </w:tcMar>
            <w:vAlign w:val="center"/>
          </w:tcPr>
          <w:p w14:paraId="7B658355">
            <w:pPr>
              <w:ind w:firstLine="180" w:firstLineChars="100"/>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100个</w:t>
            </w:r>
          </w:p>
        </w:tc>
        <w:tc>
          <w:tcPr>
            <w:tcW w:w="972" w:type="dxa"/>
            <w:noWrap w:val="0"/>
            <w:tcMar>
              <w:top w:w="0" w:type="dxa"/>
              <w:left w:w="108" w:type="dxa"/>
              <w:bottom w:w="0" w:type="dxa"/>
              <w:right w:w="108" w:type="dxa"/>
            </w:tcMar>
            <w:vAlign w:val="center"/>
          </w:tcPr>
          <w:p w14:paraId="49E80E4F">
            <w:pPr>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5500</w:t>
            </w:r>
          </w:p>
        </w:tc>
      </w:tr>
      <w:tr w14:paraId="4B8E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31" w:hRule="atLeast"/>
          <w:jc w:val="center"/>
        </w:trPr>
        <w:tc>
          <w:tcPr>
            <w:tcW w:w="869" w:type="dxa"/>
            <w:noWrap w:val="0"/>
            <w:tcMar>
              <w:top w:w="0" w:type="dxa"/>
              <w:left w:w="108" w:type="dxa"/>
              <w:bottom w:w="0" w:type="dxa"/>
              <w:right w:w="108" w:type="dxa"/>
            </w:tcMar>
            <w:vAlign w:val="center"/>
          </w:tcPr>
          <w:p w14:paraId="4DA9F91B">
            <w:pPr>
              <w:jc w:val="center"/>
              <w:rPr>
                <w:rFonts w:hint="eastAsia" w:ascii="宋体" w:hAnsi="宋体"/>
                <w:color w:val="auto"/>
                <w:sz w:val="18"/>
                <w:szCs w:val="18"/>
                <w:highlight w:val="none"/>
              </w:rPr>
            </w:pPr>
          </w:p>
        </w:tc>
        <w:tc>
          <w:tcPr>
            <w:tcW w:w="870" w:type="dxa"/>
            <w:noWrap w:val="0"/>
            <w:tcMar>
              <w:top w:w="0" w:type="dxa"/>
              <w:left w:w="108" w:type="dxa"/>
              <w:bottom w:w="0" w:type="dxa"/>
              <w:right w:w="108" w:type="dxa"/>
            </w:tcMar>
            <w:vAlign w:val="center"/>
          </w:tcPr>
          <w:p w14:paraId="4F298BC0">
            <w:pPr>
              <w:jc w:val="center"/>
              <w:rPr>
                <w:rFonts w:hint="eastAsia" w:ascii="宋体" w:hAnsi="宋体"/>
                <w:color w:val="auto"/>
                <w:sz w:val="18"/>
                <w:szCs w:val="18"/>
                <w:highlight w:val="none"/>
              </w:rPr>
            </w:pPr>
          </w:p>
        </w:tc>
        <w:tc>
          <w:tcPr>
            <w:tcW w:w="2183" w:type="dxa"/>
            <w:noWrap w:val="0"/>
            <w:tcMar>
              <w:top w:w="0" w:type="dxa"/>
              <w:left w:w="108" w:type="dxa"/>
              <w:bottom w:w="0" w:type="dxa"/>
              <w:right w:w="108" w:type="dxa"/>
            </w:tcMar>
            <w:vAlign w:val="center"/>
          </w:tcPr>
          <w:p w14:paraId="1B4C88B0">
            <w:pPr>
              <w:jc w:val="center"/>
              <w:rPr>
                <w:rFonts w:hint="eastAsia" w:ascii="宋体" w:hAnsi="宋体"/>
                <w:color w:val="auto"/>
                <w:sz w:val="18"/>
                <w:szCs w:val="18"/>
                <w:highlight w:val="none"/>
              </w:rPr>
            </w:pPr>
            <w:r>
              <w:rPr>
                <w:rFonts w:hint="eastAsia" w:ascii="宋体" w:hAnsi="宋体"/>
                <w:color w:val="auto"/>
                <w:sz w:val="18"/>
                <w:szCs w:val="18"/>
                <w:highlight w:val="none"/>
              </w:rPr>
              <w:t>合计</w:t>
            </w:r>
          </w:p>
        </w:tc>
        <w:tc>
          <w:tcPr>
            <w:tcW w:w="3100" w:type="dxa"/>
            <w:noWrap w:val="0"/>
            <w:tcMar>
              <w:top w:w="0" w:type="dxa"/>
              <w:left w:w="108" w:type="dxa"/>
              <w:bottom w:w="0" w:type="dxa"/>
              <w:right w:w="108" w:type="dxa"/>
            </w:tcMar>
            <w:vAlign w:val="top"/>
          </w:tcPr>
          <w:p w14:paraId="6B8B526E">
            <w:pPr>
              <w:jc w:val="center"/>
              <w:rPr>
                <w:rFonts w:hint="eastAsia" w:ascii="宋体" w:hAnsi="宋体"/>
                <w:b/>
                <w:bCs/>
                <w:color w:val="auto"/>
                <w:sz w:val="18"/>
                <w:szCs w:val="18"/>
                <w:highlight w:val="none"/>
              </w:rPr>
            </w:pPr>
            <w:r>
              <w:rPr>
                <w:rFonts w:hint="eastAsia" w:ascii="宋体" w:hAnsi="宋体"/>
                <w:color w:val="auto"/>
                <w:sz w:val="18"/>
                <w:szCs w:val="18"/>
                <w:highlight w:val="none"/>
              </w:rPr>
              <w:t>/</w:t>
            </w:r>
          </w:p>
        </w:tc>
        <w:tc>
          <w:tcPr>
            <w:tcW w:w="967" w:type="dxa"/>
            <w:noWrap w:val="0"/>
            <w:tcMar>
              <w:top w:w="0" w:type="dxa"/>
              <w:left w:w="108" w:type="dxa"/>
              <w:bottom w:w="0" w:type="dxa"/>
              <w:right w:w="108" w:type="dxa"/>
            </w:tcMar>
            <w:vAlign w:val="center"/>
          </w:tcPr>
          <w:p w14:paraId="31F5BB7A">
            <w:pPr>
              <w:jc w:val="center"/>
              <w:rPr>
                <w:rFonts w:hint="eastAsia" w:ascii="宋体" w:hAnsi="宋体"/>
                <w:color w:val="auto"/>
                <w:sz w:val="18"/>
                <w:szCs w:val="18"/>
                <w:highlight w:val="none"/>
              </w:rPr>
            </w:pPr>
            <w:r>
              <w:rPr>
                <w:rFonts w:ascii="宋体" w:hAnsi="宋体"/>
                <w:color w:val="auto"/>
                <w:sz w:val="18"/>
                <w:szCs w:val="18"/>
                <w:highlight w:val="none"/>
              </w:rPr>
              <w:t>/</w:t>
            </w:r>
          </w:p>
        </w:tc>
        <w:tc>
          <w:tcPr>
            <w:tcW w:w="1000" w:type="dxa"/>
            <w:noWrap w:val="0"/>
            <w:tcMar>
              <w:top w:w="0" w:type="dxa"/>
              <w:left w:w="108" w:type="dxa"/>
              <w:bottom w:w="0" w:type="dxa"/>
              <w:right w:w="108" w:type="dxa"/>
            </w:tcMar>
            <w:vAlign w:val="center"/>
          </w:tcPr>
          <w:p w14:paraId="0F3FB085">
            <w:pPr>
              <w:jc w:val="center"/>
              <w:rPr>
                <w:rFonts w:hint="eastAsia" w:ascii="宋体" w:hAnsi="宋体"/>
                <w:color w:val="auto"/>
                <w:sz w:val="18"/>
                <w:szCs w:val="18"/>
                <w:highlight w:val="none"/>
              </w:rPr>
            </w:pPr>
            <w:r>
              <w:rPr>
                <w:rFonts w:ascii="宋体" w:hAnsi="宋体"/>
                <w:color w:val="auto"/>
                <w:sz w:val="18"/>
                <w:szCs w:val="18"/>
                <w:highlight w:val="none"/>
              </w:rPr>
              <w:t>/</w:t>
            </w:r>
          </w:p>
        </w:tc>
        <w:tc>
          <w:tcPr>
            <w:tcW w:w="972" w:type="dxa"/>
            <w:noWrap w:val="0"/>
            <w:tcMar>
              <w:top w:w="0" w:type="dxa"/>
              <w:left w:w="108" w:type="dxa"/>
              <w:bottom w:w="0" w:type="dxa"/>
              <w:right w:w="108" w:type="dxa"/>
            </w:tcMar>
            <w:vAlign w:val="center"/>
          </w:tcPr>
          <w:p w14:paraId="7FD3CA59">
            <w:pPr>
              <w:jc w:val="center"/>
              <w:rPr>
                <w:rFonts w:hint="eastAsia" w:ascii="宋体" w:hAnsi="宋体"/>
                <w:color w:val="auto"/>
                <w:sz w:val="18"/>
                <w:szCs w:val="18"/>
                <w:highlight w:val="none"/>
              </w:rPr>
            </w:pPr>
            <w:r>
              <w:rPr>
                <w:rFonts w:hint="eastAsia" w:ascii="宋体" w:hAnsi="宋体"/>
                <w:color w:val="auto"/>
                <w:sz w:val="18"/>
                <w:szCs w:val="18"/>
                <w:highlight w:val="none"/>
                <w:lang w:val="en-US" w:eastAsia="zh-CN"/>
              </w:rPr>
              <w:t>805</w:t>
            </w:r>
            <w:r>
              <w:rPr>
                <w:rFonts w:hint="eastAsia" w:ascii="宋体" w:hAnsi="宋体"/>
                <w:color w:val="auto"/>
                <w:sz w:val="18"/>
                <w:szCs w:val="18"/>
                <w:highlight w:val="none"/>
              </w:rPr>
              <w:t>00</w:t>
            </w:r>
          </w:p>
        </w:tc>
      </w:tr>
      <w:tr w14:paraId="2B04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69" w:type="dxa"/>
            <w:noWrap w:val="0"/>
            <w:tcMar>
              <w:top w:w="0" w:type="dxa"/>
              <w:left w:w="108" w:type="dxa"/>
              <w:bottom w:w="0" w:type="dxa"/>
              <w:right w:w="108" w:type="dxa"/>
            </w:tcMar>
            <w:vAlign w:val="center"/>
          </w:tcPr>
          <w:p w14:paraId="608A91AB">
            <w:pPr>
              <w:jc w:val="center"/>
              <w:rPr>
                <w:rFonts w:hint="eastAsia" w:ascii="宋体" w:hAnsi="宋体"/>
                <w:color w:val="auto"/>
                <w:sz w:val="18"/>
                <w:szCs w:val="18"/>
                <w:highlight w:val="none"/>
              </w:rPr>
            </w:pPr>
            <w:r>
              <w:rPr>
                <w:rFonts w:hint="eastAsia" w:ascii="宋体" w:hAnsi="宋体"/>
                <w:color w:val="auto"/>
                <w:sz w:val="18"/>
                <w:szCs w:val="18"/>
                <w:highlight w:val="none"/>
              </w:rPr>
              <w:t>委托验收咨询服务</w:t>
            </w:r>
          </w:p>
        </w:tc>
        <w:tc>
          <w:tcPr>
            <w:tcW w:w="870" w:type="dxa"/>
            <w:noWrap w:val="0"/>
            <w:tcMar>
              <w:top w:w="0" w:type="dxa"/>
              <w:left w:w="108" w:type="dxa"/>
              <w:bottom w:w="0" w:type="dxa"/>
              <w:right w:w="108" w:type="dxa"/>
            </w:tcMar>
            <w:vAlign w:val="center"/>
          </w:tcPr>
          <w:p w14:paraId="5608081D">
            <w:pPr>
              <w:jc w:val="center"/>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5</w:t>
            </w:r>
          </w:p>
        </w:tc>
        <w:tc>
          <w:tcPr>
            <w:tcW w:w="2183" w:type="dxa"/>
            <w:noWrap w:val="0"/>
            <w:tcMar>
              <w:top w:w="0" w:type="dxa"/>
              <w:left w:w="108" w:type="dxa"/>
              <w:bottom w:w="0" w:type="dxa"/>
              <w:right w:w="108" w:type="dxa"/>
            </w:tcMar>
            <w:vAlign w:val="center"/>
          </w:tcPr>
          <w:p w14:paraId="214A1E0D">
            <w:pPr>
              <w:jc w:val="center"/>
              <w:rPr>
                <w:rFonts w:ascii="宋体" w:hAnsi="宋体"/>
                <w:color w:val="auto"/>
                <w:sz w:val="18"/>
                <w:szCs w:val="18"/>
                <w:highlight w:val="none"/>
              </w:rPr>
            </w:pPr>
            <w:r>
              <w:rPr>
                <w:rFonts w:hint="eastAsia" w:ascii="宋体" w:hAnsi="宋体"/>
                <w:color w:val="auto"/>
                <w:sz w:val="18"/>
                <w:szCs w:val="18"/>
                <w:highlight w:val="none"/>
              </w:rPr>
              <w:t>整个项目</w:t>
            </w:r>
          </w:p>
        </w:tc>
        <w:tc>
          <w:tcPr>
            <w:tcW w:w="3100" w:type="dxa"/>
            <w:noWrap w:val="0"/>
            <w:tcMar>
              <w:top w:w="0" w:type="dxa"/>
              <w:left w:w="108" w:type="dxa"/>
              <w:bottom w:w="0" w:type="dxa"/>
              <w:right w:w="108" w:type="dxa"/>
            </w:tcMar>
            <w:vAlign w:val="top"/>
          </w:tcPr>
          <w:p w14:paraId="1738478C">
            <w:pPr>
              <w:rPr>
                <w:rFonts w:ascii="宋体" w:hAnsi="宋体"/>
                <w:color w:val="auto"/>
                <w:sz w:val="18"/>
                <w:szCs w:val="18"/>
                <w:highlight w:val="none"/>
              </w:rPr>
            </w:pPr>
            <w:r>
              <w:rPr>
                <w:rFonts w:hint="eastAsia" w:ascii="宋体" w:hAnsi="宋体"/>
                <w:color w:val="auto"/>
                <w:sz w:val="18"/>
                <w:szCs w:val="18"/>
                <w:highlight w:val="none"/>
              </w:rPr>
              <w:t>1</w:t>
            </w:r>
            <w:r>
              <w:rPr>
                <w:rFonts w:hint="eastAsia" w:ascii="宋体" w:hAnsi="宋体"/>
                <w:color w:val="auto"/>
                <w:sz w:val="18"/>
                <w:szCs w:val="18"/>
                <w:highlight w:val="none"/>
                <w:lang w:eastAsia="zh-CN"/>
              </w:rPr>
              <w:t>.服务</w:t>
            </w:r>
            <w:r>
              <w:rPr>
                <w:rFonts w:hint="eastAsia" w:ascii="宋体" w:hAnsi="宋体"/>
                <w:color w:val="auto"/>
                <w:sz w:val="18"/>
                <w:szCs w:val="18"/>
                <w:highlight w:val="none"/>
              </w:rPr>
              <w:t>形式：委托行业专家协助对本服务项目进行验收，含检测过程验收</w:t>
            </w:r>
            <w:r>
              <w:rPr>
                <w:rFonts w:hint="eastAsia" w:ascii="宋体" w:hAnsi="宋体"/>
                <w:color w:val="auto"/>
                <w:sz w:val="18"/>
                <w:szCs w:val="18"/>
                <w:highlight w:val="none"/>
                <w:lang w:eastAsia="zh-CN"/>
              </w:rPr>
              <w:t>、预案修订、配套服务验收、</w:t>
            </w:r>
            <w:r>
              <w:rPr>
                <w:rFonts w:hint="eastAsia" w:ascii="宋体" w:hAnsi="宋体"/>
                <w:color w:val="auto"/>
                <w:sz w:val="18"/>
                <w:szCs w:val="18"/>
                <w:highlight w:val="none"/>
              </w:rPr>
              <w:t>问题整改方案咨询</w:t>
            </w:r>
            <w:r>
              <w:rPr>
                <w:rFonts w:hint="eastAsia" w:ascii="宋体" w:hAnsi="宋体"/>
                <w:color w:val="auto"/>
                <w:sz w:val="18"/>
                <w:szCs w:val="18"/>
                <w:highlight w:val="none"/>
                <w:lang w:eastAsia="zh-CN"/>
              </w:rPr>
              <w:t>等</w:t>
            </w:r>
            <w:r>
              <w:rPr>
                <w:rFonts w:hint="eastAsia" w:ascii="宋体" w:hAnsi="宋体"/>
                <w:color w:val="auto"/>
                <w:sz w:val="18"/>
                <w:szCs w:val="18"/>
                <w:highlight w:val="none"/>
              </w:rPr>
              <w:t>。</w:t>
            </w:r>
          </w:p>
          <w:p w14:paraId="05F14089">
            <w:pPr>
              <w:rPr>
                <w:rFonts w:ascii="宋体" w:hAnsi="宋体"/>
                <w:color w:val="auto"/>
                <w:sz w:val="18"/>
                <w:szCs w:val="18"/>
                <w:highlight w:val="none"/>
              </w:rPr>
            </w:pPr>
            <w:r>
              <w:rPr>
                <w:rFonts w:hint="eastAsia" w:ascii="宋体" w:hAnsi="宋体"/>
                <w:color w:val="auto"/>
                <w:sz w:val="18"/>
                <w:szCs w:val="18"/>
                <w:highlight w:val="none"/>
              </w:rPr>
              <w:t>2.专家要求：消防</w:t>
            </w:r>
            <w:r>
              <w:rPr>
                <w:rFonts w:hint="eastAsia" w:ascii="宋体" w:hAnsi="宋体"/>
                <w:color w:val="auto"/>
                <w:sz w:val="18"/>
                <w:szCs w:val="18"/>
                <w:highlight w:val="none"/>
                <w:lang w:eastAsia="zh-CN"/>
              </w:rPr>
              <w:t>技术相关</w:t>
            </w:r>
            <w:r>
              <w:rPr>
                <w:rFonts w:hint="eastAsia" w:ascii="宋体" w:hAnsi="宋体"/>
                <w:color w:val="auto"/>
                <w:sz w:val="18"/>
                <w:szCs w:val="18"/>
                <w:highlight w:val="none"/>
              </w:rPr>
              <w:t>专业高级工程师三名。</w:t>
            </w:r>
          </w:p>
          <w:p w14:paraId="43134143">
            <w:pPr>
              <w:rPr>
                <w:rFonts w:ascii="宋体" w:hAnsi="宋体"/>
                <w:color w:val="auto"/>
                <w:sz w:val="18"/>
                <w:szCs w:val="18"/>
                <w:highlight w:val="none"/>
              </w:rPr>
            </w:pPr>
            <w:r>
              <w:rPr>
                <w:rFonts w:hint="eastAsia" w:ascii="宋体" w:hAnsi="宋体"/>
                <w:color w:val="auto"/>
                <w:sz w:val="18"/>
                <w:szCs w:val="18"/>
                <w:highlight w:val="none"/>
              </w:rPr>
              <w:t>3.专家来源：由甲方认可或政府相关专家库随机抽取。</w:t>
            </w:r>
          </w:p>
          <w:p w14:paraId="2255BF05">
            <w:pPr>
              <w:rPr>
                <w:rFonts w:ascii="宋体" w:hAnsi="宋体"/>
                <w:color w:val="auto"/>
                <w:sz w:val="18"/>
                <w:szCs w:val="18"/>
                <w:highlight w:val="none"/>
              </w:rPr>
            </w:pPr>
            <w:r>
              <w:rPr>
                <w:rFonts w:hint="eastAsia" w:ascii="宋体" w:hAnsi="宋体"/>
                <w:color w:val="auto"/>
                <w:sz w:val="18"/>
                <w:szCs w:val="18"/>
                <w:highlight w:val="none"/>
              </w:rPr>
              <w:t>4.验收时长：共计15天。</w:t>
            </w:r>
          </w:p>
          <w:p w14:paraId="34D4B421">
            <w:pPr>
              <w:rPr>
                <w:rFonts w:hint="eastAsia" w:ascii="宋体" w:hAnsi="宋体"/>
                <w:color w:val="auto"/>
                <w:sz w:val="18"/>
                <w:szCs w:val="18"/>
                <w:highlight w:val="none"/>
              </w:rPr>
            </w:pPr>
            <w:r>
              <w:rPr>
                <w:rFonts w:hint="eastAsia" w:ascii="宋体" w:hAnsi="宋体"/>
                <w:color w:val="auto"/>
                <w:sz w:val="18"/>
                <w:szCs w:val="18"/>
                <w:highlight w:val="none"/>
              </w:rPr>
              <w:t>5.费用标准：专家评审费</w:t>
            </w:r>
            <w:r>
              <w:rPr>
                <w:rFonts w:hint="eastAsia" w:ascii="宋体" w:hAnsi="宋体"/>
                <w:color w:val="auto"/>
                <w:sz w:val="18"/>
                <w:szCs w:val="18"/>
                <w:highlight w:val="none"/>
                <w:lang w:val="en-US" w:eastAsia="zh-CN"/>
              </w:rPr>
              <w:t>9</w:t>
            </w:r>
            <w:r>
              <w:rPr>
                <w:rFonts w:hint="eastAsia" w:ascii="宋体" w:hAnsi="宋体"/>
                <w:color w:val="auto"/>
                <w:sz w:val="18"/>
                <w:szCs w:val="18"/>
                <w:highlight w:val="none"/>
              </w:rPr>
              <w:t>00元/天，合计</w:t>
            </w:r>
            <w:r>
              <w:rPr>
                <w:rFonts w:hint="eastAsia" w:ascii="宋体" w:hAnsi="宋体"/>
                <w:color w:val="auto"/>
                <w:sz w:val="18"/>
                <w:szCs w:val="18"/>
                <w:highlight w:val="none"/>
                <w:lang w:val="en-US" w:eastAsia="zh-CN"/>
              </w:rPr>
              <w:t>405</w:t>
            </w:r>
            <w:r>
              <w:rPr>
                <w:rFonts w:hint="eastAsia" w:ascii="宋体" w:hAnsi="宋体"/>
                <w:color w:val="auto"/>
                <w:sz w:val="18"/>
                <w:szCs w:val="18"/>
                <w:highlight w:val="none"/>
              </w:rPr>
              <w:t>00元(含税)。</w:t>
            </w:r>
          </w:p>
          <w:p w14:paraId="4BF4DADC">
            <w:pPr>
              <w:rPr>
                <w:rFonts w:ascii="宋体" w:hAnsi="宋体"/>
                <w:b/>
                <w:color w:val="auto"/>
                <w:sz w:val="18"/>
                <w:szCs w:val="18"/>
                <w:highlight w:val="none"/>
              </w:rPr>
            </w:pPr>
            <w:r>
              <w:rPr>
                <w:rFonts w:hint="eastAsia" w:ascii="宋体" w:hAnsi="宋体"/>
                <w:color w:val="auto"/>
                <w:sz w:val="18"/>
                <w:szCs w:val="18"/>
                <w:highlight w:val="none"/>
              </w:rPr>
              <w:t>依据鄂财行发[2018]31号文件。</w:t>
            </w:r>
          </w:p>
        </w:tc>
        <w:tc>
          <w:tcPr>
            <w:tcW w:w="967" w:type="dxa"/>
            <w:noWrap w:val="0"/>
            <w:tcMar>
              <w:top w:w="0" w:type="dxa"/>
              <w:left w:w="108" w:type="dxa"/>
              <w:bottom w:w="0" w:type="dxa"/>
              <w:right w:w="108" w:type="dxa"/>
            </w:tcMar>
            <w:vAlign w:val="center"/>
          </w:tcPr>
          <w:p w14:paraId="10C264FA">
            <w:pPr>
              <w:jc w:val="center"/>
              <w:rPr>
                <w:rFonts w:ascii="宋体" w:hAnsi="宋体"/>
                <w:color w:val="auto"/>
                <w:sz w:val="18"/>
                <w:szCs w:val="18"/>
                <w:highlight w:val="none"/>
              </w:rPr>
            </w:pPr>
            <w:r>
              <w:rPr>
                <w:rFonts w:hint="eastAsia" w:ascii="宋体" w:hAnsi="宋体"/>
                <w:color w:val="auto"/>
                <w:sz w:val="18"/>
                <w:szCs w:val="18"/>
                <w:highlight w:val="none"/>
                <w:lang w:val="en-US" w:eastAsia="zh-CN"/>
              </w:rPr>
              <w:t>405</w:t>
            </w:r>
            <w:r>
              <w:rPr>
                <w:rFonts w:hint="eastAsia" w:ascii="宋体" w:hAnsi="宋体"/>
                <w:color w:val="auto"/>
                <w:sz w:val="18"/>
                <w:szCs w:val="18"/>
                <w:highlight w:val="none"/>
              </w:rPr>
              <w:t>00元/次</w:t>
            </w:r>
          </w:p>
        </w:tc>
        <w:tc>
          <w:tcPr>
            <w:tcW w:w="1000" w:type="dxa"/>
            <w:noWrap w:val="0"/>
            <w:tcMar>
              <w:top w:w="0" w:type="dxa"/>
              <w:left w:w="108" w:type="dxa"/>
              <w:bottom w:w="0" w:type="dxa"/>
              <w:right w:w="108" w:type="dxa"/>
            </w:tcMar>
            <w:vAlign w:val="center"/>
          </w:tcPr>
          <w:p w14:paraId="34F05F17">
            <w:pPr>
              <w:jc w:val="center"/>
              <w:rPr>
                <w:rFonts w:ascii="宋体" w:hAnsi="宋体"/>
                <w:color w:val="auto"/>
                <w:sz w:val="18"/>
                <w:szCs w:val="18"/>
                <w:highlight w:val="none"/>
              </w:rPr>
            </w:pPr>
            <w:r>
              <w:rPr>
                <w:rFonts w:hint="eastAsia" w:ascii="宋体" w:hAnsi="宋体"/>
                <w:color w:val="auto"/>
                <w:sz w:val="18"/>
                <w:szCs w:val="18"/>
                <w:highlight w:val="none"/>
              </w:rPr>
              <w:t>一次</w:t>
            </w:r>
          </w:p>
        </w:tc>
        <w:tc>
          <w:tcPr>
            <w:tcW w:w="972" w:type="dxa"/>
            <w:noWrap w:val="0"/>
            <w:tcMar>
              <w:top w:w="0" w:type="dxa"/>
              <w:left w:w="108" w:type="dxa"/>
              <w:bottom w:w="0" w:type="dxa"/>
              <w:right w:w="108" w:type="dxa"/>
            </w:tcMar>
            <w:vAlign w:val="center"/>
          </w:tcPr>
          <w:p w14:paraId="0238E508">
            <w:pPr>
              <w:jc w:val="center"/>
              <w:rPr>
                <w:rFonts w:ascii="宋体" w:hAnsi="宋体"/>
                <w:color w:val="auto"/>
                <w:sz w:val="18"/>
                <w:szCs w:val="18"/>
                <w:highlight w:val="none"/>
              </w:rPr>
            </w:pPr>
            <w:r>
              <w:rPr>
                <w:rFonts w:hint="eastAsia" w:ascii="宋体" w:hAnsi="宋体"/>
                <w:color w:val="auto"/>
                <w:sz w:val="18"/>
                <w:szCs w:val="18"/>
                <w:highlight w:val="none"/>
                <w:lang w:val="en-US" w:eastAsia="zh-CN"/>
              </w:rPr>
              <w:t>405</w:t>
            </w:r>
            <w:r>
              <w:rPr>
                <w:rFonts w:hint="eastAsia" w:ascii="宋体" w:hAnsi="宋体"/>
                <w:color w:val="auto"/>
                <w:sz w:val="18"/>
                <w:szCs w:val="18"/>
                <w:highlight w:val="none"/>
              </w:rPr>
              <w:t>00</w:t>
            </w:r>
          </w:p>
        </w:tc>
      </w:tr>
      <w:tr w14:paraId="7E15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869" w:type="dxa"/>
            <w:noWrap w:val="0"/>
            <w:tcMar>
              <w:top w:w="0" w:type="dxa"/>
              <w:left w:w="108" w:type="dxa"/>
              <w:bottom w:w="0" w:type="dxa"/>
              <w:right w:w="108" w:type="dxa"/>
            </w:tcMar>
            <w:vAlign w:val="center"/>
          </w:tcPr>
          <w:p w14:paraId="7979993A">
            <w:pPr>
              <w:jc w:val="center"/>
              <w:rPr>
                <w:rFonts w:hint="eastAsia" w:ascii="宋体" w:hAnsi="宋体"/>
                <w:color w:val="auto"/>
                <w:sz w:val="18"/>
                <w:szCs w:val="18"/>
                <w:highlight w:val="none"/>
              </w:rPr>
            </w:pPr>
          </w:p>
        </w:tc>
        <w:tc>
          <w:tcPr>
            <w:tcW w:w="870" w:type="dxa"/>
            <w:noWrap w:val="0"/>
            <w:tcMar>
              <w:top w:w="0" w:type="dxa"/>
              <w:left w:w="108" w:type="dxa"/>
              <w:bottom w:w="0" w:type="dxa"/>
              <w:right w:w="108" w:type="dxa"/>
            </w:tcMar>
            <w:vAlign w:val="center"/>
          </w:tcPr>
          <w:p w14:paraId="4221B1D6">
            <w:pPr>
              <w:jc w:val="center"/>
              <w:rPr>
                <w:rFonts w:hint="eastAsia" w:ascii="宋体" w:hAnsi="宋体"/>
                <w:color w:val="auto"/>
                <w:sz w:val="18"/>
                <w:szCs w:val="18"/>
                <w:highlight w:val="none"/>
                <w:lang w:val="en-US" w:eastAsia="zh-CN"/>
              </w:rPr>
            </w:pPr>
          </w:p>
        </w:tc>
        <w:tc>
          <w:tcPr>
            <w:tcW w:w="2183" w:type="dxa"/>
            <w:noWrap w:val="0"/>
            <w:tcMar>
              <w:top w:w="0" w:type="dxa"/>
              <w:left w:w="108" w:type="dxa"/>
              <w:bottom w:w="0" w:type="dxa"/>
              <w:right w:w="108" w:type="dxa"/>
            </w:tcMar>
            <w:vAlign w:val="center"/>
          </w:tcPr>
          <w:p w14:paraId="48B11F9E">
            <w:pPr>
              <w:jc w:val="center"/>
              <w:rPr>
                <w:rFonts w:hint="eastAsia" w:ascii="宋体" w:hAnsi="宋体"/>
                <w:color w:val="auto"/>
                <w:sz w:val="18"/>
                <w:szCs w:val="18"/>
                <w:highlight w:val="none"/>
              </w:rPr>
            </w:pPr>
            <w:r>
              <w:rPr>
                <w:rFonts w:hint="eastAsia" w:ascii="宋体" w:hAnsi="宋体"/>
                <w:color w:val="auto"/>
                <w:sz w:val="18"/>
                <w:szCs w:val="18"/>
                <w:highlight w:val="none"/>
              </w:rPr>
              <w:t>合计限价</w:t>
            </w:r>
          </w:p>
        </w:tc>
        <w:tc>
          <w:tcPr>
            <w:tcW w:w="3100" w:type="dxa"/>
            <w:noWrap w:val="0"/>
            <w:tcMar>
              <w:top w:w="0" w:type="dxa"/>
              <w:left w:w="108" w:type="dxa"/>
              <w:bottom w:w="0" w:type="dxa"/>
              <w:right w:w="108" w:type="dxa"/>
            </w:tcMar>
            <w:vAlign w:val="top"/>
          </w:tcPr>
          <w:p w14:paraId="773DC4C2">
            <w:pPr>
              <w:rPr>
                <w:rFonts w:ascii="宋体" w:hAnsi="宋体"/>
                <w:b/>
                <w:color w:val="auto"/>
                <w:sz w:val="18"/>
                <w:szCs w:val="18"/>
                <w:highlight w:val="none"/>
              </w:rPr>
            </w:pPr>
          </w:p>
        </w:tc>
        <w:tc>
          <w:tcPr>
            <w:tcW w:w="967" w:type="dxa"/>
            <w:noWrap w:val="0"/>
            <w:tcMar>
              <w:top w:w="0" w:type="dxa"/>
              <w:left w:w="108" w:type="dxa"/>
              <w:bottom w:w="0" w:type="dxa"/>
              <w:right w:w="108" w:type="dxa"/>
            </w:tcMar>
            <w:vAlign w:val="center"/>
          </w:tcPr>
          <w:p w14:paraId="1E9BE1FB">
            <w:pPr>
              <w:jc w:val="center"/>
              <w:rPr>
                <w:rFonts w:hint="eastAsia" w:ascii="宋体" w:hAnsi="宋体"/>
                <w:color w:val="auto"/>
                <w:sz w:val="18"/>
                <w:szCs w:val="18"/>
                <w:highlight w:val="none"/>
              </w:rPr>
            </w:pPr>
            <w:r>
              <w:rPr>
                <w:rFonts w:ascii="宋体" w:hAnsi="宋体"/>
                <w:color w:val="auto"/>
                <w:sz w:val="18"/>
                <w:szCs w:val="18"/>
                <w:highlight w:val="none"/>
              </w:rPr>
              <w:t>/</w:t>
            </w:r>
          </w:p>
        </w:tc>
        <w:tc>
          <w:tcPr>
            <w:tcW w:w="1000" w:type="dxa"/>
            <w:noWrap w:val="0"/>
            <w:tcMar>
              <w:top w:w="0" w:type="dxa"/>
              <w:left w:w="108" w:type="dxa"/>
              <w:bottom w:w="0" w:type="dxa"/>
              <w:right w:w="108" w:type="dxa"/>
            </w:tcMar>
            <w:vAlign w:val="center"/>
          </w:tcPr>
          <w:p w14:paraId="57869F83">
            <w:pPr>
              <w:jc w:val="center"/>
              <w:rPr>
                <w:rFonts w:hint="eastAsia" w:ascii="宋体" w:hAnsi="宋体"/>
                <w:color w:val="auto"/>
                <w:sz w:val="18"/>
                <w:szCs w:val="18"/>
                <w:highlight w:val="none"/>
              </w:rPr>
            </w:pPr>
            <w:r>
              <w:rPr>
                <w:rFonts w:ascii="宋体" w:hAnsi="宋体"/>
                <w:color w:val="auto"/>
                <w:sz w:val="18"/>
                <w:szCs w:val="18"/>
                <w:highlight w:val="none"/>
              </w:rPr>
              <w:t>/</w:t>
            </w:r>
          </w:p>
        </w:tc>
        <w:tc>
          <w:tcPr>
            <w:tcW w:w="972" w:type="dxa"/>
            <w:noWrap w:val="0"/>
            <w:tcMar>
              <w:top w:w="0" w:type="dxa"/>
              <w:left w:w="108" w:type="dxa"/>
              <w:bottom w:w="0" w:type="dxa"/>
              <w:right w:w="108" w:type="dxa"/>
            </w:tcMar>
            <w:vAlign w:val="center"/>
          </w:tcPr>
          <w:p w14:paraId="5C6E6D7C">
            <w:pPr>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40500</w:t>
            </w:r>
          </w:p>
        </w:tc>
      </w:tr>
      <w:tr w14:paraId="022D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1" w:hRule="atLeast"/>
          <w:jc w:val="center"/>
        </w:trPr>
        <w:tc>
          <w:tcPr>
            <w:tcW w:w="869" w:type="dxa"/>
            <w:noWrap w:val="0"/>
            <w:tcMar>
              <w:top w:w="0" w:type="dxa"/>
              <w:left w:w="108" w:type="dxa"/>
              <w:bottom w:w="0" w:type="dxa"/>
              <w:right w:w="108" w:type="dxa"/>
            </w:tcMar>
            <w:vAlign w:val="center"/>
          </w:tcPr>
          <w:p w14:paraId="6F9A8EEE">
            <w:pPr>
              <w:jc w:val="center"/>
              <w:rPr>
                <w:rFonts w:ascii="宋体" w:hAnsi="宋体"/>
                <w:color w:val="auto"/>
                <w:sz w:val="18"/>
                <w:szCs w:val="18"/>
                <w:highlight w:val="none"/>
              </w:rPr>
            </w:pPr>
            <w:r>
              <w:rPr>
                <w:rFonts w:hint="eastAsia" w:ascii="宋体" w:hAnsi="宋体"/>
                <w:color w:val="auto"/>
                <w:sz w:val="18"/>
                <w:szCs w:val="18"/>
                <w:highlight w:val="none"/>
              </w:rPr>
              <w:t>其他</w:t>
            </w:r>
          </w:p>
        </w:tc>
        <w:tc>
          <w:tcPr>
            <w:tcW w:w="870" w:type="dxa"/>
            <w:noWrap w:val="0"/>
            <w:tcMar>
              <w:top w:w="0" w:type="dxa"/>
              <w:left w:w="108" w:type="dxa"/>
              <w:bottom w:w="0" w:type="dxa"/>
              <w:right w:w="108" w:type="dxa"/>
            </w:tcMar>
            <w:vAlign w:val="center"/>
          </w:tcPr>
          <w:p w14:paraId="29E2C474">
            <w:pPr>
              <w:jc w:val="center"/>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6</w:t>
            </w:r>
          </w:p>
        </w:tc>
        <w:tc>
          <w:tcPr>
            <w:tcW w:w="2183" w:type="dxa"/>
            <w:noWrap w:val="0"/>
            <w:tcMar>
              <w:top w:w="0" w:type="dxa"/>
              <w:left w:w="108" w:type="dxa"/>
              <w:bottom w:w="0" w:type="dxa"/>
              <w:right w:w="108" w:type="dxa"/>
            </w:tcMar>
            <w:vAlign w:val="center"/>
          </w:tcPr>
          <w:p w14:paraId="3D1A7B26">
            <w:pPr>
              <w:jc w:val="center"/>
              <w:rPr>
                <w:rFonts w:ascii="宋体" w:hAnsi="宋体"/>
                <w:color w:val="auto"/>
                <w:sz w:val="18"/>
                <w:szCs w:val="18"/>
                <w:highlight w:val="none"/>
              </w:rPr>
            </w:pPr>
            <w:r>
              <w:rPr>
                <w:rFonts w:hint="eastAsia" w:ascii="宋体" w:hAnsi="宋体"/>
                <w:color w:val="auto"/>
                <w:sz w:val="18"/>
                <w:szCs w:val="18"/>
                <w:highlight w:val="none"/>
              </w:rPr>
              <w:t>检测及评估要求</w:t>
            </w:r>
          </w:p>
        </w:tc>
        <w:tc>
          <w:tcPr>
            <w:tcW w:w="6039" w:type="dxa"/>
            <w:gridSpan w:val="4"/>
            <w:noWrap w:val="0"/>
            <w:tcMar>
              <w:top w:w="0" w:type="dxa"/>
              <w:left w:w="108" w:type="dxa"/>
              <w:bottom w:w="0" w:type="dxa"/>
              <w:right w:w="108" w:type="dxa"/>
            </w:tcMar>
            <w:vAlign w:val="top"/>
          </w:tcPr>
          <w:p w14:paraId="79D3D664">
            <w:pPr>
              <w:rPr>
                <w:rFonts w:ascii="宋体" w:hAnsi="宋体"/>
                <w:color w:val="auto"/>
                <w:sz w:val="18"/>
                <w:szCs w:val="18"/>
                <w:highlight w:val="none"/>
              </w:rPr>
            </w:pPr>
            <w:r>
              <w:rPr>
                <w:rFonts w:hint="eastAsia" w:ascii="宋体" w:hAnsi="宋体"/>
                <w:color w:val="auto"/>
                <w:sz w:val="18"/>
                <w:szCs w:val="18"/>
                <w:highlight w:val="none"/>
              </w:rPr>
              <w:t>一、检测及评估比例</w:t>
            </w:r>
          </w:p>
          <w:p w14:paraId="3741BD19">
            <w:pPr>
              <w:rPr>
                <w:rFonts w:ascii="宋体" w:hAnsi="宋体"/>
                <w:color w:val="auto"/>
                <w:sz w:val="18"/>
                <w:szCs w:val="18"/>
                <w:highlight w:val="none"/>
              </w:rPr>
            </w:pPr>
            <w:r>
              <w:rPr>
                <w:rFonts w:hint="eastAsia" w:ascii="宋体" w:hAnsi="宋体"/>
                <w:color w:val="auto"/>
                <w:sz w:val="18"/>
                <w:szCs w:val="18"/>
                <w:highlight w:val="none"/>
              </w:rPr>
              <w:t>1区域抽查比例</w:t>
            </w:r>
          </w:p>
          <w:p w14:paraId="5806B662">
            <w:pPr>
              <w:rPr>
                <w:rFonts w:ascii="宋体" w:hAnsi="宋体"/>
                <w:color w:val="auto"/>
                <w:sz w:val="18"/>
                <w:szCs w:val="18"/>
                <w:highlight w:val="none"/>
              </w:rPr>
            </w:pPr>
            <w:r>
              <w:rPr>
                <w:rFonts w:hint="eastAsia" w:ascii="宋体" w:hAnsi="宋体"/>
                <w:color w:val="auto"/>
                <w:sz w:val="18"/>
                <w:szCs w:val="18"/>
                <w:highlight w:val="none"/>
              </w:rPr>
              <w:t>根据单位所在建筑的类型、层数、防火分区数确定抽查的数量或比例，应符合以下要求：</w:t>
            </w:r>
          </w:p>
          <w:p w14:paraId="0BA2E49A">
            <w:pPr>
              <w:rPr>
                <w:rFonts w:ascii="宋体" w:hAnsi="宋体"/>
                <w:color w:val="auto"/>
                <w:sz w:val="18"/>
                <w:szCs w:val="18"/>
                <w:highlight w:val="none"/>
              </w:rPr>
            </w:pPr>
            <w:r>
              <w:rPr>
                <w:rFonts w:hint="eastAsia" w:ascii="宋体" w:hAnsi="宋体"/>
                <w:color w:val="auto"/>
                <w:sz w:val="18"/>
                <w:szCs w:val="18"/>
                <w:highlight w:val="none"/>
              </w:rPr>
              <w:t>a)单位的重点部位应全数检查；</w:t>
            </w:r>
          </w:p>
          <w:p w14:paraId="5D64478B">
            <w:pPr>
              <w:rPr>
                <w:rFonts w:ascii="宋体" w:hAnsi="宋体"/>
                <w:color w:val="auto"/>
                <w:sz w:val="18"/>
                <w:szCs w:val="18"/>
                <w:highlight w:val="none"/>
              </w:rPr>
            </w:pPr>
            <w:r>
              <w:rPr>
                <w:rFonts w:hint="eastAsia" w:ascii="宋体" w:hAnsi="宋体"/>
                <w:color w:val="auto"/>
                <w:sz w:val="18"/>
                <w:szCs w:val="18"/>
                <w:highlight w:val="none"/>
              </w:rPr>
              <w:t>b)地下公共建筑、易燃易爆场所及公共娱乐场所应全数检查；</w:t>
            </w:r>
          </w:p>
          <w:p w14:paraId="399A343A">
            <w:pPr>
              <w:rPr>
                <w:rFonts w:ascii="宋体" w:hAnsi="宋体"/>
                <w:color w:val="auto"/>
                <w:sz w:val="18"/>
                <w:szCs w:val="18"/>
                <w:highlight w:val="none"/>
              </w:rPr>
            </w:pPr>
            <w:r>
              <w:rPr>
                <w:rFonts w:hint="eastAsia" w:ascii="宋体" w:hAnsi="宋体"/>
                <w:color w:val="auto"/>
                <w:sz w:val="18"/>
                <w:szCs w:val="18"/>
                <w:highlight w:val="none"/>
              </w:rPr>
              <w:t>c)所有建筑的防火分区，应全数检查；</w:t>
            </w:r>
          </w:p>
          <w:p w14:paraId="6D19A511">
            <w:pPr>
              <w:rPr>
                <w:rFonts w:ascii="宋体" w:hAnsi="宋体"/>
                <w:color w:val="auto"/>
                <w:sz w:val="18"/>
                <w:szCs w:val="18"/>
                <w:highlight w:val="none"/>
              </w:rPr>
            </w:pPr>
            <w:r>
              <w:rPr>
                <w:rFonts w:hint="eastAsia" w:ascii="宋体" w:hAnsi="宋体"/>
                <w:color w:val="auto"/>
                <w:sz w:val="18"/>
                <w:szCs w:val="18"/>
                <w:highlight w:val="none"/>
              </w:rPr>
              <w:t>2设施设备抽查比例</w:t>
            </w:r>
          </w:p>
          <w:p w14:paraId="2A914432">
            <w:pPr>
              <w:rPr>
                <w:rFonts w:ascii="宋体" w:hAnsi="宋体"/>
                <w:color w:val="auto"/>
                <w:sz w:val="18"/>
                <w:szCs w:val="18"/>
                <w:highlight w:val="none"/>
              </w:rPr>
            </w:pPr>
            <w:r>
              <w:rPr>
                <w:rFonts w:hint="eastAsia" w:ascii="宋体" w:hAnsi="宋体"/>
                <w:color w:val="auto"/>
                <w:sz w:val="18"/>
                <w:szCs w:val="18"/>
                <w:highlight w:val="none"/>
              </w:rPr>
              <w:t>对场所消防设施设备的检查抽查比例应按下列要求：</w:t>
            </w:r>
          </w:p>
          <w:p w14:paraId="00D9BC57">
            <w:pPr>
              <w:rPr>
                <w:rFonts w:ascii="宋体" w:hAnsi="宋体"/>
                <w:color w:val="auto"/>
                <w:sz w:val="18"/>
                <w:szCs w:val="18"/>
                <w:highlight w:val="none"/>
              </w:rPr>
            </w:pPr>
            <w:r>
              <w:rPr>
                <w:rFonts w:hint="eastAsia" w:ascii="宋体" w:hAnsi="宋体"/>
                <w:color w:val="auto"/>
                <w:sz w:val="18"/>
                <w:szCs w:val="18"/>
                <w:highlight w:val="none"/>
              </w:rPr>
              <w:t>a)单位重点部位设置的消防设施设备应全数检查；</w:t>
            </w:r>
          </w:p>
          <w:p w14:paraId="058FC305">
            <w:pPr>
              <w:rPr>
                <w:rFonts w:ascii="宋体" w:hAnsi="宋体"/>
                <w:color w:val="auto"/>
                <w:sz w:val="18"/>
                <w:szCs w:val="18"/>
                <w:highlight w:val="none"/>
              </w:rPr>
            </w:pPr>
            <w:r>
              <w:rPr>
                <w:rFonts w:hint="eastAsia" w:ascii="宋体" w:hAnsi="宋体"/>
                <w:color w:val="auto"/>
                <w:sz w:val="18"/>
                <w:szCs w:val="18"/>
                <w:highlight w:val="none"/>
              </w:rPr>
              <w:t>b)其他部位的消防设施设备检查，按以下抽查比例进行：</w:t>
            </w:r>
          </w:p>
          <w:p w14:paraId="741F8162">
            <w:pPr>
              <w:rPr>
                <w:rFonts w:ascii="宋体" w:hAnsi="宋体"/>
                <w:color w:val="auto"/>
                <w:sz w:val="18"/>
                <w:szCs w:val="18"/>
                <w:highlight w:val="none"/>
              </w:rPr>
            </w:pPr>
            <w:r>
              <w:rPr>
                <w:rFonts w:hint="eastAsia" w:ascii="宋体" w:hAnsi="宋体"/>
                <w:color w:val="auto"/>
                <w:sz w:val="18"/>
                <w:szCs w:val="18"/>
                <w:highlight w:val="none"/>
              </w:rPr>
              <w:t>1)火灾自动报警系统：选择不同回路进行抽查，每个回路至少抽查30 个探测器（≤30个的全数检查)、10 处手动报警按钮、1 个火灾显示盘、1 个火灾警报装置、1 个应急广播、1 处消防电话；</w:t>
            </w:r>
          </w:p>
          <w:p w14:paraId="2E40AECD">
            <w:pPr>
              <w:rPr>
                <w:rFonts w:ascii="宋体" w:hAnsi="宋体"/>
                <w:color w:val="auto"/>
                <w:sz w:val="18"/>
                <w:szCs w:val="18"/>
                <w:highlight w:val="none"/>
              </w:rPr>
            </w:pPr>
            <w:r>
              <w:rPr>
                <w:rFonts w:hint="eastAsia" w:ascii="宋体" w:hAnsi="宋体"/>
                <w:color w:val="auto"/>
                <w:sz w:val="18"/>
                <w:szCs w:val="18"/>
                <w:highlight w:val="none"/>
              </w:rPr>
              <w:t>2)消防联动控制系统：全数检查被抽查到的防火分区或楼层中的联动设备；</w:t>
            </w:r>
          </w:p>
          <w:p w14:paraId="6BC5EB37">
            <w:pPr>
              <w:rPr>
                <w:rFonts w:ascii="宋体" w:hAnsi="宋体"/>
                <w:color w:val="auto"/>
                <w:sz w:val="18"/>
                <w:szCs w:val="18"/>
                <w:highlight w:val="none"/>
              </w:rPr>
            </w:pPr>
            <w:r>
              <w:rPr>
                <w:rFonts w:hint="eastAsia" w:ascii="宋体" w:hAnsi="宋体"/>
                <w:color w:val="auto"/>
                <w:sz w:val="18"/>
                <w:szCs w:val="18"/>
                <w:highlight w:val="none"/>
              </w:rPr>
              <w:t>3)电气火灾监控系统：全数检查漏电报警主机；对抽查到的防火分区或楼层，每个至少检查2 处漏电火灾探测器，小于等于 2 处的全数检查；</w:t>
            </w:r>
          </w:p>
          <w:p w14:paraId="3B71350C">
            <w:pPr>
              <w:rPr>
                <w:rFonts w:ascii="宋体" w:hAnsi="宋体"/>
                <w:color w:val="auto"/>
                <w:sz w:val="18"/>
                <w:szCs w:val="18"/>
                <w:highlight w:val="none"/>
              </w:rPr>
            </w:pPr>
            <w:r>
              <w:rPr>
                <w:rFonts w:hint="eastAsia" w:ascii="宋体" w:hAnsi="宋体"/>
                <w:color w:val="auto"/>
                <w:sz w:val="18"/>
                <w:szCs w:val="18"/>
                <w:highlight w:val="none"/>
              </w:rPr>
              <w:t>4)可燃气体监控系统：全数检查可燃气体报警控制器；对抽查到的防火分区或楼层，每个至少检查 2 处（≤2 处的全数检查）可燃气体探测器，小于等于 2 处的全数检查；</w:t>
            </w:r>
          </w:p>
          <w:p w14:paraId="2C0B44A9">
            <w:pPr>
              <w:rPr>
                <w:rFonts w:ascii="宋体" w:hAnsi="宋体"/>
                <w:color w:val="auto"/>
                <w:sz w:val="18"/>
                <w:szCs w:val="18"/>
                <w:highlight w:val="none"/>
              </w:rPr>
            </w:pPr>
            <w:r>
              <w:rPr>
                <w:rFonts w:hint="eastAsia" w:ascii="宋体" w:hAnsi="宋体"/>
                <w:color w:val="auto"/>
                <w:sz w:val="18"/>
                <w:szCs w:val="18"/>
                <w:highlight w:val="none"/>
              </w:rPr>
              <w:t>5)消防应急照明：对抽查到的防火分区或楼层，每个至少检查 4 处应急照明，切断主电源后测试应急功能，小于等于 4 处的全数检查；</w:t>
            </w:r>
          </w:p>
          <w:p w14:paraId="1FB146BC">
            <w:pPr>
              <w:rPr>
                <w:rFonts w:ascii="宋体" w:hAnsi="宋体"/>
                <w:color w:val="auto"/>
                <w:sz w:val="18"/>
                <w:szCs w:val="18"/>
                <w:highlight w:val="none"/>
              </w:rPr>
            </w:pPr>
            <w:r>
              <w:rPr>
                <w:rFonts w:hint="eastAsia" w:ascii="宋体" w:hAnsi="宋体"/>
                <w:color w:val="auto"/>
                <w:sz w:val="18"/>
                <w:szCs w:val="18"/>
                <w:highlight w:val="none"/>
              </w:rPr>
              <w:t>6)消防安全标志：对抽查到的防火分区或楼层，每个至少检查 4 处疏散指示标志，切断主电源后测试应急功能，小于等于 4 处的全数检查；</w:t>
            </w:r>
          </w:p>
          <w:p w14:paraId="38003D40">
            <w:pPr>
              <w:rPr>
                <w:rFonts w:ascii="宋体" w:hAnsi="宋体"/>
                <w:color w:val="auto"/>
                <w:sz w:val="18"/>
                <w:szCs w:val="18"/>
                <w:highlight w:val="none"/>
              </w:rPr>
            </w:pPr>
            <w:r>
              <w:rPr>
                <w:rFonts w:hint="eastAsia" w:ascii="宋体" w:hAnsi="宋体"/>
                <w:color w:val="auto"/>
                <w:sz w:val="18"/>
                <w:szCs w:val="18"/>
                <w:highlight w:val="none"/>
              </w:rPr>
              <w:t>7)消防给水与消火栓系统：查看所有的消防水池；对抽查到的防火分区或楼层，每个至少检查20 处（≤20处的全数检查）室内消火栓，建筑试验消火栓全数检查测试；在每个消防给水分区的最不利点抽查1处室内消火栓进行放水检查、每个消防给水分区抽查 1 处消火栓启泵按钮；单栋主要建筑物至少抽查 2 处室外消火栓，并进行放水检查，设备设置数量少于以上最小数值的全数检查；</w:t>
            </w:r>
          </w:p>
          <w:p w14:paraId="3DEAB24F">
            <w:pPr>
              <w:rPr>
                <w:rFonts w:ascii="宋体" w:hAnsi="宋体"/>
                <w:color w:val="auto"/>
                <w:sz w:val="18"/>
                <w:szCs w:val="18"/>
                <w:highlight w:val="none"/>
              </w:rPr>
            </w:pPr>
            <w:r>
              <w:rPr>
                <w:rFonts w:hint="eastAsia" w:ascii="宋体" w:hAnsi="宋体"/>
                <w:color w:val="auto"/>
                <w:sz w:val="18"/>
                <w:szCs w:val="18"/>
                <w:highlight w:val="none"/>
              </w:rPr>
              <w:t>8)自动喷水灭火系统：全数检查末端试水装置；对抽查到的防火分区或楼层，检查相对应的末端试水阀、2 个水流指示器、5 个洒水喷头，设备设置数量少于以上最小数值的全数检查；</w:t>
            </w:r>
          </w:p>
          <w:p w14:paraId="45FDD069">
            <w:pPr>
              <w:rPr>
                <w:rFonts w:ascii="宋体" w:hAnsi="宋体"/>
                <w:color w:val="auto"/>
                <w:sz w:val="18"/>
                <w:szCs w:val="18"/>
                <w:highlight w:val="none"/>
              </w:rPr>
            </w:pPr>
            <w:r>
              <w:rPr>
                <w:rFonts w:hint="eastAsia" w:ascii="宋体" w:hAnsi="宋体"/>
                <w:color w:val="auto"/>
                <w:sz w:val="18"/>
                <w:szCs w:val="18"/>
                <w:highlight w:val="none"/>
              </w:rPr>
              <w:t>9)水喷雾灭火系统：全数查看增压稳压装置、消防水泵机组、水泵接合器；对抽查到的防火分区或楼层，每个至少抽取 5 个喷头，小于等于 5 个的全数检查；</w:t>
            </w:r>
          </w:p>
          <w:p w14:paraId="39CCD91F">
            <w:pPr>
              <w:rPr>
                <w:rFonts w:ascii="宋体" w:hAnsi="宋体"/>
                <w:color w:val="auto"/>
                <w:sz w:val="18"/>
                <w:szCs w:val="18"/>
                <w:highlight w:val="none"/>
              </w:rPr>
            </w:pPr>
            <w:r>
              <w:rPr>
                <w:rFonts w:hint="eastAsia" w:ascii="宋体" w:hAnsi="宋体"/>
                <w:color w:val="auto"/>
                <w:sz w:val="18"/>
                <w:szCs w:val="18"/>
                <w:highlight w:val="none"/>
              </w:rPr>
              <w:t>10)气体灭火系统：全数检查气瓶运行情况；对抽查到的防火分区或楼层，每个至少抽取 5 个气体灭火喷头，小于等于 5 个的全数检查；</w:t>
            </w:r>
          </w:p>
          <w:p w14:paraId="6F21DC85">
            <w:pPr>
              <w:rPr>
                <w:rFonts w:ascii="宋体" w:hAnsi="宋体"/>
                <w:color w:val="auto"/>
                <w:sz w:val="18"/>
                <w:szCs w:val="18"/>
                <w:highlight w:val="none"/>
              </w:rPr>
            </w:pPr>
            <w:r>
              <w:rPr>
                <w:rFonts w:hint="eastAsia" w:ascii="宋体" w:hAnsi="宋体"/>
                <w:color w:val="auto"/>
                <w:sz w:val="18"/>
                <w:szCs w:val="18"/>
                <w:highlight w:val="none"/>
              </w:rPr>
              <w:t>11)泡沫灭火系统：全数检查泡沫产生设备、泡沫混合装置、泡沫液储罐；对抽查到的防火分区或楼层，每个至少抽取 4 处泡沫消火栓，小于等于 4 处的全数检查；</w:t>
            </w:r>
          </w:p>
          <w:p w14:paraId="6EF4D0D1">
            <w:pPr>
              <w:rPr>
                <w:rFonts w:ascii="宋体" w:hAnsi="宋体"/>
                <w:color w:val="auto"/>
                <w:sz w:val="18"/>
                <w:szCs w:val="18"/>
                <w:highlight w:val="none"/>
              </w:rPr>
            </w:pPr>
            <w:r>
              <w:rPr>
                <w:rFonts w:hint="eastAsia" w:ascii="宋体" w:hAnsi="宋体"/>
                <w:color w:val="auto"/>
                <w:sz w:val="18"/>
                <w:szCs w:val="18"/>
                <w:highlight w:val="none"/>
              </w:rPr>
              <w:t>12)消防炮灭火系统：全数检查泡沫比例混合装置与泡沫液罐、干粉罐与氮气瓶、消防泵组与消防泵站，至少抽查 1 处消防炮；</w:t>
            </w:r>
          </w:p>
          <w:p w14:paraId="1D5FFAFE">
            <w:pPr>
              <w:rPr>
                <w:rFonts w:ascii="宋体" w:hAnsi="宋体"/>
                <w:color w:val="auto"/>
                <w:sz w:val="18"/>
                <w:szCs w:val="18"/>
                <w:highlight w:val="none"/>
              </w:rPr>
            </w:pPr>
            <w:r>
              <w:rPr>
                <w:rFonts w:hint="eastAsia" w:ascii="宋体" w:hAnsi="宋体"/>
                <w:color w:val="auto"/>
                <w:sz w:val="18"/>
                <w:szCs w:val="18"/>
                <w:highlight w:val="none"/>
              </w:rPr>
              <w:t>13)防火分隔设施：对抽查到的防火分区或楼层，防火分区墙上设置的防火门全数检查，此外， 还应至少检查 5 处其他位置的防火门，小于等于 5 处的全数检查；对抽查到的防火分区或楼层，采用防火卷帘进行防火分隔的场所，全数检查防火卷帘动作情况；</w:t>
            </w:r>
          </w:p>
          <w:p w14:paraId="40531C7C">
            <w:pPr>
              <w:rPr>
                <w:rFonts w:ascii="宋体" w:hAnsi="宋体"/>
                <w:color w:val="auto"/>
                <w:sz w:val="18"/>
                <w:szCs w:val="18"/>
                <w:highlight w:val="none"/>
              </w:rPr>
            </w:pPr>
            <w:r>
              <w:rPr>
                <w:rFonts w:hint="eastAsia" w:ascii="宋体" w:hAnsi="宋体"/>
                <w:color w:val="auto"/>
                <w:sz w:val="18"/>
                <w:szCs w:val="18"/>
                <w:highlight w:val="none"/>
              </w:rPr>
              <w:t>14)消防电梯：所有的防火分区的消防电梯；</w:t>
            </w:r>
          </w:p>
          <w:p w14:paraId="0BF32575">
            <w:pPr>
              <w:rPr>
                <w:rFonts w:ascii="宋体" w:hAnsi="宋体"/>
                <w:color w:val="auto"/>
                <w:sz w:val="18"/>
                <w:szCs w:val="18"/>
                <w:highlight w:val="none"/>
              </w:rPr>
            </w:pPr>
            <w:r>
              <w:rPr>
                <w:rFonts w:hint="eastAsia" w:ascii="宋体" w:hAnsi="宋体"/>
                <w:color w:val="auto"/>
                <w:sz w:val="18"/>
                <w:szCs w:val="18"/>
                <w:highlight w:val="none"/>
              </w:rPr>
              <w:t>15)机械加压防烟送风系统：全数检查送风机、风机控制柜；对抽查到的防火分区或楼层，每个至少检查 2 处送风阀、送风口，小于等于 2 个的全数检查；</w:t>
            </w:r>
          </w:p>
          <w:p w14:paraId="7C8C468B">
            <w:pPr>
              <w:rPr>
                <w:rFonts w:ascii="宋体" w:hAnsi="宋体"/>
                <w:color w:val="auto"/>
                <w:sz w:val="18"/>
                <w:szCs w:val="18"/>
                <w:highlight w:val="none"/>
              </w:rPr>
            </w:pPr>
            <w:r>
              <w:rPr>
                <w:rFonts w:hint="eastAsia" w:ascii="宋体" w:hAnsi="宋体"/>
                <w:color w:val="auto"/>
                <w:sz w:val="18"/>
                <w:szCs w:val="18"/>
                <w:highlight w:val="none"/>
              </w:rPr>
              <w:t>16)机械排烟系统：全数检查风机、风机控制柜；对抽查到的防火分区或楼层，全数检查；</w:t>
            </w:r>
          </w:p>
          <w:p w14:paraId="75DB13AF">
            <w:pPr>
              <w:rPr>
                <w:rFonts w:ascii="宋体" w:hAnsi="宋体"/>
                <w:color w:val="auto"/>
                <w:sz w:val="18"/>
                <w:szCs w:val="18"/>
                <w:highlight w:val="none"/>
              </w:rPr>
            </w:pPr>
            <w:r>
              <w:rPr>
                <w:rFonts w:hint="eastAsia" w:ascii="宋体" w:hAnsi="宋体"/>
                <w:color w:val="auto"/>
                <w:sz w:val="18"/>
                <w:szCs w:val="18"/>
                <w:highlight w:val="none"/>
              </w:rPr>
              <w:t>17)灭火器：对抽查到的防火分区或楼层，每个至少检查10 处灭火器配置点，小于等于10处的全数检查；</w:t>
            </w:r>
          </w:p>
          <w:p w14:paraId="78286178">
            <w:pPr>
              <w:rPr>
                <w:rFonts w:ascii="宋体" w:hAnsi="宋体"/>
                <w:color w:val="auto"/>
                <w:sz w:val="18"/>
                <w:szCs w:val="18"/>
                <w:highlight w:val="none"/>
              </w:rPr>
            </w:pPr>
            <w:r>
              <w:rPr>
                <w:rFonts w:hint="eastAsia" w:ascii="宋体" w:hAnsi="宋体"/>
                <w:color w:val="auto"/>
                <w:sz w:val="18"/>
                <w:szCs w:val="18"/>
                <w:highlight w:val="none"/>
              </w:rPr>
              <w:t>18)消防供电：配电房、发电机房全数检查；对抽查到的防火分区或楼层，每个至少检查 1 处配电箱、配电线路；</w:t>
            </w:r>
          </w:p>
          <w:p w14:paraId="4B23B519">
            <w:pPr>
              <w:rPr>
                <w:rFonts w:ascii="宋体" w:hAnsi="宋体"/>
                <w:color w:val="auto"/>
                <w:sz w:val="18"/>
                <w:szCs w:val="18"/>
                <w:highlight w:val="none"/>
              </w:rPr>
            </w:pPr>
            <w:r>
              <w:rPr>
                <w:rFonts w:hint="eastAsia" w:ascii="宋体" w:hAnsi="宋体"/>
                <w:color w:val="auto"/>
                <w:sz w:val="18"/>
                <w:szCs w:val="18"/>
                <w:highlight w:val="none"/>
              </w:rPr>
              <w:t>19)城市消防远程监控系统：检查单位远程监控室内监控主机。</w:t>
            </w:r>
          </w:p>
          <w:p w14:paraId="1D8C4C0C">
            <w:pPr>
              <w:rPr>
                <w:rFonts w:ascii="宋体" w:hAnsi="宋体"/>
                <w:color w:val="auto"/>
                <w:sz w:val="18"/>
                <w:szCs w:val="18"/>
                <w:highlight w:val="none"/>
              </w:rPr>
            </w:pPr>
            <w:r>
              <w:rPr>
                <w:rFonts w:hint="eastAsia" w:ascii="宋体" w:hAnsi="宋体"/>
                <w:color w:val="auto"/>
                <w:sz w:val="18"/>
                <w:szCs w:val="18"/>
                <w:highlight w:val="none"/>
              </w:rPr>
              <w:t>3人员抽查比例</w:t>
            </w:r>
          </w:p>
          <w:p w14:paraId="0C72504F">
            <w:pPr>
              <w:rPr>
                <w:rFonts w:ascii="宋体" w:hAnsi="宋体"/>
                <w:color w:val="auto"/>
                <w:sz w:val="18"/>
                <w:szCs w:val="18"/>
                <w:highlight w:val="none"/>
              </w:rPr>
            </w:pPr>
            <w:r>
              <w:rPr>
                <w:rFonts w:hint="eastAsia" w:ascii="宋体" w:hAnsi="宋体"/>
                <w:color w:val="auto"/>
                <w:sz w:val="18"/>
                <w:szCs w:val="18"/>
                <w:highlight w:val="none"/>
              </w:rPr>
              <w:t>3.1消防岗位工作人员抽查比例：</w:t>
            </w:r>
          </w:p>
          <w:p w14:paraId="77B38F00">
            <w:pPr>
              <w:rPr>
                <w:rFonts w:ascii="宋体" w:hAnsi="宋体"/>
                <w:color w:val="auto"/>
                <w:sz w:val="18"/>
                <w:szCs w:val="18"/>
                <w:highlight w:val="none"/>
              </w:rPr>
            </w:pPr>
            <w:r>
              <w:rPr>
                <w:rFonts w:hint="eastAsia" w:ascii="宋体" w:hAnsi="宋体"/>
                <w:color w:val="auto"/>
                <w:sz w:val="18"/>
                <w:szCs w:val="18"/>
                <w:highlight w:val="none"/>
              </w:rPr>
              <w:t>a)岗位人员总数大于 50 人的，抽查人数不应少于 25 人；</w:t>
            </w:r>
          </w:p>
          <w:p w14:paraId="2FEC7175">
            <w:pPr>
              <w:rPr>
                <w:rFonts w:ascii="宋体" w:hAnsi="宋体"/>
                <w:color w:val="auto"/>
                <w:sz w:val="18"/>
                <w:szCs w:val="18"/>
                <w:highlight w:val="none"/>
              </w:rPr>
            </w:pPr>
            <w:r>
              <w:rPr>
                <w:rFonts w:hint="eastAsia" w:ascii="宋体" w:hAnsi="宋体"/>
                <w:color w:val="auto"/>
                <w:sz w:val="18"/>
                <w:szCs w:val="18"/>
                <w:highlight w:val="none"/>
              </w:rPr>
              <w:t>b)岗位人员总数大于 15 人但不大于 50 人的，抽查人数不应少于 15 人；</w:t>
            </w:r>
          </w:p>
          <w:p w14:paraId="02AC5099">
            <w:pPr>
              <w:rPr>
                <w:rFonts w:ascii="宋体" w:hAnsi="宋体"/>
                <w:color w:val="auto"/>
                <w:sz w:val="18"/>
                <w:szCs w:val="18"/>
                <w:highlight w:val="none"/>
              </w:rPr>
            </w:pPr>
            <w:r>
              <w:rPr>
                <w:rFonts w:hint="eastAsia" w:ascii="宋体" w:hAnsi="宋体"/>
                <w:color w:val="auto"/>
                <w:sz w:val="18"/>
                <w:szCs w:val="18"/>
                <w:highlight w:val="none"/>
              </w:rPr>
              <w:t>c)岗位人员总数不大于 15 人的，全数检查。</w:t>
            </w:r>
          </w:p>
          <w:p w14:paraId="10BF7AF7">
            <w:pPr>
              <w:rPr>
                <w:rFonts w:ascii="宋体" w:hAnsi="宋体"/>
                <w:color w:val="auto"/>
                <w:sz w:val="18"/>
                <w:szCs w:val="18"/>
                <w:highlight w:val="none"/>
              </w:rPr>
            </w:pPr>
            <w:r>
              <w:rPr>
                <w:rFonts w:hint="eastAsia" w:ascii="宋体" w:hAnsi="宋体"/>
                <w:color w:val="auto"/>
                <w:sz w:val="18"/>
                <w:szCs w:val="18"/>
                <w:highlight w:val="none"/>
              </w:rPr>
              <w:t>3.2非消防岗位工作人员抽查比例：</w:t>
            </w:r>
          </w:p>
          <w:p w14:paraId="11535107">
            <w:pPr>
              <w:rPr>
                <w:rFonts w:ascii="宋体" w:hAnsi="宋体"/>
                <w:color w:val="auto"/>
                <w:sz w:val="18"/>
                <w:szCs w:val="18"/>
                <w:highlight w:val="none"/>
              </w:rPr>
            </w:pPr>
            <w:r>
              <w:rPr>
                <w:rFonts w:hint="eastAsia" w:ascii="宋体" w:hAnsi="宋体"/>
                <w:color w:val="auto"/>
                <w:sz w:val="18"/>
                <w:szCs w:val="18"/>
                <w:highlight w:val="none"/>
              </w:rPr>
              <w:t>a)员工总数大于 100 人的，抽查人数不应少于 35 人；</w:t>
            </w:r>
          </w:p>
          <w:p w14:paraId="1B781624">
            <w:pPr>
              <w:rPr>
                <w:rFonts w:ascii="宋体" w:hAnsi="宋体"/>
                <w:color w:val="auto"/>
                <w:sz w:val="18"/>
                <w:szCs w:val="18"/>
                <w:highlight w:val="none"/>
              </w:rPr>
            </w:pPr>
            <w:r>
              <w:rPr>
                <w:rFonts w:hint="eastAsia" w:ascii="宋体" w:hAnsi="宋体"/>
                <w:color w:val="auto"/>
                <w:sz w:val="18"/>
                <w:szCs w:val="18"/>
                <w:highlight w:val="none"/>
              </w:rPr>
              <w:t>b)员工总数大于 50 人但不大于 100 人的，抽查人数不应少于 25 人；</w:t>
            </w:r>
          </w:p>
          <w:p w14:paraId="5E37C9D5">
            <w:pPr>
              <w:rPr>
                <w:rFonts w:ascii="宋体" w:hAnsi="宋体"/>
                <w:color w:val="auto"/>
                <w:sz w:val="18"/>
                <w:szCs w:val="18"/>
                <w:highlight w:val="none"/>
              </w:rPr>
            </w:pPr>
            <w:r>
              <w:rPr>
                <w:rFonts w:hint="eastAsia" w:ascii="宋体" w:hAnsi="宋体"/>
                <w:color w:val="auto"/>
                <w:sz w:val="18"/>
                <w:szCs w:val="18"/>
                <w:highlight w:val="none"/>
              </w:rPr>
              <w:t>c)员工总数大于 15 人但不大于 50 人的，抽查人数不应少于 15 人；</w:t>
            </w:r>
          </w:p>
          <w:p w14:paraId="68989381">
            <w:pPr>
              <w:rPr>
                <w:rFonts w:ascii="宋体" w:hAnsi="宋体"/>
                <w:color w:val="auto"/>
                <w:sz w:val="18"/>
                <w:szCs w:val="18"/>
                <w:highlight w:val="none"/>
              </w:rPr>
            </w:pPr>
            <w:r>
              <w:rPr>
                <w:rFonts w:hint="eastAsia" w:ascii="宋体" w:hAnsi="宋体"/>
                <w:color w:val="auto"/>
                <w:sz w:val="18"/>
                <w:szCs w:val="18"/>
                <w:highlight w:val="none"/>
              </w:rPr>
              <w:t>d)员工总数小于等于 15 人的，全数检查。</w:t>
            </w:r>
          </w:p>
          <w:p w14:paraId="1C8AC92F">
            <w:pPr>
              <w:rPr>
                <w:rFonts w:ascii="宋体" w:hAnsi="宋体"/>
                <w:color w:val="auto"/>
                <w:sz w:val="18"/>
                <w:szCs w:val="18"/>
                <w:highlight w:val="none"/>
              </w:rPr>
            </w:pPr>
            <w:r>
              <w:rPr>
                <w:rFonts w:hint="eastAsia" w:ascii="宋体" w:hAnsi="宋体"/>
                <w:color w:val="auto"/>
                <w:sz w:val="18"/>
                <w:szCs w:val="18"/>
                <w:highlight w:val="none"/>
              </w:rPr>
              <w:t>二、现场检查及测试</w:t>
            </w:r>
          </w:p>
          <w:p w14:paraId="12198982">
            <w:pPr>
              <w:rPr>
                <w:rFonts w:ascii="宋体" w:hAnsi="宋体"/>
                <w:color w:val="auto"/>
                <w:sz w:val="18"/>
                <w:szCs w:val="18"/>
                <w:highlight w:val="none"/>
              </w:rPr>
            </w:pPr>
            <w:r>
              <w:rPr>
                <w:rFonts w:hint="eastAsia" w:ascii="宋体" w:hAnsi="宋体"/>
                <w:color w:val="auto"/>
                <w:sz w:val="18"/>
                <w:szCs w:val="18"/>
                <w:highlight w:val="none"/>
              </w:rPr>
              <w:t>依据评估内容、建筑物消防安全评估现场查勘表、抽查比例等开展现场检查及测试，主要包括一致性核对、人员测试、建筑防火及消防设施分项检查测试。其中一致性核对主要涉及以下内容：</w:t>
            </w:r>
          </w:p>
          <w:p w14:paraId="7D78D4BF">
            <w:pPr>
              <w:rPr>
                <w:rFonts w:ascii="宋体" w:hAnsi="宋体"/>
                <w:color w:val="auto"/>
                <w:sz w:val="18"/>
                <w:szCs w:val="18"/>
                <w:highlight w:val="none"/>
              </w:rPr>
            </w:pPr>
            <w:r>
              <w:rPr>
                <w:rFonts w:hint="eastAsia" w:ascii="宋体" w:hAnsi="宋体"/>
                <w:color w:val="auto"/>
                <w:sz w:val="18"/>
                <w:szCs w:val="18"/>
                <w:highlight w:val="none"/>
              </w:rPr>
              <w:t>a)建筑物、场所应与消防行政审批相关文件载明的单位使用性质和规模一致；</w:t>
            </w:r>
          </w:p>
          <w:p w14:paraId="11217287">
            <w:pPr>
              <w:rPr>
                <w:rFonts w:ascii="宋体" w:hAnsi="宋体"/>
                <w:color w:val="auto"/>
                <w:sz w:val="18"/>
                <w:szCs w:val="18"/>
                <w:highlight w:val="none"/>
              </w:rPr>
            </w:pPr>
            <w:r>
              <w:rPr>
                <w:rFonts w:hint="eastAsia" w:ascii="宋体" w:hAnsi="宋体"/>
                <w:color w:val="auto"/>
                <w:sz w:val="18"/>
                <w:szCs w:val="18"/>
                <w:highlight w:val="none"/>
              </w:rPr>
              <w:t>b)选用的消防设施器材、室内装修材料、建筑外墙保温材料应与设计文件、相关检验报告一致；</w:t>
            </w:r>
          </w:p>
          <w:p w14:paraId="79E53637">
            <w:pPr>
              <w:rPr>
                <w:rFonts w:ascii="宋体" w:hAnsi="宋体"/>
                <w:color w:val="auto"/>
                <w:sz w:val="18"/>
                <w:szCs w:val="18"/>
                <w:highlight w:val="none"/>
              </w:rPr>
            </w:pPr>
            <w:r>
              <w:rPr>
                <w:rFonts w:hint="eastAsia" w:ascii="宋体" w:hAnsi="宋体"/>
                <w:color w:val="auto"/>
                <w:sz w:val="18"/>
                <w:szCs w:val="18"/>
                <w:highlight w:val="none"/>
              </w:rPr>
              <w:t>c)消防安全制度、消防安全操作规程应符合场所实际，按要求归档、张贴、悬挂上墙，配发至各有关部门；</w:t>
            </w:r>
          </w:p>
          <w:p w14:paraId="609CBA6A">
            <w:pPr>
              <w:rPr>
                <w:rFonts w:ascii="宋体" w:hAnsi="宋体"/>
                <w:color w:val="auto"/>
                <w:sz w:val="18"/>
                <w:szCs w:val="18"/>
                <w:highlight w:val="none"/>
              </w:rPr>
            </w:pPr>
            <w:r>
              <w:rPr>
                <w:rFonts w:hint="eastAsia" w:ascii="宋体" w:hAnsi="宋体"/>
                <w:color w:val="auto"/>
                <w:sz w:val="18"/>
                <w:szCs w:val="18"/>
                <w:highlight w:val="none"/>
              </w:rPr>
              <w:t>d)单位应明确单位消防安全责任人、消防安全管理人、各级、各岗位的消防安全责任人及其消防安全职责；</w:t>
            </w:r>
          </w:p>
          <w:p w14:paraId="0BD0AD84">
            <w:pPr>
              <w:rPr>
                <w:rFonts w:ascii="宋体" w:hAnsi="宋体"/>
                <w:color w:val="auto"/>
                <w:sz w:val="18"/>
                <w:szCs w:val="18"/>
                <w:highlight w:val="none"/>
              </w:rPr>
            </w:pPr>
            <w:r>
              <w:rPr>
                <w:rFonts w:hint="eastAsia" w:ascii="宋体" w:hAnsi="宋体"/>
                <w:color w:val="auto"/>
                <w:sz w:val="18"/>
                <w:szCs w:val="18"/>
                <w:highlight w:val="none"/>
              </w:rPr>
              <w:t>e)消防控制室设置、值班人员数量和持证上岗、自动消防设施工作状态、各项值班记录填写情况应符合 GB 25506 的规定；</w:t>
            </w:r>
          </w:p>
          <w:p w14:paraId="313DFB69">
            <w:pPr>
              <w:rPr>
                <w:rFonts w:ascii="宋体" w:hAnsi="宋体"/>
                <w:color w:val="auto"/>
                <w:sz w:val="18"/>
                <w:szCs w:val="18"/>
                <w:highlight w:val="none"/>
              </w:rPr>
            </w:pPr>
            <w:r>
              <w:rPr>
                <w:rFonts w:hint="eastAsia" w:ascii="宋体" w:hAnsi="宋体"/>
                <w:color w:val="auto"/>
                <w:sz w:val="18"/>
                <w:szCs w:val="18"/>
                <w:highlight w:val="none"/>
              </w:rPr>
              <w:t>f)单位应按规定设立专职、志愿消防队，配备装备器材，组织日常训练、演练；</w:t>
            </w:r>
          </w:p>
          <w:p w14:paraId="286EF0F6">
            <w:pPr>
              <w:rPr>
                <w:rFonts w:ascii="宋体" w:hAnsi="宋体"/>
                <w:color w:val="auto"/>
                <w:sz w:val="18"/>
                <w:szCs w:val="18"/>
                <w:highlight w:val="none"/>
              </w:rPr>
            </w:pPr>
            <w:r>
              <w:rPr>
                <w:rFonts w:hint="eastAsia" w:ascii="宋体" w:hAnsi="宋体"/>
                <w:color w:val="auto"/>
                <w:sz w:val="18"/>
                <w:szCs w:val="18"/>
                <w:highlight w:val="none"/>
              </w:rPr>
              <w:t>g)单位应设立消防安全重点部位并落实管理措施；</w:t>
            </w:r>
          </w:p>
          <w:p w14:paraId="16B9DF5D">
            <w:pPr>
              <w:rPr>
                <w:rFonts w:ascii="宋体" w:hAnsi="宋体"/>
                <w:color w:val="auto"/>
                <w:sz w:val="18"/>
                <w:szCs w:val="18"/>
                <w:highlight w:val="none"/>
              </w:rPr>
            </w:pPr>
            <w:r>
              <w:rPr>
                <w:rFonts w:hint="eastAsia" w:ascii="宋体" w:hAnsi="宋体"/>
                <w:color w:val="auto"/>
                <w:sz w:val="18"/>
                <w:szCs w:val="18"/>
                <w:highlight w:val="none"/>
              </w:rPr>
              <w:t>h)单位应按要求开展消防安全“四个能力”建设自我评估；</w:t>
            </w:r>
          </w:p>
          <w:p w14:paraId="363FD3D8">
            <w:pPr>
              <w:rPr>
                <w:rFonts w:ascii="宋体" w:hAnsi="宋体"/>
                <w:color w:val="auto"/>
                <w:sz w:val="18"/>
                <w:szCs w:val="18"/>
                <w:highlight w:val="none"/>
              </w:rPr>
            </w:pPr>
            <w:r>
              <w:rPr>
                <w:rFonts w:hint="eastAsia" w:ascii="宋体" w:hAnsi="宋体"/>
                <w:color w:val="auto"/>
                <w:sz w:val="18"/>
                <w:szCs w:val="18"/>
                <w:highlight w:val="none"/>
              </w:rPr>
              <w:t>i)单位使用的消防产品应符合消防产品市场准入制度的要求；</w:t>
            </w:r>
          </w:p>
          <w:p w14:paraId="18700225">
            <w:pPr>
              <w:rPr>
                <w:rFonts w:ascii="宋体" w:hAnsi="宋体"/>
                <w:color w:val="auto"/>
                <w:sz w:val="18"/>
                <w:szCs w:val="18"/>
                <w:highlight w:val="none"/>
              </w:rPr>
            </w:pPr>
            <w:r>
              <w:rPr>
                <w:rFonts w:hint="eastAsia" w:ascii="宋体" w:hAnsi="宋体"/>
                <w:color w:val="auto"/>
                <w:sz w:val="18"/>
                <w:szCs w:val="18"/>
                <w:highlight w:val="none"/>
              </w:rPr>
              <w:t>j)其他内容。</w:t>
            </w:r>
          </w:p>
          <w:p w14:paraId="5E33A23B">
            <w:pPr>
              <w:rPr>
                <w:rFonts w:ascii="宋体" w:hAnsi="宋体"/>
                <w:color w:val="auto"/>
                <w:sz w:val="18"/>
                <w:szCs w:val="18"/>
                <w:highlight w:val="none"/>
              </w:rPr>
            </w:pPr>
            <w:r>
              <w:rPr>
                <w:rFonts w:hint="eastAsia" w:ascii="宋体" w:hAnsi="宋体"/>
                <w:color w:val="auto"/>
                <w:sz w:val="18"/>
                <w:szCs w:val="18"/>
                <w:highlight w:val="none"/>
              </w:rPr>
              <w:t>三、应包含以下评估单元：单位消防安全管理、建筑防火、建筑防爆、安全疏散及避难、单位消防设施设备、消防供电、电气安全、灭火救援设施、其他消防设施设备、消防设施的维护保养及年度检测。</w:t>
            </w:r>
          </w:p>
        </w:tc>
      </w:tr>
    </w:tbl>
    <w:p w14:paraId="7D8BF2F1">
      <w:pPr>
        <w:spacing w:line="440" w:lineRule="exact"/>
        <w:rPr>
          <w:rFonts w:ascii="宋体" w:hAnsi="宋体"/>
          <w:color w:val="auto"/>
          <w:sz w:val="24"/>
          <w:szCs w:val="22"/>
        </w:rPr>
      </w:pPr>
    </w:p>
    <w:p w14:paraId="4DEF5BCF">
      <w:pPr>
        <w:spacing w:line="440" w:lineRule="exact"/>
        <w:rPr>
          <w:rFonts w:ascii="宋体" w:hAnsi="宋体"/>
          <w:color w:val="auto"/>
          <w:sz w:val="24"/>
          <w:szCs w:val="22"/>
        </w:rPr>
      </w:pPr>
      <w:r>
        <w:rPr>
          <w:rFonts w:hint="eastAsia" w:ascii="宋体" w:hAnsi="宋体"/>
          <w:color w:val="auto"/>
          <w:sz w:val="24"/>
          <w:szCs w:val="22"/>
        </w:rPr>
        <w:t>二、合同草案条款</w:t>
      </w:r>
    </w:p>
    <w:p w14:paraId="21EE016C">
      <w:pPr>
        <w:spacing w:line="440" w:lineRule="exact"/>
        <w:rPr>
          <w:rFonts w:ascii="宋体" w:hAnsi="宋体"/>
          <w:color w:val="auto"/>
          <w:sz w:val="24"/>
          <w:szCs w:val="22"/>
        </w:rPr>
      </w:pPr>
      <w:r>
        <w:rPr>
          <w:rFonts w:hint="eastAsia" w:ascii="宋体" w:hAnsi="宋体"/>
          <w:color w:val="auto"/>
          <w:sz w:val="24"/>
          <w:szCs w:val="22"/>
        </w:rPr>
        <w:t>2.1交付需求：</w:t>
      </w:r>
    </w:p>
    <w:p w14:paraId="08C97DC0">
      <w:pPr>
        <w:spacing w:line="440" w:lineRule="exact"/>
        <w:rPr>
          <w:rFonts w:ascii="宋体" w:hAnsi="宋体"/>
          <w:color w:val="auto"/>
          <w:sz w:val="24"/>
          <w:szCs w:val="22"/>
        </w:rPr>
      </w:pPr>
      <w:r>
        <w:rPr>
          <w:rFonts w:hint="eastAsia" w:ascii="宋体" w:hAnsi="宋体"/>
          <w:color w:val="auto"/>
          <w:sz w:val="24"/>
          <w:szCs w:val="22"/>
        </w:rPr>
        <w:t>2.1.1交货时间：合同签订之日起</w:t>
      </w:r>
      <w:r>
        <w:rPr>
          <w:rFonts w:hint="eastAsia" w:ascii="宋体" w:hAnsi="宋体"/>
          <w:color w:val="auto"/>
          <w:sz w:val="24"/>
          <w:szCs w:val="22"/>
          <w:lang w:val="en-US" w:eastAsia="zh-CN"/>
        </w:rPr>
        <w:t>18</w:t>
      </w:r>
      <w:r>
        <w:rPr>
          <w:rFonts w:hint="eastAsia" w:ascii="宋体" w:hAnsi="宋体"/>
          <w:color w:val="auto"/>
          <w:sz w:val="24"/>
          <w:szCs w:val="22"/>
        </w:rPr>
        <w:t>0个日历天内实施完毕。</w:t>
      </w:r>
    </w:p>
    <w:p w14:paraId="48A2826D">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664D1489">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0752245A">
      <w:pPr>
        <w:spacing w:line="440" w:lineRule="exact"/>
        <w:rPr>
          <w:rFonts w:ascii="宋体" w:hAnsi="宋体"/>
          <w:color w:val="auto"/>
          <w:sz w:val="24"/>
          <w:szCs w:val="22"/>
        </w:rPr>
      </w:pPr>
      <w:r>
        <w:rPr>
          <w:rFonts w:hint="eastAsia" w:ascii="宋体" w:hAnsi="宋体"/>
          <w:color w:val="auto"/>
          <w:sz w:val="24"/>
          <w:szCs w:val="22"/>
        </w:rPr>
        <w:t>2.1.4验收要求：货物安装调试完毕，经采购人验收签字认可。</w:t>
      </w:r>
    </w:p>
    <w:p w14:paraId="0D7A25AA">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21582CD6">
      <w:pPr>
        <w:spacing w:line="440" w:lineRule="exact"/>
        <w:rPr>
          <w:rFonts w:ascii="宋体" w:hAnsi="宋体"/>
          <w:color w:val="auto"/>
          <w:sz w:val="24"/>
          <w:szCs w:val="22"/>
        </w:rPr>
      </w:pPr>
      <w:r>
        <w:rPr>
          <w:rFonts w:hint="eastAsia" w:ascii="宋体" w:hAnsi="宋体"/>
          <w:color w:val="auto"/>
          <w:sz w:val="24"/>
          <w:szCs w:val="22"/>
        </w:rPr>
        <w:t>2.1.6本次采购合同由采购人与成交供应商签订。</w:t>
      </w:r>
    </w:p>
    <w:p w14:paraId="38E0304E">
      <w:pPr>
        <w:spacing w:line="440" w:lineRule="exact"/>
        <w:rPr>
          <w:rFonts w:hint="eastAsia" w:ascii="宋体" w:hAnsi="宋体"/>
          <w:color w:val="auto"/>
          <w:sz w:val="24"/>
          <w:szCs w:val="22"/>
        </w:rPr>
      </w:pPr>
      <w:r>
        <w:rPr>
          <w:rFonts w:hint="eastAsia" w:ascii="宋体" w:hAnsi="宋体"/>
          <w:color w:val="auto"/>
          <w:sz w:val="24"/>
          <w:szCs w:val="22"/>
          <w:highlight w:val="none"/>
        </w:rPr>
        <w:t>2.1.7付款方式：本项目无预付款。经验收合格后，供应商提供发票后15个工</w:t>
      </w:r>
      <w:r>
        <w:rPr>
          <w:rFonts w:hint="eastAsia" w:ascii="宋体" w:hAnsi="宋体"/>
          <w:color w:val="auto"/>
          <w:sz w:val="24"/>
          <w:szCs w:val="22"/>
        </w:rPr>
        <w:t>作日内支付全款。</w:t>
      </w:r>
    </w:p>
    <w:p w14:paraId="0B7D53E5">
      <w:pPr>
        <w:spacing w:line="440" w:lineRule="exact"/>
        <w:rPr>
          <w:rFonts w:hint="eastAsia" w:ascii="宋体" w:hAnsi="宋体"/>
          <w:color w:val="auto"/>
          <w:sz w:val="24"/>
          <w:szCs w:val="22"/>
        </w:rPr>
      </w:pPr>
      <w:r>
        <w:rPr>
          <w:rFonts w:hint="eastAsia" w:ascii="宋体" w:hAnsi="宋体"/>
          <w:color w:val="auto"/>
          <w:sz w:val="24"/>
          <w:szCs w:val="22"/>
        </w:rPr>
        <w:t>2.2</w:t>
      </w:r>
      <w:r>
        <w:rPr>
          <w:rFonts w:hint="eastAsia" w:ascii="宋体" w:hAnsi="宋体"/>
          <w:color w:val="auto"/>
          <w:sz w:val="24"/>
          <w:szCs w:val="22"/>
          <w:lang w:val="en-US" w:eastAsia="zh-CN"/>
        </w:rPr>
        <w:t>测试评估期间跟踪服务及设施运行保障需求</w:t>
      </w:r>
    </w:p>
    <w:p w14:paraId="05D77A7B">
      <w:pPr>
        <w:spacing w:line="440" w:lineRule="exact"/>
        <w:rPr>
          <w:rFonts w:hint="eastAsia" w:ascii="宋体" w:hAnsi="宋体"/>
          <w:color w:val="auto"/>
          <w:sz w:val="24"/>
          <w:szCs w:val="22"/>
        </w:rPr>
      </w:pPr>
      <w:r>
        <w:rPr>
          <w:rFonts w:hint="eastAsia" w:ascii="宋体" w:hAnsi="宋体"/>
          <w:color w:val="auto"/>
          <w:sz w:val="24"/>
          <w:szCs w:val="22"/>
        </w:rPr>
        <w:t>2.2.1质保服务要求：成交供应商</w:t>
      </w:r>
      <w:r>
        <w:rPr>
          <w:rFonts w:hint="eastAsia" w:ascii="宋体" w:hAnsi="宋体"/>
          <w:color w:val="auto"/>
          <w:sz w:val="24"/>
          <w:szCs w:val="22"/>
          <w:lang w:eastAsia="zh-CN"/>
        </w:rPr>
        <w:t>在服务期内不能确定非测试原因或与成交供应商服务活动无关原因造成的消防设施故障，均由</w:t>
      </w:r>
      <w:r>
        <w:rPr>
          <w:rFonts w:hint="eastAsia" w:ascii="宋体" w:hAnsi="宋体"/>
          <w:color w:val="auto"/>
          <w:sz w:val="24"/>
          <w:szCs w:val="22"/>
        </w:rPr>
        <w:t>成交供应商</w:t>
      </w:r>
      <w:r>
        <w:rPr>
          <w:rFonts w:hint="eastAsia" w:ascii="宋体" w:hAnsi="宋体"/>
          <w:color w:val="auto"/>
          <w:sz w:val="24"/>
          <w:szCs w:val="22"/>
          <w:lang w:eastAsia="zh-CN"/>
        </w:rPr>
        <w:t>提供</w:t>
      </w:r>
      <w:r>
        <w:rPr>
          <w:rFonts w:hint="eastAsia" w:ascii="宋体" w:hAnsi="宋体"/>
          <w:color w:val="auto"/>
          <w:sz w:val="24"/>
          <w:szCs w:val="22"/>
        </w:rPr>
        <w:t>免费</w:t>
      </w:r>
      <w:r>
        <w:rPr>
          <w:rFonts w:hint="eastAsia" w:ascii="宋体" w:hAnsi="宋体"/>
          <w:color w:val="auto"/>
          <w:sz w:val="24"/>
          <w:szCs w:val="22"/>
          <w:lang w:val="en-US" w:eastAsia="zh-CN"/>
        </w:rPr>
        <w:t>24小时</w:t>
      </w:r>
      <w:r>
        <w:rPr>
          <w:rFonts w:hint="eastAsia" w:ascii="宋体" w:hAnsi="宋体"/>
          <w:color w:val="auto"/>
          <w:sz w:val="24"/>
          <w:szCs w:val="22"/>
        </w:rPr>
        <w:t>上门</w:t>
      </w:r>
      <w:r>
        <w:rPr>
          <w:rFonts w:hint="eastAsia" w:ascii="宋体" w:hAnsi="宋体"/>
          <w:color w:val="auto"/>
          <w:sz w:val="24"/>
          <w:szCs w:val="22"/>
          <w:lang w:val="en-US" w:eastAsia="zh-CN"/>
        </w:rPr>
        <w:t>维修</w:t>
      </w:r>
      <w:r>
        <w:rPr>
          <w:rFonts w:hint="eastAsia" w:ascii="宋体" w:hAnsi="宋体"/>
          <w:color w:val="auto"/>
          <w:sz w:val="24"/>
          <w:szCs w:val="22"/>
        </w:rPr>
        <w:t>。供应商在此项目</w:t>
      </w:r>
      <w:r>
        <w:rPr>
          <w:rFonts w:hint="eastAsia" w:ascii="宋体" w:hAnsi="宋体"/>
          <w:color w:val="auto"/>
          <w:sz w:val="24"/>
          <w:szCs w:val="22"/>
          <w:lang w:val="en-US" w:eastAsia="zh-CN"/>
        </w:rPr>
        <w:t>测试过程中</w:t>
      </w:r>
      <w:r>
        <w:rPr>
          <w:rFonts w:hint="eastAsia" w:ascii="宋体" w:hAnsi="宋体"/>
          <w:color w:val="auto"/>
          <w:sz w:val="24"/>
          <w:szCs w:val="22"/>
        </w:rPr>
        <w:t>，若出现系统故障，服务商应</w:t>
      </w:r>
      <w:r>
        <w:rPr>
          <w:rFonts w:hint="eastAsia" w:ascii="宋体" w:hAnsi="宋体"/>
          <w:color w:val="auto"/>
          <w:sz w:val="24"/>
          <w:szCs w:val="22"/>
          <w:lang w:val="en-US" w:eastAsia="zh-CN"/>
        </w:rPr>
        <w:t>1</w:t>
      </w:r>
      <w:r>
        <w:rPr>
          <w:rFonts w:hint="eastAsia" w:ascii="宋体" w:hAnsi="宋体"/>
          <w:color w:val="auto"/>
          <w:sz w:val="24"/>
          <w:szCs w:val="22"/>
        </w:rPr>
        <w:t>小时内响应，</w:t>
      </w:r>
      <w:r>
        <w:rPr>
          <w:rFonts w:hint="eastAsia" w:ascii="宋体" w:hAnsi="宋体"/>
          <w:color w:val="auto"/>
          <w:sz w:val="24"/>
          <w:szCs w:val="22"/>
          <w:lang w:val="en-US" w:eastAsia="zh-CN"/>
        </w:rPr>
        <w:t>2</w:t>
      </w:r>
      <w:r>
        <w:rPr>
          <w:rFonts w:hint="eastAsia" w:ascii="宋体" w:hAnsi="宋体"/>
          <w:color w:val="auto"/>
          <w:sz w:val="24"/>
          <w:szCs w:val="22"/>
        </w:rPr>
        <w:t>小时内到场排除故障并保证系统正常运行。</w:t>
      </w:r>
    </w:p>
    <w:p w14:paraId="73281A32">
      <w:pPr>
        <w:spacing w:line="440" w:lineRule="exact"/>
        <w:rPr>
          <w:rFonts w:hint="eastAsia" w:ascii="宋体" w:hAnsi="宋体"/>
          <w:color w:val="auto"/>
          <w:sz w:val="24"/>
          <w:szCs w:val="22"/>
        </w:rPr>
      </w:pPr>
      <w:r>
        <w:rPr>
          <w:rFonts w:hint="eastAsia" w:ascii="宋体" w:hAnsi="宋体"/>
          <w:color w:val="auto"/>
          <w:sz w:val="24"/>
          <w:szCs w:val="22"/>
        </w:rPr>
        <w:t>2.2.2供应商在</w:t>
      </w:r>
      <w:r>
        <w:rPr>
          <w:rFonts w:hint="eastAsia" w:ascii="宋体" w:hAnsi="宋体"/>
          <w:color w:val="auto"/>
          <w:sz w:val="24"/>
          <w:szCs w:val="22"/>
          <w:lang w:val="en-US" w:eastAsia="zh-CN"/>
        </w:rPr>
        <w:t>测试评估</w:t>
      </w:r>
      <w:r>
        <w:rPr>
          <w:rFonts w:hint="eastAsia" w:ascii="宋体" w:hAnsi="宋体"/>
          <w:color w:val="auto"/>
          <w:sz w:val="24"/>
          <w:szCs w:val="22"/>
        </w:rPr>
        <w:t>期内对采购人技术人员提供</w:t>
      </w:r>
      <w:r>
        <w:rPr>
          <w:rFonts w:hint="eastAsia" w:ascii="宋体" w:hAnsi="宋体"/>
          <w:color w:val="auto"/>
          <w:sz w:val="24"/>
          <w:szCs w:val="22"/>
          <w:lang w:val="en-US" w:eastAsia="zh-CN"/>
        </w:rPr>
        <w:t>免费</w:t>
      </w:r>
      <w:r>
        <w:rPr>
          <w:rFonts w:hint="eastAsia" w:ascii="宋体" w:hAnsi="宋体"/>
          <w:color w:val="auto"/>
          <w:sz w:val="24"/>
          <w:szCs w:val="22"/>
        </w:rPr>
        <w:t>操作和维护培训，提供</w:t>
      </w:r>
      <w:r>
        <w:rPr>
          <w:rFonts w:hint="eastAsia" w:ascii="宋体" w:hAnsi="宋体"/>
          <w:color w:val="auto"/>
          <w:sz w:val="24"/>
          <w:szCs w:val="22"/>
          <w:lang w:val="en-US" w:eastAsia="zh-CN"/>
        </w:rPr>
        <w:t>免费</w:t>
      </w:r>
      <w:r>
        <w:rPr>
          <w:rFonts w:hint="eastAsia" w:ascii="宋体" w:hAnsi="宋体"/>
          <w:color w:val="auto"/>
          <w:sz w:val="24"/>
          <w:szCs w:val="22"/>
        </w:rPr>
        <w:t>技术咨询服务。</w:t>
      </w:r>
      <w:r>
        <w:rPr>
          <w:rFonts w:hint="eastAsia" w:ascii="宋体" w:hAnsi="宋体"/>
          <w:color w:val="auto"/>
          <w:sz w:val="24"/>
          <w:szCs w:val="22"/>
          <w:lang w:val="en-US" w:eastAsia="zh-CN"/>
        </w:rPr>
        <w:t>测试评估</w:t>
      </w:r>
      <w:r>
        <w:rPr>
          <w:rFonts w:hint="eastAsia" w:ascii="宋体" w:hAnsi="宋体"/>
          <w:color w:val="auto"/>
          <w:sz w:val="24"/>
          <w:szCs w:val="22"/>
        </w:rPr>
        <w:t>期内设备出现故障，免费更换配件及维修。</w:t>
      </w:r>
    </w:p>
    <w:p w14:paraId="3650EF48">
      <w:pPr>
        <w:spacing w:line="440" w:lineRule="exact"/>
        <w:rPr>
          <w:rFonts w:hint="eastAsia" w:ascii="宋体" w:hAnsi="宋体" w:eastAsia="宋体"/>
          <w:color w:val="auto"/>
          <w:sz w:val="24"/>
          <w:szCs w:val="22"/>
          <w:highlight w:val="none"/>
          <w:lang w:val="en-US" w:eastAsia="zh-CN"/>
        </w:rPr>
      </w:pPr>
      <w:r>
        <w:rPr>
          <w:rFonts w:hint="eastAsia" w:ascii="宋体" w:hAnsi="宋体"/>
          <w:color w:val="auto"/>
          <w:sz w:val="24"/>
          <w:szCs w:val="22"/>
        </w:rPr>
        <w:t>2.2.3其他服务要求：供应商须提供所投</w:t>
      </w:r>
      <w:r>
        <w:rPr>
          <w:rFonts w:hint="eastAsia" w:ascii="宋体" w:hAnsi="宋体"/>
          <w:color w:val="auto"/>
          <w:sz w:val="24"/>
          <w:szCs w:val="22"/>
          <w:lang w:val="en-US" w:eastAsia="zh-CN"/>
        </w:rPr>
        <w:t>服务所应用硬件、软件</w:t>
      </w:r>
      <w:r>
        <w:rPr>
          <w:rFonts w:hint="eastAsia" w:ascii="宋体" w:hAnsi="宋体"/>
          <w:color w:val="auto"/>
          <w:sz w:val="24"/>
          <w:szCs w:val="22"/>
        </w:rPr>
        <w:t>产品生产厂家服务机构情况，包括地址、联系方式及技术人员数量等。提供生产厂家完整的随</w:t>
      </w:r>
      <w:r>
        <w:rPr>
          <w:rFonts w:hint="eastAsia" w:ascii="宋体" w:hAnsi="宋体"/>
          <w:color w:val="auto"/>
          <w:sz w:val="24"/>
          <w:szCs w:val="22"/>
          <w:highlight w:val="none"/>
        </w:rPr>
        <w:t>机资料，包括完整的</w:t>
      </w:r>
      <w:r>
        <w:rPr>
          <w:rFonts w:hint="eastAsia" w:ascii="宋体" w:hAnsi="宋体"/>
          <w:color w:val="auto"/>
          <w:sz w:val="24"/>
          <w:szCs w:val="22"/>
          <w:highlight w:val="none"/>
          <w:lang w:eastAsia="zh-CN"/>
        </w:rPr>
        <w:t>、</w:t>
      </w:r>
      <w:r>
        <w:rPr>
          <w:rFonts w:hint="eastAsia" w:ascii="宋体" w:hAnsi="宋体"/>
          <w:color w:val="auto"/>
          <w:sz w:val="24"/>
          <w:szCs w:val="22"/>
          <w:highlight w:val="none"/>
          <w:lang w:val="en-US" w:eastAsia="zh-CN"/>
        </w:rPr>
        <w:t>且在有效期内的设备年检</w:t>
      </w:r>
      <w:r>
        <w:rPr>
          <w:rFonts w:hint="eastAsia" w:ascii="宋体" w:hAnsi="宋体"/>
          <w:color w:val="auto"/>
          <w:sz w:val="24"/>
          <w:szCs w:val="22"/>
          <w:highlight w:val="none"/>
        </w:rPr>
        <w:t>和</w:t>
      </w:r>
      <w:r>
        <w:rPr>
          <w:rFonts w:hint="eastAsia" w:ascii="宋体" w:hAnsi="宋体"/>
          <w:color w:val="auto"/>
          <w:sz w:val="24"/>
          <w:szCs w:val="22"/>
          <w:highlight w:val="none"/>
          <w:lang w:val="en-US" w:eastAsia="zh-CN"/>
        </w:rPr>
        <w:t>最新版本技术参数</w:t>
      </w:r>
      <w:r>
        <w:rPr>
          <w:rFonts w:hint="eastAsia" w:ascii="宋体" w:hAnsi="宋体"/>
          <w:color w:val="auto"/>
          <w:sz w:val="24"/>
          <w:szCs w:val="22"/>
          <w:highlight w:val="none"/>
        </w:rPr>
        <w:t>手册等。</w:t>
      </w:r>
    </w:p>
    <w:p w14:paraId="27899831">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256153CA">
      <w:pPr>
        <w:shd w:val="clear" w:color="auto" w:fill="FFFFFF"/>
        <w:spacing w:line="360" w:lineRule="auto"/>
        <w:ind w:firstLine="240" w:firstLineChars="100"/>
        <w:rPr>
          <w:rFonts w:ascii="宋体" w:hAnsi="宋体" w:cs="宋体"/>
          <w:color w:val="auto"/>
          <w:sz w:val="24"/>
        </w:rPr>
      </w:pPr>
      <w:r>
        <w:rPr>
          <w:rFonts w:hint="eastAsia" w:ascii="宋体" w:hAnsi="宋体" w:cs="宋体"/>
          <w:caps/>
          <w:color w:val="auto"/>
          <w:sz w:val="24"/>
        </w:rPr>
        <w:t>根据符合采购需求、质量和服务相等且报价（评审价）最低的原则确定成交候选供应商。</w:t>
      </w:r>
    </w:p>
    <w:p w14:paraId="768D0315">
      <w:pPr>
        <w:tabs>
          <w:tab w:val="left" w:pos="7665"/>
        </w:tabs>
        <w:ind w:firstLine="705" w:firstLineChars="196"/>
        <w:jc w:val="center"/>
        <w:outlineLvl w:val="1"/>
        <w:rPr>
          <w:color w:val="auto"/>
          <w:sz w:val="36"/>
          <w:szCs w:val="36"/>
        </w:rPr>
      </w:pPr>
    </w:p>
    <w:p w14:paraId="58D3FE54">
      <w:pPr>
        <w:tabs>
          <w:tab w:val="left" w:pos="7665"/>
        </w:tabs>
        <w:ind w:firstLine="705" w:firstLineChars="196"/>
        <w:jc w:val="center"/>
        <w:outlineLvl w:val="1"/>
        <w:rPr>
          <w:color w:val="auto"/>
          <w:sz w:val="36"/>
          <w:szCs w:val="36"/>
        </w:rPr>
      </w:pPr>
    </w:p>
    <w:p w14:paraId="7BF7317E">
      <w:pPr>
        <w:tabs>
          <w:tab w:val="left" w:pos="7665"/>
        </w:tabs>
        <w:ind w:firstLine="705" w:firstLineChars="196"/>
        <w:jc w:val="center"/>
        <w:outlineLvl w:val="1"/>
        <w:rPr>
          <w:color w:val="auto"/>
          <w:sz w:val="36"/>
          <w:szCs w:val="36"/>
        </w:rPr>
      </w:pPr>
    </w:p>
    <w:p w14:paraId="3096F2B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37A3BFE0">
      <w:pPr>
        <w:spacing w:line="440" w:lineRule="exact"/>
        <w:jc w:val="center"/>
        <w:rPr>
          <w:rFonts w:eastAsia="仿宋_GB2312"/>
          <w:b/>
          <w:color w:val="auto"/>
          <w:sz w:val="44"/>
          <w:szCs w:val="44"/>
        </w:rPr>
      </w:pPr>
    </w:p>
    <w:p w14:paraId="58CF08A0">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208FC363">
      <w:pPr>
        <w:spacing w:line="300" w:lineRule="auto"/>
        <w:ind w:firstLine="539" w:firstLineChars="245"/>
        <w:rPr>
          <w:color w:val="auto"/>
          <w:spacing w:val="-10"/>
          <w:sz w:val="24"/>
        </w:rPr>
      </w:pPr>
    </w:p>
    <w:p w14:paraId="795E8137">
      <w:pPr>
        <w:spacing w:line="500" w:lineRule="exact"/>
        <w:ind w:firstLine="540"/>
        <w:jc w:val="center"/>
        <w:rPr>
          <w:b/>
          <w:color w:val="auto"/>
          <w:kern w:val="0"/>
          <w:sz w:val="36"/>
          <w:szCs w:val="36"/>
        </w:rPr>
      </w:pPr>
      <w:r>
        <w:rPr>
          <w:b/>
          <w:color w:val="auto"/>
          <w:kern w:val="0"/>
          <w:sz w:val="36"/>
          <w:szCs w:val="36"/>
        </w:rPr>
        <w:t>合同书</w:t>
      </w:r>
    </w:p>
    <w:p w14:paraId="401C0F2C">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74427DC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18AB34E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5A79CE6B">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9149F8E">
      <w:pPr>
        <w:spacing w:line="500" w:lineRule="exact"/>
        <w:ind w:firstLine="480" w:firstLineChars="200"/>
        <w:rPr>
          <w:color w:val="auto"/>
          <w:sz w:val="24"/>
          <w:szCs w:val="20"/>
        </w:rPr>
      </w:pPr>
      <w:r>
        <w:rPr>
          <w:color w:val="auto"/>
          <w:sz w:val="24"/>
          <w:szCs w:val="20"/>
        </w:rPr>
        <w:t>本合同由（以下简称“需方”）与（以下简称“供方”）签订。</w:t>
      </w:r>
    </w:p>
    <w:p w14:paraId="6762ACB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19EEDA9A">
      <w:pPr>
        <w:autoSpaceDE w:val="0"/>
        <w:autoSpaceDN w:val="0"/>
        <w:adjustRightInd w:val="0"/>
        <w:spacing w:line="500" w:lineRule="exact"/>
        <w:ind w:firstLine="470" w:firstLineChars="196"/>
        <w:rPr>
          <w:rFonts w:ascii="宋体" w:hAnsi="宋体"/>
          <w:color w:val="auto"/>
          <w:kern w:val="0"/>
          <w:sz w:val="24"/>
          <w:szCs w:val="20"/>
        </w:rPr>
      </w:pPr>
      <w:r>
        <w:rPr>
          <w:rFonts w:ascii="宋体" w:hAnsi="宋体"/>
          <w:color w:val="auto"/>
          <w:kern w:val="0"/>
          <w:sz w:val="24"/>
          <w:szCs w:val="20"/>
        </w:rPr>
        <w:t>经双方协商，同意按下列条文执行：</w:t>
      </w:r>
    </w:p>
    <w:p w14:paraId="3785E823">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0B9DB29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383F7396">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59552832">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049E5BD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608133C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481C819C">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1E0AF9C8">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1365726E">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5AF072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7C7FF686">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64E2BB1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19F4734C">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4307BA3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394A521">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33986AEC">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3C97E4D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912547C">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0A451A26">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7B207A0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A740A24">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5EEF88A3">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39061E5F">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3A49955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448636A0">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42451445">
      <w:pPr>
        <w:tabs>
          <w:tab w:val="left" w:pos="4860"/>
        </w:tabs>
        <w:autoSpaceDE w:val="0"/>
        <w:autoSpaceDN w:val="0"/>
        <w:adjustRightInd w:val="0"/>
        <w:spacing w:line="500" w:lineRule="exact"/>
        <w:ind w:firstLine="480" w:firstLineChars="200"/>
        <w:jc w:val="left"/>
        <w:rPr>
          <w:color w:val="auto"/>
          <w:kern w:val="0"/>
          <w:sz w:val="24"/>
          <w:szCs w:val="20"/>
        </w:rPr>
      </w:pPr>
    </w:p>
    <w:p w14:paraId="1CE1023B">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675A914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29A9A8E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5E20C6C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52CEF24F">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32660B3C">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415766D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4F3448F9">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19C51D8B">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2FD2266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65BD50B">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1F7F2444">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0D23C797">
      <w:pPr>
        <w:adjustRightInd w:val="0"/>
        <w:snapToGrid w:val="0"/>
        <w:jc w:val="center"/>
        <w:outlineLvl w:val="0"/>
        <w:rPr>
          <w:b/>
          <w:color w:val="auto"/>
          <w:sz w:val="18"/>
          <w:szCs w:val="18"/>
        </w:rPr>
      </w:pPr>
    </w:p>
    <w:p w14:paraId="2FEE3192">
      <w:pPr>
        <w:adjustRightInd w:val="0"/>
        <w:snapToGrid w:val="0"/>
        <w:outlineLvl w:val="0"/>
        <w:rPr>
          <w:color w:val="auto"/>
          <w:szCs w:val="28"/>
        </w:rPr>
      </w:pPr>
      <w:r>
        <w:rPr>
          <w:color w:val="auto"/>
          <w:szCs w:val="28"/>
        </w:rPr>
        <w:t>封面：</w:t>
      </w:r>
    </w:p>
    <w:p w14:paraId="4F5B227F">
      <w:pPr>
        <w:pStyle w:val="18"/>
        <w:tabs>
          <w:tab w:val="left" w:pos="1260"/>
        </w:tabs>
        <w:jc w:val="center"/>
        <w:rPr>
          <w:rFonts w:ascii="Times New Roman" w:hAnsi="Times New Roman" w:cs="Times New Roman"/>
          <w:bCs/>
          <w:color w:val="auto"/>
          <w:spacing w:val="100"/>
          <w:w w:val="110"/>
          <w:kern w:val="0"/>
          <w:sz w:val="52"/>
          <w:szCs w:val="52"/>
        </w:rPr>
      </w:pPr>
    </w:p>
    <w:p w14:paraId="54B1AE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316B37E7">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44D149D0">
      <w:pPr>
        <w:pStyle w:val="18"/>
        <w:jc w:val="center"/>
        <w:rPr>
          <w:rFonts w:ascii="Times New Roman" w:hAnsi="Times New Roman" w:cs="Times New Roman"/>
          <w:color w:val="auto"/>
          <w:sz w:val="44"/>
        </w:rPr>
      </w:pPr>
    </w:p>
    <w:p w14:paraId="4473F6A6">
      <w:pPr>
        <w:pStyle w:val="18"/>
        <w:jc w:val="center"/>
        <w:rPr>
          <w:rFonts w:ascii="Times New Roman" w:hAnsi="Times New Roman" w:cs="Times New Roman"/>
          <w:color w:val="auto"/>
          <w:sz w:val="44"/>
        </w:rPr>
      </w:pPr>
    </w:p>
    <w:p w14:paraId="01B01BFC">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2D844792">
      <w:pPr>
        <w:pStyle w:val="16"/>
        <w:spacing w:line="360" w:lineRule="auto"/>
        <w:ind w:firstLine="1280" w:firstLineChars="400"/>
        <w:rPr>
          <w:color w:val="auto"/>
          <w:szCs w:val="32"/>
          <w:u w:val="single"/>
        </w:rPr>
      </w:pPr>
      <w:r>
        <w:rPr>
          <w:color w:val="auto"/>
          <w:szCs w:val="32"/>
        </w:rPr>
        <w:t>项目名称：</w:t>
      </w:r>
    </w:p>
    <w:p w14:paraId="719B6039">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01AF68C0">
      <w:pPr>
        <w:pStyle w:val="18"/>
        <w:ind w:firstLine="1320" w:firstLineChars="300"/>
        <w:rPr>
          <w:rFonts w:ascii="Times New Roman" w:hAnsi="Times New Roman" w:cs="Times New Roman"/>
          <w:color w:val="auto"/>
          <w:sz w:val="44"/>
        </w:rPr>
      </w:pPr>
    </w:p>
    <w:p w14:paraId="5493ECB2">
      <w:pPr>
        <w:pStyle w:val="18"/>
        <w:ind w:firstLine="1320" w:firstLineChars="300"/>
        <w:rPr>
          <w:rFonts w:ascii="Times New Roman" w:hAnsi="Times New Roman" w:cs="Times New Roman"/>
          <w:color w:val="auto"/>
          <w:sz w:val="44"/>
        </w:rPr>
      </w:pPr>
    </w:p>
    <w:p w14:paraId="4C5CAB1B">
      <w:pPr>
        <w:pStyle w:val="18"/>
        <w:ind w:firstLine="1320" w:firstLineChars="300"/>
        <w:rPr>
          <w:rFonts w:ascii="Times New Roman" w:hAnsi="Times New Roman" w:cs="Times New Roman"/>
          <w:color w:val="auto"/>
          <w:sz w:val="44"/>
        </w:rPr>
      </w:pPr>
    </w:p>
    <w:p w14:paraId="45AF7BD7">
      <w:pPr>
        <w:pStyle w:val="18"/>
        <w:ind w:firstLine="1320" w:firstLineChars="300"/>
        <w:rPr>
          <w:rFonts w:ascii="Times New Roman" w:hAnsi="Times New Roman" w:cs="Times New Roman"/>
          <w:color w:val="auto"/>
          <w:sz w:val="44"/>
        </w:rPr>
      </w:pPr>
    </w:p>
    <w:p w14:paraId="3B7624F6">
      <w:pPr>
        <w:pStyle w:val="18"/>
        <w:ind w:firstLine="1320" w:firstLineChars="300"/>
        <w:rPr>
          <w:rFonts w:ascii="Times New Roman" w:hAnsi="Times New Roman" w:cs="Times New Roman"/>
          <w:color w:val="auto"/>
          <w:sz w:val="44"/>
        </w:rPr>
      </w:pPr>
    </w:p>
    <w:p w14:paraId="59A31643">
      <w:pPr>
        <w:pStyle w:val="18"/>
        <w:ind w:firstLine="1320" w:firstLineChars="300"/>
        <w:rPr>
          <w:rFonts w:ascii="Times New Roman" w:hAnsi="Times New Roman" w:cs="Times New Roman"/>
          <w:color w:val="auto"/>
          <w:sz w:val="44"/>
        </w:rPr>
      </w:pPr>
    </w:p>
    <w:p w14:paraId="0D451B62">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1631FE12">
      <w:pPr>
        <w:jc w:val="center"/>
        <w:rPr>
          <w:rFonts w:ascii="宋体" w:hAnsi="宋体"/>
          <w:color w:val="auto"/>
          <w:sz w:val="32"/>
          <w:szCs w:val="32"/>
        </w:rPr>
      </w:pPr>
      <w:r>
        <w:rPr>
          <w:rFonts w:ascii="宋体" w:hAnsi="宋体"/>
          <w:color w:val="auto"/>
          <w:sz w:val="32"/>
          <w:szCs w:val="32"/>
        </w:rPr>
        <w:t>年  月  日</w:t>
      </w:r>
    </w:p>
    <w:p w14:paraId="01D6E1B4">
      <w:pPr>
        <w:adjustRightInd w:val="0"/>
        <w:snapToGrid w:val="0"/>
        <w:jc w:val="center"/>
        <w:outlineLvl w:val="0"/>
        <w:rPr>
          <w:color w:val="auto"/>
          <w:sz w:val="44"/>
          <w:szCs w:val="44"/>
        </w:rPr>
      </w:pPr>
      <w:r>
        <w:rPr>
          <w:color w:val="auto"/>
          <w:szCs w:val="21"/>
        </w:rPr>
        <w:br w:type="page"/>
      </w:r>
      <w:r>
        <w:rPr>
          <w:color w:val="auto"/>
          <w:sz w:val="44"/>
          <w:szCs w:val="44"/>
        </w:rPr>
        <w:t>目</w:t>
      </w:r>
      <w:r>
        <w:rPr>
          <w:rFonts w:hint="eastAsia"/>
          <w:color w:val="auto"/>
          <w:sz w:val="44"/>
          <w:szCs w:val="44"/>
        </w:rPr>
        <w:t xml:space="preserve">  </w:t>
      </w:r>
      <w:r>
        <w:rPr>
          <w:color w:val="auto"/>
          <w:sz w:val="44"/>
          <w:szCs w:val="44"/>
        </w:rPr>
        <w:t>录</w:t>
      </w:r>
    </w:p>
    <w:p w14:paraId="50C5EF8E">
      <w:pPr>
        <w:adjustRightInd w:val="0"/>
        <w:snapToGrid w:val="0"/>
        <w:outlineLvl w:val="0"/>
        <w:rPr>
          <w:color w:val="auto"/>
          <w:sz w:val="24"/>
        </w:rPr>
      </w:pPr>
      <w:r>
        <w:rPr>
          <w:color w:val="auto"/>
          <w:szCs w:val="21"/>
        </w:rPr>
        <w:br w:type="page"/>
      </w:r>
      <w:r>
        <w:rPr>
          <w:color w:val="auto"/>
          <w:sz w:val="24"/>
        </w:rPr>
        <w:t>附件1</w:t>
      </w:r>
    </w:p>
    <w:p w14:paraId="5EAA6B9E">
      <w:pPr>
        <w:adjustRightInd w:val="0"/>
        <w:snapToGrid w:val="0"/>
        <w:jc w:val="center"/>
        <w:outlineLvl w:val="0"/>
        <w:rPr>
          <w:color w:val="auto"/>
          <w:sz w:val="32"/>
          <w:szCs w:val="32"/>
        </w:rPr>
      </w:pPr>
      <w:r>
        <w:rPr>
          <w:color w:val="auto"/>
          <w:sz w:val="32"/>
          <w:szCs w:val="32"/>
        </w:rPr>
        <w:t>谈判书</w:t>
      </w:r>
    </w:p>
    <w:p w14:paraId="6616126C">
      <w:pPr>
        <w:spacing w:line="500" w:lineRule="exact"/>
        <w:ind w:left="-118" w:leftChars="-42"/>
        <w:rPr>
          <w:rFonts w:eastAsia="仿宋_GB2312"/>
          <w:color w:val="auto"/>
          <w:szCs w:val="28"/>
        </w:rPr>
      </w:pPr>
    </w:p>
    <w:p w14:paraId="2AC89F0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01E492D5">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1472A8F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1F347A4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5C88161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CAE81B">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50B1F384">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59AA475D">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7BF3AF5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37A481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4D9CDC1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376EAE7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395546D4">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0D720D97">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34F35072">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5D5D3D8E">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4B58475B">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4CC53EE">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5E1B7DF2">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113DD5E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40046CFA">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2A66166A">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534FB345">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4178B4FE">
      <w:pPr>
        <w:pStyle w:val="18"/>
        <w:spacing w:line="440" w:lineRule="exact"/>
        <w:ind w:firstLine="840"/>
        <w:rPr>
          <w:rFonts w:hAnsi="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hAnsi="宋体"/>
          <w:color w:val="auto"/>
          <w:sz w:val="24"/>
        </w:rPr>
        <w:t>附件2</w:t>
      </w:r>
    </w:p>
    <w:p w14:paraId="0069A19E">
      <w:pPr>
        <w:ind w:firstLine="3040" w:firstLineChars="950"/>
        <w:rPr>
          <w:color w:val="auto"/>
          <w:sz w:val="32"/>
          <w:szCs w:val="32"/>
        </w:rPr>
      </w:pPr>
      <w:r>
        <w:rPr>
          <w:color w:val="auto"/>
          <w:sz w:val="32"/>
          <w:szCs w:val="32"/>
        </w:rPr>
        <w:t>报价组成情况表</w:t>
      </w:r>
    </w:p>
    <w:p w14:paraId="78D87BE3">
      <w:pPr>
        <w:spacing w:line="500" w:lineRule="exact"/>
        <w:rPr>
          <w:rFonts w:eastAsia="仿宋_GB2312"/>
          <w:color w:val="auto"/>
        </w:rPr>
      </w:pPr>
    </w:p>
    <w:p w14:paraId="025B93ED">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381F0E5F">
      <w:pPr>
        <w:spacing w:line="240" w:lineRule="atLeast"/>
        <w:rPr>
          <w:rFonts w:eastAsia="仿宋_GB2312"/>
          <w:color w:val="auto"/>
          <w:sz w:val="24"/>
          <w:u w:val="single"/>
        </w:rPr>
      </w:pPr>
      <w:r>
        <w:rPr>
          <w:color w:val="auto"/>
          <w:sz w:val="24"/>
        </w:rPr>
        <w:t>项目名称：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779A44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61763BF4">
            <w:pPr>
              <w:adjustRightInd w:val="0"/>
              <w:snapToGrid w:val="0"/>
              <w:ind w:left="-118" w:leftChars="-42"/>
              <w:jc w:val="center"/>
              <w:rPr>
                <w:color w:val="auto"/>
                <w:sz w:val="24"/>
              </w:rPr>
            </w:pPr>
            <w:r>
              <w:rPr>
                <w:color w:val="auto"/>
                <w:sz w:val="24"/>
              </w:rPr>
              <w:t>序号</w:t>
            </w:r>
          </w:p>
        </w:tc>
        <w:tc>
          <w:tcPr>
            <w:tcW w:w="1868" w:type="dxa"/>
            <w:noWrap w:val="0"/>
            <w:vAlign w:val="center"/>
          </w:tcPr>
          <w:p w14:paraId="480A8CEC">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noWrap w:val="0"/>
            <w:vAlign w:val="center"/>
          </w:tcPr>
          <w:p w14:paraId="61342FE8">
            <w:pPr>
              <w:adjustRightInd w:val="0"/>
              <w:snapToGrid w:val="0"/>
              <w:jc w:val="center"/>
              <w:rPr>
                <w:color w:val="auto"/>
                <w:sz w:val="24"/>
              </w:rPr>
            </w:pPr>
            <w:r>
              <w:rPr>
                <w:color w:val="auto"/>
                <w:sz w:val="24"/>
              </w:rPr>
              <w:t>规格型号</w:t>
            </w:r>
          </w:p>
        </w:tc>
        <w:tc>
          <w:tcPr>
            <w:tcW w:w="805" w:type="dxa"/>
            <w:noWrap w:val="0"/>
            <w:vAlign w:val="center"/>
          </w:tcPr>
          <w:p w14:paraId="720E8F02">
            <w:pPr>
              <w:adjustRightInd w:val="0"/>
              <w:snapToGrid w:val="0"/>
              <w:jc w:val="center"/>
              <w:rPr>
                <w:color w:val="auto"/>
                <w:sz w:val="24"/>
              </w:rPr>
            </w:pPr>
            <w:r>
              <w:rPr>
                <w:color w:val="auto"/>
                <w:sz w:val="24"/>
              </w:rPr>
              <w:t>数量</w:t>
            </w:r>
          </w:p>
        </w:tc>
        <w:tc>
          <w:tcPr>
            <w:tcW w:w="1653" w:type="dxa"/>
            <w:noWrap w:val="0"/>
            <w:vAlign w:val="center"/>
          </w:tcPr>
          <w:p w14:paraId="7B7EDC89">
            <w:pPr>
              <w:adjustRightInd w:val="0"/>
              <w:snapToGrid w:val="0"/>
              <w:jc w:val="center"/>
              <w:rPr>
                <w:color w:val="auto"/>
                <w:sz w:val="24"/>
              </w:rPr>
            </w:pPr>
            <w:r>
              <w:rPr>
                <w:color w:val="auto"/>
                <w:sz w:val="24"/>
              </w:rPr>
              <w:t>制造商</w:t>
            </w:r>
            <w:r>
              <w:rPr>
                <w:rFonts w:hint="eastAsia"/>
                <w:color w:val="auto"/>
                <w:sz w:val="24"/>
              </w:rPr>
              <w:t>名称</w:t>
            </w:r>
          </w:p>
        </w:tc>
        <w:tc>
          <w:tcPr>
            <w:tcW w:w="912" w:type="dxa"/>
            <w:noWrap w:val="0"/>
            <w:vAlign w:val="center"/>
          </w:tcPr>
          <w:p w14:paraId="02F86DED">
            <w:pPr>
              <w:adjustRightInd w:val="0"/>
              <w:snapToGrid w:val="0"/>
              <w:jc w:val="center"/>
              <w:rPr>
                <w:color w:val="auto"/>
                <w:sz w:val="24"/>
              </w:rPr>
            </w:pPr>
            <w:r>
              <w:rPr>
                <w:color w:val="auto"/>
                <w:sz w:val="24"/>
              </w:rPr>
              <w:t>单价</w:t>
            </w:r>
          </w:p>
        </w:tc>
        <w:tc>
          <w:tcPr>
            <w:tcW w:w="1136" w:type="dxa"/>
            <w:noWrap w:val="0"/>
            <w:vAlign w:val="center"/>
          </w:tcPr>
          <w:p w14:paraId="59A2944B">
            <w:pPr>
              <w:adjustRightInd w:val="0"/>
              <w:snapToGrid w:val="0"/>
              <w:jc w:val="center"/>
              <w:rPr>
                <w:color w:val="auto"/>
                <w:sz w:val="24"/>
              </w:rPr>
            </w:pPr>
            <w:r>
              <w:rPr>
                <w:color w:val="auto"/>
                <w:sz w:val="24"/>
              </w:rPr>
              <w:t>备注</w:t>
            </w:r>
          </w:p>
        </w:tc>
      </w:tr>
      <w:tr w14:paraId="0884F3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noWrap w:val="0"/>
            <w:vAlign w:val="center"/>
          </w:tcPr>
          <w:p w14:paraId="60C09575">
            <w:pPr>
              <w:adjustRightInd w:val="0"/>
              <w:snapToGrid w:val="0"/>
              <w:ind w:left="-118" w:leftChars="-42"/>
              <w:jc w:val="center"/>
              <w:rPr>
                <w:color w:val="auto"/>
                <w:sz w:val="24"/>
              </w:rPr>
            </w:pPr>
            <w:r>
              <w:rPr>
                <w:color w:val="auto"/>
                <w:sz w:val="24"/>
              </w:rPr>
              <w:t>1</w:t>
            </w:r>
          </w:p>
        </w:tc>
        <w:tc>
          <w:tcPr>
            <w:tcW w:w="1868" w:type="dxa"/>
            <w:noWrap w:val="0"/>
            <w:vAlign w:val="center"/>
          </w:tcPr>
          <w:p w14:paraId="7C42376B">
            <w:pPr>
              <w:adjustRightInd w:val="0"/>
              <w:snapToGrid w:val="0"/>
              <w:ind w:left="-118" w:leftChars="-42"/>
              <w:jc w:val="center"/>
              <w:rPr>
                <w:color w:val="auto"/>
                <w:sz w:val="24"/>
              </w:rPr>
            </w:pPr>
          </w:p>
        </w:tc>
        <w:tc>
          <w:tcPr>
            <w:tcW w:w="1236" w:type="dxa"/>
            <w:noWrap w:val="0"/>
            <w:vAlign w:val="center"/>
          </w:tcPr>
          <w:p w14:paraId="02A8AF8A">
            <w:pPr>
              <w:adjustRightInd w:val="0"/>
              <w:snapToGrid w:val="0"/>
              <w:jc w:val="center"/>
              <w:rPr>
                <w:color w:val="auto"/>
                <w:sz w:val="24"/>
              </w:rPr>
            </w:pPr>
          </w:p>
        </w:tc>
        <w:tc>
          <w:tcPr>
            <w:tcW w:w="805" w:type="dxa"/>
            <w:noWrap w:val="0"/>
            <w:vAlign w:val="center"/>
          </w:tcPr>
          <w:p w14:paraId="24819DBC">
            <w:pPr>
              <w:adjustRightInd w:val="0"/>
              <w:snapToGrid w:val="0"/>
              <w:jc w:val="center"/>
              <w:rPr>
                <w:color w:val="auto"/>
                <w:sz w:val="24"/>
              </w:rPr>
            </w:pPr>
          </w:p>
        </w:tc>
        <w:tc>
          <w:tcPr>
            <w:tcW w:w="1653" w:type="dxa"/>
            <w:noWrap w:val="0"/>
            <w:vAlign w:val="center"/>
          </w:tcPr>
          <w:p w14:paraId="2555AD40">
            <w:pPr>
              <w:adjustRightInd w:val="0"/>
              <w:snapToGrid w:val="0"/>
              <w:jc w:val="center"/>
              <w:rPr>
                <w:color w:val="auto"/>
                <w:sz w:val="24"/>
              </w:rPr>
            </w:pPr>
          </w:p>
        </w:tc>
        <w:tc>
          <w:tcPr>
            <w:tcW w:w="912" w:type="dxa"/>
            <w:noWrap w:val="0"/>
            <w:vAlign w:val="center"/>
          </w:tcPr>
          <w:p w14:paraId="03E181A0">
            <w:pPr>
              <w:adjustRightInd w:val="0"/>
              <w:snapToGrid w:val="0"/>
              <w:jc w:val="center"/>
              <w:rPr>
                <w:color w:val="auto"/>
                <w:sz w:val="24"/>
              </w:rPr>
            </w:pPr>
          </w:p>
        </w:tc>
        <w:tc>
          <w:tcPr>
            <w:tcW w:w="1136" w:type="dxa"/>
            <w:noWrap w:val="0"/>
            <w:vAlign w:val="center"/>
          </w:tcPr>
          <w:p w14:paraId="4C177D22">
            <w:pPr>
              <w:adjustRightInd w:val="0"/>
              <w:snapToGrid w:val="0"/>
              <w:jc w:val="center"/>
              <w:rPr>
                <w:color w:val="auto"/>
                <w:sz w:val="24"/>
              </w:rPr>
            </w:pPr>
          </w:p>
        </w:tc>
      </w:tr>
      <w:tr w14:paraId="6F7219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noWrap w:val="0"/>
            <w:vAlign w:val="center"/>
          </w:tcPr>
          <w:p w14:paraId="17B79E9B">
            <w:pPr>
              <w:adjustRightInd w:val="0"/>
              <w:snapToGrid w:val="0"/>
              <w:ind w:left="-118" w:leftChars="-42"/>
              <w:jc w:val="center"/>
              <w:rPr>
                <w:color w:val="auto"/>
                <w:sz w:val="24"/>
              </w:rPr>
            </w:pPr>
            <w:r>
              <w:rPr>
                <w:color w:val="auto"/>
                <w:sz w:val="24"/>
              </w:rPr>
              <w:t>2</w:t>
            </w:r>
          </w:p>
        </w:tc>
        <w:tc>
          <w:tcPr>
            <w:tcW w:w="1868" w:type="dxa"/>
            <w:noWrap w:val="0"/>
            <w:vAlign w:val="center"/>
          </w:tcPr>
          <w:p w14:paraId="661E86F6">
            <w:pPr>
              <w:adjustRightInd w:val="0"/>
              <w:snapToGrid w:val="0"/>
              <w:ind w:left="-118" w:leftChars="-42"/>
              <w:jc w:val="center"/>
              <w:rPr>
                <w:color w:val="auto"/>
                <w:sz w:val="24"/>
              </w:rPr>
            </w:pPr>
            <w:r>
              <w:rPr>
                <w:color w:val="auto"/>
                <w:sz w:val="24"/>
              </w:rPr>
              <w:t>…</w:t>
            </w:r>
          </w:p>
        </w:tc>
        <w:tc>
          <w:tcPr>
            <w:tcW w:w="1236" w:type="dxa"/>
            <w:noWrap w:val="0"/>
            <w:vAlign w:val="center"/>
          </w:tcPr>
          <w:p w14:paraId="3F610164">
            <w:pPr>
              <w:adjustRightInd w:val="0"/>
              <w:snapToGrid w:val="0"/>
              <w:jc w:val="center"/>
              <w:rPr>
                <w:color w:val="auto"/>
                <w:sz w:val="24"/>
              </w:rPr>
            </w:pPr>
          </w:p>
        </w:tc>
        <w:tc>
          <w:tcPr>
            <w:tcW w:w="805" w:type="dxa"/>
            <w:noWrap w:val="0"/>
            <w:vAlign w:val="center"/>
          </w:tcPr>
          <w:p w14:paraId="2F924C58">
            <w:pPr>
              <w:adjustRightInd w:val="0"/>
              <w:snapToGrid w:val="0"/>
              <w:jc w:val="center"/>
              <w:rPr>
                <w:color w:val="auto"/>
                <w:sz w:val="24"/>
              </w:rPr>
            </w:pPr>
          </w:p>
        </w:tc>
        <w:tc>
          <w:tcPr>
            <w:tcW w:w="1653" w:type="dxa"/>
            <w:noWrap w:val="0"/>
            <w:vAlign w:val="center"/>
          </w:tcPr>
          <w:p w14:paraId="51B19F50">
            <w:pPr>
              <w:adjustRightInd w:val="0"/>
              <w:snapToGrid w:val="0"/>
              <w:jc w:val="center"/>
              <w:rPr>
                <w:color w:val="auto"/>
                <w:sz w:val="24"/>
              </w:rPr>
            </w:pPr>
          </w:p>
        </w:tc>
        <w:tc>
          <w:tcPr>
            <w:tcW w:w="912" w:type="dxa"/>
            <w:noWrap w:val="0"/>
            <w:vAlign w:val="center"/>
          </w:tcPr>
          <w:p w14:paraId="78D561BD">
            <w:pPr>
              <w:adjustRightInd w:val="0"/>
              <w:snapToGrid w:val="0"/>
              <w:jc w:val="center"/>
              <w:rPr>
                <w:color w:val="auto"/>
                <w:sz w:val="24"/>
              </w:rPr>
            </w:pPr>
          </w:p>
        </w:tc>
        <w:tc>
          <w:tcPr>
            <w:tcW w:w="1136" w:type="dxa"/>
            <w:noWrap w:val="0"/>
            <w:vAlign w:val="center"/>
          </w:tcPr>
          <w:p w14:paraId="64C71334">
            <w:pPr>
              <w:adjustRightInd w:val="0"/>
              <w:snapToGrid w:val="0"/>
              <w:jc w:val="center"/>
              <w:rPr>
                <w:color w:val="auto"/>
                <w:sz w:val="24"/>
              </w:rPr>
            </w:pPr>
          </w:p>
        </w:tc>
      </w:tr>
      <w:tr w14:paraId="5BC379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5DC0AD7D">
            <w:pPr>
              <w:adjustRightInd w:val="0"/>
              <w:snapToGrid w:val="0"/>
              <w:ind w:left="-118" w:leftChars="-42"/>
              <w:jc w:val="center"/>
              <w:rPr>
                <w:color w:val="auto"/>
                <w:sz w:val="24"/>
              </w:rPr>
            </w:pPr>
            <w:r>
              <w:rPr>
                <w:color w:val="auto"/>
                <w:sz w:val="24"/>
              </w:rPr>
              <w:t>3</w:t>
            </w:r>
          </w:p>
        </w:tc>
        <w:tc>
          <w:tcPr>
            <w:tcW w:w="1868" w:type="dxa"/>
            <w:noWrap w:val="0"/>
            <w:vAlign w:val="center"/>
          </w:tcPr>
          <w:p w14:paraId="0B2C0D06">
            <w:pPr>
              <w:adjustRightInd w:val="0"/>
              <w:snapToGrid w:val="0"/>
              <w:ind w:left="-118" w:leftChars="-42"/>
              <w:jc w:val="center"/>
              <w:rPr>
                <w:color w:val="auto"/>
                <w:sz w:val="24"/>
              </w:rPr>
            </w:pPr>
          </w:p>
        </w:tc>
        <w:tc>
          <w:tcPr>
            <w:tcW w:w="1236" w:type="dxa"/>
            <w:noWrap w:val="0"/>
            <w:vAlign w:val="center"/>
          </w:tcPr>
          <w:p w14:paraId="3BB89BFC">
            <w:pPr>
              <w:adjustRightInd w:val="0"/>
              <w:snapToGrid w:val="0"/>
              <w:jc w:val="center"/>
              <w:rPr>
                <w:color w:val="auto"/>
                <w:sz w:val="24"/>
              </w:rPr>
            </w:pPr>
          </w:p>
        </w:tc>
        <w:tc>
          <w:tcPr>
            <w:tcW w:w="805" w:type="dxa"/>
            <w:noWrap w:val="0"/>
            <w:vAlign w:val="center"/>
          </w:tcPr>
          <w:p w14:paraId="6D7C8CC1">
            <w:pPr>
              <w:adjustRightInd w:val="0"/>
              <w:snapToGrid w:val="0"/>
              <w:jc w:val="center"/>
              <w:rPr>
                <w:color w:val="auto"/>
                <w:sz w:val="24"/>
              </w:rPr>
            </w:pPr>
          </w:p>
        </w:tc>
        <w:tc>
          <w:tcPr>
            <w:tcW w:w="1653" w:type="dxa"/>
            <w:noWrap w:val="0"/>
            <w:vAlign w:val="center"/>
          </w:tcPr>
          <w:p w14:paraId="6A219FB9">
            <w:pPr>
              <w:adjustRightInd w:val="0"/>
              <w:snapToGrid w:val="0"/>
              <w:jc w:val="center"/>
              <w:rPr>
                <w:color w:val="auto"/>
                <w:sz w:val="24"/>
              </w:rPr>
            </w:pPr>
          </w:p>
        </w:tc>
        <w:tc>
          <w:tcPr>
            <w:tcW w:w="912" w:type="dxa"/>
            <w:noWrap w:val="0"/>
            <w:vAlign w:val="center"/>
          </w:tcPr>
          <w:p w14:paraId="3B5BBC20">
            <w:pPr>
              <w:adjustRightInd w:val="0"/>
              <w:snapToGrid w:val="0"/>
              <w:jc w:val="center"/>
              <w:rPr>
                <w:color w:val="auto"/>
                <w:sz w:val="24"/>
              </w:rPr>
            </w:pPr>
          </w:p>
        </w:tc>
        <w:tc>
          <w:tcPr>
            <w:tcW w:w="1136" w:type="dxa"/>
            <w:noWrap w:val="0"/>
            <w:vAlign w:val="center"/>
          </w:tcPr>
          <w:p w14:paraId="15026ECB">
            <w:pPr>
              <w:adjustRightInd w:val="0"/>
              <w:snapToGrid w:val="0"/>
              <w:jc w:val="center"/>
              <w:rPr>
                <w:color w:val="auto"/>
                <w:sz w:val="24"/>
              </w:rPr>
            </w:pPr>
          </w:p>
        </w:tc>
      </w:tr>
      <w:tr w14:paraId="096012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0F598CFA">
            <w:pPr>
              <w:adjustRightInd w:val="0"/>
              <w:snapToGrid w:val="0"/>
              <w:ind w:left="-118" w:leftChars="-42"/>
              <w:jc w:val="center"/>
              <w:rPr>
                <w:color w:val="auto"/>
                <w:sz w:val="24"/>
              </w:rPr>
            </w:pPr>
            <w:r>
              <w:rPr>
                <w:color w:val="auto"/>
                <w:sz w:val="24"/>
              </w:rPr>
              <w:t>4</w:t>
            </w:r>
          </w:p>
        </w:tc>
        <w:tc>
          <w:tcPr>
            <w:tcW w:w="1868" w:type="dxa"/>
            <w:noWrap w:val="0"/>
            <w:vAlign w:val="center"/>
          </w:tcPr>
          <w:p w14:paraId="31341F83">
            <w:pPr>
              <w:adjustRightInd w:val="0"/>
              <w:snapToGrid w:val="0"/>
              <w:ind w:left="-118" w:leftChars="-42"/>
              <w:jc w:val="center"/>
              <w:rPr>
                <w:color w:val="auto"/>
                <w:sz w:val="24"/>
              </w:rPr>
            </w:pPr>
          </w:p>
        </w:tc>
        <w:tc>
          <w:tcPr>
            <w:tcW w:w="1236" w:type="dxa"/>
            <w:noWrap w:val="0"/>
            <w:vAlign w:val="center"/>
          </w:tcPr>
          <w:p w14:paraId="2582169B">
            <w:pPr>
              <w:adjustRightInd w:val="0"/>
              <w:snapToGrid w:val="0"/>
              <w:jc w:val="center"/>
              <w:rPr>
                <w:color w:val="auto"/>
                <w:sz w:val="24"/>
              </w:rPr>
            </w:pPr>
          </w:p>
        </w:tc>
        <w:tc>
          <w:tcPr>
            <w:tcW w:w="805" w:type="dxa"/>
            <w:noWrap w:val="0"/>
            <w:vAlign w:val="center"/>
          </w:tcPr>
          <w:p w14:paraId="1C43E215">
            <w:pPr>
              <w:adjustRightInd w:val="0"/>
              <w:snapToGrid w:val="0"/>
              <w:jc w:val="center"/>
              <w:rPr>
                <w:color w:val="auto"/>
                <w:sz w:val="24"/>
              </w:rPr>
            </w:pPr>
          </w:p>
        </w:tc>
        <w:tc>
          <w:tcPr>
            <w:tcW w:w="1653" w:type="dxa"/>
            <w:noWrap w:val="0"/>
            <w:vAlign w:val="center"/>
          </w:tcPr>
          <w:p w14:paraId="0C935E60">
            <w:pPr>
              <w:adjustRightInd w:val="0"/>
              <w:snapToGrid w:val="0"/>
              <w:jc w:val="center"/>
              <w:rPr>
                <w:color w:val="auto"/>
                <w:sz w:val="24"/>
              </w:rPr>
            </w:pPr>
          </w:p>
        </w:tc>
        <w:tc>
          <w:tcPr>
            <w:tcW w:w="912" w:type="dxa"/>
            <w:noWrap w:val="0"/>
            <w:vAlign w:val="center"/>
          </w:tcPr>
          <w:p w14:paraId="414EF58B">
            <w:pPr>
              <w:adjustRightInd w:val="0"/>
              <w:snapToGrid w:val="0"/>
              <w:jc w:val="center"/>
              <w:rPr>
                <w:color w:val="auto"/>
                <w:sz w:val="24"/>
              </w:rPr>
            </w:pPr>
          </w:p>
        </w:tc>
        <w:tc>
          <w:tcPr>
            <w:tcW w:w="1136" w:type="dxa"/>
            <w:noWrap w:val="0"/>
            <w:vAlign w:val="center"/>
          </w:tcPr>
          <w:p w14:paraId="2CE910AB">
            <w:pPr>
              <w:adjustRightInd w:val="0"/>
              <w:snapToGrid w:val="0"/>
              <w:jc w:val="center"/>
              <w:rPr>
                <w:color w:val="auto"/>
                <w:sz w:val="24"/>
              </w:rPr>
            </w:pPr>
          </w:p>
        </w:tc>
      </w:tr>
      <w:tr w14:paraId="4E77ED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3F1590F4">
            <w:pPr>
              <w:adjustRightInd w:val="0"/>
              <w:snapToGrid w:val="0"/>
              <w:ind w:left="-118" w:leftChars="-42"/>
              <w:jc w:val="center"/>
              <w:rPr>
                <w:color w:val="auto"/>
                <w:sz w:val="24"/>
              </w:rPr>
            </w:pPr>
            <w:r>
              <w:rPr>
                <w:color w:val="auto"/>
                <w:sz w:val="24"/>
              </w:rPr>
              <w:t>5</w:t>
            </w:r>
          </w:p>
        </w:tc>
        <w:tc>
          <w:tcPr>
            <w:tcW w:w="1868" w:type="dxa"/>
            <w:noWrap w:val="0"/>
            <w:vAlign w:val="center"/>
          </w:tcPr>
          <w:p w14:paraId="2A41DE29">
            <w:pPr>
              <w:adjustRightInd w:val="0"/>
              <w:snapToGrid w:val="0"/>
              <w:ind w:left="-118" w:leftChars="-42"/>
              <w:jc w:val="center"/>
              <w:rPr>
                <w:color w:val="auto"/>
                <w:sz w:val="24"/>
              </w:rPr>
            </w:pPr>
            <w:r>
              <w:rPr>
                <w:color w:val="auto"/>
                <w:sz w:val="24"/>
              </w:rPr>
              <w:t>…</w:t>
            </w:r>
          </w:p>
        </w:tc>
        <w:tc>
          <w:tcPr>
            <w:tcW w:w="1236" w:type="dxa"/>
            <w:noWrap w:val="0"/>
            <w:vAlign w:val="center"/>
          </w:tcPr>
          <w:p w14:paraId="4C14A02A">
            <w:pPr>
              <w:adjustRightInd w:val="0"/>
              <w:snapToGrid w:val="0"/>
              <w:jc w:val="center"/>
              <w:rPr>
                <w:color w:val="auto"/>
                <w:sz w:val="24"/>
              </w:rPr>
            </w:pPr>
          </w:p>
        </w:tc>
        <w:tc>
          <w:tcPr>
            <w:tcW w:w="805" w:type="dxa"/>
            <w:noWrap w:val="0"/>
            <w:vAlign w:val="center"/>
          </w:tcPr>
          <w:p w14:paraId="51823372">
            <w:pPr>
              <w:adjustRightInd w:val="0"/>
              <w:snapToGrid w:val="0"/>
              <w:jc w:val="center"/>
              <w:rPr>
                <w:color w:val="auto"/>
                <w:sz w:val="24"/>
              </w:rPr>
            </w:pPr>
          </w:p>
        </w:tc>
        <w:tc>
          <w:tcPr>
            <w:tcW w:w="1653" w:type="dxa"/>
            <w:noWrap w:val="0"/>
            <w:vAlign w:val="center"/>
          </w:tcPr>
          <w:p w14:paraId="6CD6C667">
            <w:pPr>
              <w:adjustRightInd w:val="0"/>
              <w:snapToGrid w:val="0"/>
              <w:jc w:val="center"/>
              <w:rPr>
                <w:color w:val="auto"/>
                <w:sz w:val="24"/>
              </w:rPr>
            </w:pPr>
          </w:p>
        </w:tc>
        <w:tc>
          <w:tcPr>
            <w:tcW w:w="912" w:type="dxa"/>
            <w:noWrap w:val="0"/>
            <w:vAlign w:val="center"/>
          </w:tcPr>
          <w:p w14:paraId="6BBB6DEF">
            <w:pPr>
              <w:adjustRightInd w:val="0"/>
              <w:snapToGrid w:val="0"/>
              <w:jc w:val="center"/>
              <w:rPr>
                <w:color w:val="auto"/>
                <w:sz w:val="24"/>
              </w:rPr>
            </w:pPr>
          </w:p>
        </w:tc>
        <w:tc>
          <w:tcPr>
            <w:tcW w:w="1136" w:type="dxa"/>
            <w:noWrap w:val="0"/>
            <w:vAlign w:val="center"/>
          </w:tcPr>
          <w:p w14:paraId="1411B404">
            <w:pPr>
              <w:adjustRightInd w:val="0"/>
              <w:snapToGrid w:val="0"/>
              <w:jc w:val="center"/>
              <w:rPr>
                <w:color w:val="auto"/>
                <w:sz w:val="24"/>
              </w:rPr>
            </w:pPr>
          </w:p>
        </w:tc>
      </w:tr>
      <w:tr w14:paraId="652EA5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0318BC49">
            <w:pPr>
              <w:adjustRightInd w:val="0"/>
              <w:snapToGrid w:val="0"/>
              <w:ind w:left="-118" w:leftChars="-42"/>
              <w:jc w:val="center"/>
              <w:rPr>
                <w:color w:val="auto"/>
                <w:sz w:val="24"/>
              </w:rPr>
            </w:pPr>
            <w:r>
              <w:rPr>
                <w:color w:val="auto"/>
                <w:sz w:val="24"/>
              </w:rPr>
              <w:t>6</w:t>
            </w:r>
          </w:p>
        </w:tc>
        <w:tc>
          <w:tcPr>
            <w:tcW w:w="1868" w:type="dxa"/>
            <w:noWrap w:val="0"/>
            <w:vAlign w:val="center"/>
          </w:tcPr>
          <w:p w14:paraId="25F91519">
            <w:pPr>
              <w:adjustRightInd w:val="0"/>
              <w:snapToGrid w:val="0"/>
              <w:ind w:left="-118" w:leftChars="-42"/>
              <w:jc w:val="center"/>
              <w:rPr>
                <w:color w:val="auto"/>
                <w:sz w:val="24"/>
              </w:rPr>
            </w:pPr>
            <w:r>
              <w:rPr>
                <w:color w:val="auto"/>
                <w:sz w:val="24"/>
              </w:rPr>
              <w:t>其它</w:t>
            </w:r>
          </w:p>
        </w:tc>
        <w:tc>
          <w:tcPr>
            <w:tcW w:w="1236" w:type="dxa"/>
            <w:noWrap w:val="0"/>
            <w:vAlign w:val="center"/>
          </w:tcPr>
          <w:p w14:paraId="1AD0F7B3">
            <w:pPr>
              <w:adjustRightInd w:val="0"/>
              <w:snapToGrid w:val="0"/>
              <w:jc w:val="center"/>
              <w:rPr>
                <w:color w:val="auto"/>
                <w:sz w:val="24"/>
              </w:rPr>
            </w:pPr>
          </w:p>
        </w:tc>
        <w:tc>
          <w:tcPr>
            <w:tcW w:w="805" w:type="dxa"/>
            <w:noWrap w:val="0"/>
            <w:vAlign w:val="center"/>
          </w:tcPr>
          <w:p w14:paraId="5110C5A8">
            <w:pPr>
              <w:adjustRightInd w:val="0"/>
              <w:snapToGrid w:val="0"/>
              <w:jc w:val="center"/>
              <w:rPr>
                <w:color w:val="auto"/>
                <w:sz w:val="24"/>
              </w:rPr>
            </w:pPr>
          </w:p>
        </w:tc>
        <w:tc>
          <w:tcPr>
            <w:tcW w:w="1653" w:type="dxa"/>
            <w:noWrap w:val="0"/>
            <w:vAlign w:val="center"/>
          </w:tcPr>
          <w:p w14:paraId="6A3F7791">
            <w:pPr>
              <w:adjustRightInd w:val="0"/>
              <w:snapToGrid w:val="0"/>
              <w:jc w:val="center"/>
              <w:rPr>
                <w:color w:val="auto"/>
                <w:sz w:val="24"/>
              </w:rPr>
            </w:pPr>
          </w:p>
        </w:tc>
        <w:tc>
          <w:tcPr>
            <w:tcW w:w="912" w:type="dxa"/>
            <w:noWrap w:val="0"/>
            <w:vAlign w:val="center"/>
          </w:tcPr>
          <w:p w14:paraId="2DCC28EF">
            <w:pPr>
              <w:adjustRightInd w:val="0"/>
              <w:snapToGrid w:val="0"/>
              <w:jc w:val="center"/>
              <w:rPr>
                <w:color w:val="auto"/>
                <w:sz w:val="24"/>
              </w:rPr>
            </w:pPr>
          </w:p>
        </w:tc>
        <w:tc>
          <w:tcPr>
            <w:tcW w:w="1136" w:type="dxa"/>
            <w:noWrap w:val="0"/>
            <w:vAlign w:val="center"/>
          </w:tcPr>
          <w:p w14:paraId="6BF937E4">
            <w:pPr>
              <w:adjustRightInd w:val="0"/>
              <w:snapToGrid w:val="0"/>
              <w:jc w:val="center"/>
              <w:rPr>
                <w:color w:val="auto"/>
                <w:sz w:val="24"/>
              </w:rPr>
            </w:pPr>
          </w:p>
        </w:tc>
      </w:tr>
      <w:tr w14:paraId="1CBCA7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noWrap w:val="0"/>
            <w:vAlign w:val="center"/>
          </w:tcPr>
          <w:p w14:paraId="342BB664">
            <w:pPr>
              <w:adjustRightInd w:val="0"/>
              <w:snapToGrid w:val="0"/>
              <w:jc w:val="center"/>
              <w:rPr>
                <w:color w:val="auto"/>
                <w:sz w:val="24"/>
              </w:rPr>
            </w:pPr>
            <w:r>
              <w:rPr>
                <w:color w:val="auto"/>
                <w:sz w:val="24"/>
              </w:rPr>
              <w:t>总计</w:t>
            </w:r>
          </w:p>
        </w:tc>
        <w:tc>
          <w:tcPr>
            <w:tcW w:w="2048" w:type="dxa"/>
            <w:gridSpan w:val="2"/>
            <w:noWrap w:val="0"/>
            <w:vAlign w:val="center"/>
          </w:tcPr>
          <w:p w14:paraId="2A99FD15">
            <w:pPr>
              <w:adjustRightInd w:val="0"/>
              <w:snapToGrid w:val="0"/>
              <w:jc w:val="center"/>
              <w:rPr>
                <w:color w:val="auto"/>
                <w:sz w:val="24"/>
              </w:rPr>
            </w:pPr>
          </w:p>
        </w:tc>
      </w:tr>
    </w:tbl>
    <w:p w14:paraId="1732575F">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3739DF5C">
      <w:pPr>
        <w:pStyle w:val="18"/>
        <w:spacing w:line="500" w:lineRule="exact"/>
        <w:rPr>
          <w:rFonts w:ascii="Times New Roman" w:hAnsi="Times New Roman" w:cs="Times New Roman"/>
          <w:color w:val="auto"/>
          <w:sz w:val="24"/>
          <w:szCs w:val="24"/>
        </w:rPr>
      </w:pPr>
    </w:p>
    <w:p w14:paraId="5529F48D">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1EF8F79A">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320A4FD4">
      <w:pPr>
        <w:spacing w:line="480" w:lineRule="auto"/>
        <w:rPr>
          <w:color w:val="auto"/>
        </w:rPr>
      </w:pPr>
      <w:r>
        <w:rPr>
          <w:color w:val="auto"/>
          <w:sz w:val="24"/>
        </w:rPr>
        <w:t>时间：</w:t>
      </w:r>
    </w:p>
    <w:p w14:paraId="651AE289">
      <w:pPr>
        <w:pStyle w:val="18"/>
        <w:spacing w:line="440" w:lineRule="exact"/>
        <w:ind w:firstLine="840"/>
        <w:rPr>
          <w:rFonts w:ascii="Times New Roman" w:hAnsi="Times New Roman" w:eastAsia="仿宋_GB2312" w:cs="Times New Roman"/>
          <w:color w:val="auto"/>
        </w:rPr>
      </w:pPr>
    </w:p>
    <w:p w14:paraId="153B7AED">
      <w:pPr>
        <w:spacing w:line="480" w:lineRule="auto"/>
        <w:jc w:val="center"/>
        <w:rPr>
          <w:rFonts w:eastAsia="仿宋_GB2312"/>
          <w:color w:val="auto"/>
        </w:rPr>
      </w:pPr>
    </w:p>
    <w:p w14:paraId="385E0719">
      <w:pPr>
        <w:pStyle w:val="18"/>
        <w:spacing w:line="440" w:lineRule="exact"/>
        <w:ind w:firstLine="840"/>
        <w:rPr>
          <w:bCs/>
          <w:color w:val="auto"/>
          <w:sz w:val="24"/>
        </w:rPr>
      </w:pPr>
      <w:r>
        <w:rPr>
          <w:bCs/>
          <w:color w:val="auto"/>
          <w:sz w:val="24"/>
        </w:rPr>
        <w:br w:type="page"/>
      </w:r>
      <w:r>
        <w:rPr>
          <w:bCs/>
          <w:color w:val="auto"/>
          <w:sz w:val="24"/>
        </w:rPr>
        <w:t>附件3</w:t>
      </w:r>
    </w:p>
    <w:p w14:paraId="0815CE51">
      <w:pPr>
        <w:jc w:val="center"/>
        <w:rPr>
          <w:color w:val="auto"/>
          <w:sz w:val="32"/>
          <w:szCs w:val="32"/>
        </w:rPr>
      </w:pPr>
      <w:r>
        <w:rPr>
          <w:rFonts w:hint="eastAsia"/>
          <w:color w:val="auto"/>
          <w:sz w:val="32"/>
          <w:szCs w:val="32"/>
        </w:rPr>
        <w:t>货物（</w:t>
      </w:r>
      <w:r>
        <w:rPr>
          <w:color w:val="auto"/>
          <w:sz w:val="32"/>
          <w:szCs w:val="32"/>
        </w:rPr>
        <w:t>服务</w:t>
      </w:r>
      <w:r>
        <w:rPr>
          <w:rFonts w:hint="eastAsia"/>
          <w:color w:val="auto"/>
          <w:sz w:val="32"/>
          <w:szCs w:val="32"/>
        </w:rPr>
        <w:t>）</w:t>
      </w:r>
      <w:r>
        <w:rPr>
          <w:color w:val="auto"/>
          <w:sz w:val="32"/>
          <w:szCs w:val="32"/>
        </w:rPr>
        <w:t>清单</w:t>
      </w:r>
    </w:p>
    <w:p w14:paraId="7DAE2D3F">
      <w:pPr>
        <w:spacing w:line="240" w:lineRule="atLeast"/>
        <w:rPr>
          <w:color w:val="auto"/>
          <w:sz w:val="24"/>
        </w:rPr>
      </w:pPr>
    </w:p>
    <w:p w14:paraId="0B55A61D">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5E9C3D7">
      <w:pPr>
        <w:rPr>
          <w:b/>
          <w:bCs/>
          <w:color w:val="auto"/>
          <w:sz w:val="32"/>
          <w:szCs w:val="32"/>
        </w:rPr>
      </w:pPr>
      <w:r>
        <w:rPr>
          <w:color w:val="auto"/>
          <w:sz w:val="24"/>
        </w:rPr>
        <w:t>项目名称：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7B16B5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7863FAD8">
            <w:pPr>
              <w:adjustRightInd w:val="0"/>
              <w:snapToGrid w:val="0"/>
              <w:ind w:left="-118" w:leftChars="-42"/>
              <w:jc w:val="center"/>
              <w:rPr>
                <w:color w:val="auto"/>
                <w:sz w:val="24"/>
              </w:rPr>
            </w:pPr>
            <w:r>
              <w:rPr>
                <w:color w:val="auto"/>
                <w:sz w:val="24"/>
              </w:rPr>
              <w:t>序号</w:t>
            </w:r>
          </w:p>
        </w:tc>
        <w:tc>
          <w:tcPr>
            <w:tcW w:w="2187" w:type="dxa"/>
            <w:noWrap w:val="0"/>
            <w:vAlign w:val="center"/>
          </w:tcPr>
          <w:p w14:paraId="74BAF93E">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noWrap w:val="0"/>
            <w:vAlign w:val="center"/>
          </w:tcPr>
          <w:p w14:paraId="0D62AE59">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noWrap w:val="0"/>
            <w:vAlign w:val="center"/>
          </w:tcPr>
          <w:p w14:paraId="6A665B0F">
            <w:pPr>
              <w:adjustRightInd w:val="0"/>
              <w:snapToGrid w:val="0"/>
              <w:jc w:val="center"/>
              <w:rPr>
                <w:color w:val="auto"/>
                <w:sz w:val="24"/>
              </w:rPr>
            </w:pPr>
            <w:r>
              <w:rPr>
                <w:color w:val="auto"/>
                <w:sz w:val="24"/>
              </w:rPr>
              <w:t>生产地</w:t>
            </w:r>
          </w:p>
        </w:tc>
        <w:tc>
          <w:tcPr>
            <w:tcW w:w="1701" w:type="dxa"/>
            <w:noWrap w:val="0"/>
            <w:vAlign w:val="center"/>
          </w:tcPr>
          <w:p w14:paraId="545CA1C0">
            <w:pPr>
              <w:adjustRightInd w:val="0"/>
              <w:snapToGrid w:val="0"/>
              <w:jc w:val="center"/>
              <w:rPr>
                <w:color w:val="auto"/>
                <w:sz w:val="24"/>
              </w:rPr>
            </w:pPr>
            <w:r>
              <w:rPr>
                <w:color w:val="auto"/>
                <w:sz w:val="24"/>
              </w:rPr>
              <w:t>规格型号</w:t>
            </w:r>
          </w:p>
        </w:tc>
        <w:tc>
          <w:tcPr>
            <w:tcW w:w="1134" w:type="dxa"/>
            <w:noWrap w:val="0"/>
            <w:vAlign w:val="center"/>
          </w:tcPr>
          <w:p w14:paraId="06C0F73A">
            <w:pPr>
              <w:adjustRightInd w:val="0"/>
              <w:snapToGrid w:val="0"/>
              <w:jc w:val="center"/>
              <w:rPr>
                <w:color w:val="auto"/>
                <w:sz w:val="24"/>
              </w:rPr>
            </w:pPr>
            <w:r>
              <w:rPr>
                <w:color w:val="auto"/>
                <w:sz w:val="24"/>
              </w:rPr>
              <w:t>数量</w:t>
            </w:r>
          </w:p>
        </w:tc>
      </w:tr>
      <w:tr w14:paraId="7D67FD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7C7FD972">
            <w:pPr>
              <w:adjustRightInd w:val="0"/>
              <w:snapToGrid w:val="0"/>
              <w:ind w:left="-118" w:leftChars="-42"/>
              <w:jc w:val="center"/>
              <w:rPr>
                <w:color w:val="auto"/>
                <w:sz w:val="24"/>
              </w:rPr>
            </w:pPr>
            <w:r>
              <w:rPr>
                <w:color w:val="auto"/>
                <w:sz w:val="24"/>
              </w:rPr>
              <w:t>1</w:t>
            </w:r>
          </w:p>
        </w:tc>
        <w:tc>
          <w:tcPr>
            <w:tcW w:w="2187" w:type="dxa"/>
            <w:noWrap w:val="0"/>
            <w:vAlign w:val="center"/>
          </w:tcPr>
          <w:p w14:paraId="72818F8F">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0749B809">
            <w:pPr>
              <w:adjustRightInd w:val="0"/>
              <w:snapToGrid w:val="0"/>
              <w:jc w:val="center"/>
              <w:rPr>
                <w:color w:val="auto"/>
                <w:sz w:val="24"/>
              </w:rPr>
            </w:pPr>
          </w:p>
        </w:tc>
        <w:tc>
          <w:tcPr>
            <w:tcW w:w="1560" w:type="dxa"/>
            <w:tcBorders>
              <w:left w:val="single" w:color="auto" w:sz="4" w:space="0"/>
            </w:tcBorders>
            <w:noWrap w:val="0"/>
            <w:vAlign w:val="center"/>
          </w:tcPr>
          <w:p w14:paraId="6D36B4E9">
            <w:pPr>
              <w:adjustRightInd w:val="0"/>
              <w:snapToGrid w:val="0"/>
              <w:jc w:val="center"/>
              <w:rPr>
                <w:color w:val="auto"/>
                <w:sz w:val="24"/>
              </w:rPr>
            </w:pPr>
          </w:p>
        </w:tc>
        <w:tc>
          <w:tcPr>
            <w:tcW w:w="1701" w:type="dxa"/>
            <w:noWrap w:val="0"/>
            <w:vAlign w:val="center"/>
          </w:tcPr>
          <w:p w14:paraId="01E100F3">
            <w:pPr>
              <w:adjustRightInd w:val="0"/>
              <w:snapToGrid w:val="0"/>
              <w:jc w:val="center"/>
              <w:rPr>
                <w:color w:val="auto"/>
                <w:sz w:val="24"/>
              </w:rPr>
            </w:pPr>
          </w:p>
        </w:tc>
        <w:tc>
          <w:tcPr>
            <w:tcW w:w="1134" w:type="dxa"/>
            <w:noWrap w:val="0"/>
            <w:vAlign w:val="center"/>
          </w:tcPr>
          <w:p w14:paraId="510F4DE9">
            <w:pPr>
              <w:adjustRightInd w:val="0"/>
              <w:snapToGrid w:val="0"/>
              <w:jc w:val="center"/>
              <w:rPr>
                <w:color w:val="auto"/>
                <w:sz w:val="24"/>
              </w:rPr>
            </w:pPr>
          </w:p>
        </w:tc>
      </w:tr>
      <w:tr w14:paraId="2A68C0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2D097302">
            <w:pPr>
              <w:adjustRightInd w:val="0"/>
              <w:snapToGrid w:val="0"/>
              <w:ind w:left="-118" w:leftChars="-42"/>
              <w:jc w:val="center"/>
              <w:rPr>
                <w:color w:val="auto"/>
                <w:sz w:val="24"/>
              </w:rPr>
            </w:pPr>
            <w:r>
              <w:rPr>
                <w:color w:val="auto"/>
                <w:sz w:val="24"/>
              </w:rPr>
              <w:t>2</w:t>
            </w:r>
          </w:p>
        </w:tc>
        <w:tc>
          <w:tcPr>
            <w:tcW w:w="2187" w:type="dxa"/>
            <w:noWrap w:val="0"/>
            <w:vAlign w:val="center"/>
          </w:tcPr>
          <w:p w14:paraId="13CB3AF3">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52F5C180">
            <w:pPr>
              <w:adjustRightInd w:val="0"/>
              <w:snapToGrid w:val="0"/>
              <w:jc w:val="center"/>
              <w:rPr>
                <w:color w:val="auto"/>
                <w:sz w:val="24"/>
              </w:rPr>
            </w:pPr>
          </w:p>
        </w:tc>
        <w:tc>
          <w:tcPr>
            <w:tcW w:w="1560" w:type="dxa"/>
            <w:tcBorders>
              <w:left w:val="single" w:color="auto" w:sz="4" w:space="0"/>
            </w:tcBorders>
            <w:noWrap w:val="0"/>
            <w:vAlign w:val="center"/>
          </w:tcPr>
          <w:p w14:paraId="35321051">
            <w:pPr>
              <w:adjustRightInd w:val="0"/>
              <w:snapToGrid w:val="0"/>
              <w:jc w:val="center"/>
              <w:rPr>
                <w:color w:val="auto"/>
                <w:sz w:val="24"/>
              </w:rPr>
            </w:pPr>
          </w:p>
        </w:tc>
        <w:tc>
          <w:tcPr>
            <w:tcW w:w="1701" w:type="dxa"/>
            <w:noWrap w:val="0"/>
            <w:vAlign w:val="center"/>
          </w:tcPr>
          <w:p w14:paraId="4936428E">
            <w:pPr>
              <w:adjustRightInd w:val="0"/>
              <w:snapToGrid w:val="0"/>
              <w:jc w:val="center"/>
              <w:rPr>
                <w:color w:val="auto"/>
                <w:sz w:val="24"/>
              </w:rPr>
            </w:pPr>
          </w:p>
        </w:tc>
        <w:tc>
          <w:tcPr>
            <w:tcW w:w="1134" w:type="dxa"/>
            <w:noWrap w:val="0"/>
            <w:vAlign w:val="center"/>
          </w:tcPr>
          <w:p w14:paraId="5101CB3C">
            <w:pPr>
              <w:adjustRightInd w:val="0"/>
              <w:snapToGrid w:val="0"/>
              <w:jc w:val="center"/>
              <w:rPr>
                <w:color w:val="auto"/>
                <w:sz w:val="24"/>
              </w:rPr>
            </w:pPr>
          </w:p>
        </w:tc>
      </w:tr>
      <w:tr w14:paraId="562DF1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7FC34582">
            <w:pPr>
              <w:adjustRightInd w:val="0"/>
              <w:snapToGrid w:val="0"/>
              <w:ind w:left="-118" w:leftChars="-42"/>
              <w:jc w:val="center"/>
              <w:rPr>
                <w:color w:val="auto"/>
                <w:sz w:val="24"/>
              </w:rPr>
            </w:pPr>
            <w:r>
              <w:rPr>
                <w:color w:val="auto"/>
                <w:sz w:val="24"/>
              </w:rPr>
              <w:t>3</w:t>
            </w:r>
          </w:p>
        </w:tc>
        <w:tc>
          <w:tcPr>
            <w:tcW w:w="2187" w:type="dxa"/>
            <w:noWrap w:val="0"/>
            <w:vAlign w:val="center"/>
          </w:tcPr>
          <w:p w14:paraId="132C938B">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193C5131">
            <w:pPr>
              <w:adjustRightInd w:val="0"/>
              <w:snapToGrid w:val="0"/>
              <w:jc w:val="center"/>
              <w:rPr>
                <w:color w:val="auto"/>
                <w:sz w:val="24"/>
              </w:rPr>
            </w:pPr>
          </w:p>
        </w:tc>
        <w:tc>
          <w:tcPr>
            <w:tcW w:w="1560" w:type="dxa"/>
            <w:tcBorders>
              <w:left w:val="single" w:color="auto" w:sz="4" w:space="0"/>
            </w:tcBorders>
            <w:noWrap w:val="0"/>
            <w:vAlign w:val="center"/>
          </w:tcPr>
          <w:p w14:paraId="045D7A55">
            <w:pPr>
              <w:adjustRightInd w:val="0"/>
              <w:snapToGrid w:val="0"/>
              <w:jc w:val="center"/>
              <w:rPr>
                <w:color w:val="auto"/>
                <w:sz w:val="24"/>
              </w:rPr>
            </w:pPr>
          </w:p>
        </w:tc>
        <w:tc>
          <w:tcPr>
            <w:tcW w:w="1701" w:type="dxa"/>
            <w:noWrap w:val="0"/>
            <w:vAlign w:val="center"/>
          </w:tcPr>
          <w:p w14:paraId="5A615380">
            <w:pPr>
              <w:adjustRightInd w:val="0"/>
              <w:snapToGrid w:val="0"/>
              <w:jc w:val="center"/>
              <w:rPr>
                <w:color w:val="auto"/>
                <w:sz w:val="24"/>
              </w:rPr>
            </w:pPr>
          </w:p>
        </w:tc>
        <w:tc>
          <w:tcPr>
            <w:tcW w:w="1134" w:type="dxa"/>
            <w:noWrap w:val="0"/>
            <w:vAlign w:val="center"/>
          </w:tcPr>
          <w:p w14:paraId="2E217DE9">
            <w:pPr>
              <w:adjustRightInd w:val="0"/>
              <w:snapToGrid w:val="0"/>
              <w:jc w:val="center"/>
              <w:rPr>
                <w:color w:val="auto"/>
                <w:sz w:val="24"/>
              </w:rPr>
            </w:pPr>
          </w:p>
        </w:tc>
      </w:tr>
      <w:tr w14:paraId="51A240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002C58E6">
            <w:pPr>
              <w:adjustRightInd w:val="0"/>
              <w:snapToGrid w:val="0"/>
              <w:ind w:left="-118" w:leftChars="-42"/>
              <w:jc w:val="center"/>
              <w:rPr>
                <w:color w:val="auto"/>
                <w:sz w:val="24"/>
              </w:rPr>
            </w:pPr>
            <w:r>
              <w:rPr>
                <w:color w:val="auto"/>
                <w:sz w:val="24"/>
              </w:rPr>
              <w:t>4</w:t>
            </w:r>
          </w:p>
        </w:tc>
        <w:tc>
          <w:tcPr>
            <w:tcW w:w="2187" w:type="dxa"/>
            <w:noWrap w:val="0"/>
            <w:vAlign w:val="center"/>
          </w:tcPr>
          <w:p w14:paraId="66AFB8AE">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5D87CFF1">
            <w:pPr>
              <w:adjustRightInd w:val="0"/>
              <w:snapToGrid w:val="0"/>
              <w:jc w:val="center"/>
              <w:rPr>
                <w:color w:val="auto"/>
                <w:sz w:val="24"/>
              </w:rPr>
            </w:pPr>
          </w:p>
        </w:tc>
        <w:tc>
          <w:tcPr>
            <w:tcW w:w="1560" w:type="dxa"/>
            <w:tcBorders>
              <w:left w:val="single" w:color="auto" w:sz="4" w:space="0"/>
            </w:tcBorders>
            <w:noWrap w:val="0"/>
            <w:vAlign w:val="center"/>
          </w:tcPr>
          <w:p w14:paraId="41EF5205">
            <w:pPr>
              <w:adjustRightInd w:val="0"/>
              <w:snapToGrid w:val="0"/>
              <w:jc w:val="center"/>
              <w:rPr>
                <w:color w:val="auto"/>
                <w:sz w:val="24"/>
              </w:rPr>
            </w:pPr>
          </w:p>
        </w:tc>
        <w:tc>
          <w:tcPr>
            <w:tcW w:w="1701" w:type="dxa"/>
            <w:noWrap w:val="0"/>
            <w:vAlign w:val="center"/>
          </w:tcPr>
          <w:p w14:paraId="4EB95215">
            <w:pPr>
              <w:adjustRightInd w:val="0"/>
              <w:snapToGrid w:val="0"/>
              <w:jc w:val="center"/>
              <w:rPr>
                <w:color w:val="auto"/>
                <w:sz w:val="24"/>
              </w:rPr>
            </w:pPr>
          </w:p>
        </w:tc>
        <w:tc>
          <w:tcPr>
            <w:tcW w:w="1134" w:type="dxa"/>
            <w:noWrap w:val="0"/>
            <w:vAlign w:val="center"/>
          </w:tcPr>
          <w:p w14:paraId="6259FCBC">
            <w:pPr>
              <w:adjustRightInd w:val="0"/>
              <w:snapToGrid w:val="0"/>
              <w:jc w:val="center"/>
              <w:rPr>
                <w:color w:val="auto"/>
                <w:sz w:val="24"/>
              </w:rPr>
            </w:pPr>
          </w:p>
        </w:tc>
      </w:tr>
      <w:tr w14:paraId="08C5CA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26E1F06E">
            <w:pPr>
              <w:adjustRightInd w:val="0"/>
              <w:snapToGrid w:val="0"/>
              <w:ind w:left="-118" w:leftChars="-42"/>
              <w:jc w:val="center"/>
              <w:rPr>
                <w:color w:val="auto"/>
                <w:sz w:val="24"/>
              </w:rPr>
            </w:pPr>
            <w:r>
              <w:rPr>
                <w:color w:val="auto"/>
                <w:sz w:val="24"/>
              </w:rPr>
              <w:t>5</w:t>
            </w:r>
          </w:p>
        </w:tc>
        <w:tc>
          <w:tcPr>
            <w:tcW w:w="2187" w:type="dxa"/>
            <w:noWrap w:val="0"/>
            <w:vAlign w:val="center"/>
          </w:tcPr>
          <w:p w14:paraId="11C0E77E">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14727E5A">
            <w:pPr>
              <w:adjustRightInd w:val="0"/>
              <w:snapToGrid w:val="0"/>
              <w:jc w:val="center"/>
              <w:rPr>
                <w:color w:val="auto"/>
                <w:sz w:val="24"/>
              </w:rPr>
            </w:pPr>
          </w:p>
        </w:tc>
        <w:tc>
          <w:tcPr>
            <w:tcW w:w="1560" w:type="dxa"/>
            <w:tcBorders>
              <w:left w:val="single" w:color="auto" w:sz="4" w:space="0"/>
            </w:tcBorders>
            <w:noWrap w:val="0"/>
            <w:vAlign w:val="center"/>
          </w:tcPr>
          <w:p w14:paraId="675D4E1E">
            <w:pPr>
              <w:adjustRightInd w:val="0"/>
              <w:snapToGrid w:val="0"/>
              <w:jc w:val="center"/>
              <w:rPr>
                <w:color w:val="auto"/>
                <w:sz w:val="24"/>
              </w:rPr>
            </w:pPr>
          </w:p>
        </w:tc>
        <w:tc>
          <w:tcPr>
            <w:tcW w:w="1701" w:type="dxa"/>
            <w:noWrap w:val="0"/>
            <w:vAlign w:val="center"/>
          </w:tcPr>
          <w:p w14:paraId="411FAC9C">
            <w:pPr>
              <w:adjustRightInd w:val="0"/>
              <w:snapToGrid w:val="0"/>
              <w:jc w:val="center"/>
              <w:rPr>
                <w:color w:val="auto"/>
                <w:sz w:val="24"/>
              </w:rPr>
            </w:pPr>
          </w:p>
        </w:tc>
        <w:tc>
          <w:tcPr>
            <w:tcW w:w="1134" w:type="dxa"/>
            <w:noWrap w:val="0"/>
            <w:vAlign w:val="center"/>
          </w:tcPr>
          <w:p w14:paraId="47F0C6F6">
            <w:pPr>
              <w:adjustRightInd w:val="0"/>
              <w:snapToGrid w:val="0"/>
              <w:jc w:val="center"/>
              <w:rPr>
                <w:color w:val="auto"/>
                <w:sz w:val="24"/>
              </w:rPr>
            </w:pPr>
          </w:p>
        </w:tc>
      </w:tr>
      <w:tr w14:paraId="0C1A38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6DE1D7DC">
            <w:pPr>
              <w:adjustRightInd w:val="0"/>
              <w:snapToGrid w:val="0"/>
              <w:ind w:left="-118" w:leftChars="-42"/>
              <w:jc w:val="center"/>
              <w:rPr>
                <w:color w:val="auto"/>
                <w:sz w:val="24"/>
              </w:rPr>
            </w:pPr>
            <w:r>
              <w:rPr>
                <w:color w:val="auto"/>
                <w:sz w:val="24"/>
              </w:rPr>
              <w:t>6</w:t>
            </w:r>
          </w:p>
        </w:tc>
        <w:tc>
          <w:tcPr>
            <w:tcW w:w="2187" w:type="dxa"/>
            <w:noWrap w:val="0"/>
            <w:vAlign w:val="center"/>
          </w:tcPr>
          <w:p w14:paraId="5FDB3258">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40FAE66F">
            <w:pPr>
              <w:adjustRightInd w:val="0"/>
              <w:snapToGrid w:val="0"/>
              <w:jc w:val="center"/>
              <w:rPr>
                <w:color w:val="auto"/>
                <w:sz w:val="24"/>
              </w:rPr>
            </w:pPr>
          </w:p>
        </w:tc>
        <w:tc>
          <w:tcPr>
            <w:tcW w:w="1560" w:type="dxa"/>
            <w:tcBorders>
              <w:left w:val="single" w:color="auto" w:sz="4" w:space="0"/>
            </w:tcBorders>
            <w:noWrap w:val="0"/>
            <w:vAlign w:val="center"/>
          </w:tcPr>
          <w:p w14:paraId="6C2508D8">
            <w:pPr>
              <w:adjustRightInd w:val="0"/>
              <w:snapToGrid w:val="0"/>
              <w:jc w:val="center"/>
              <w:rPr>
                <w:color w:val="auto"/>
                <w:sz w:val="24"/>
              </w:rPr>
            </w:pPr>
          </w:p>
        </w:tc>
        <w:tc>
          <w:tcPr>
            <w:tcW w:w="1701" w:type="dxa"/>
            <w:noWrap w:val="0"/>
            <w:vAlign w:val="center"/>
          </w:tcPr>
          <w:p w14:paraId="6E3DB05A">
            <w:pPr>
              <w:adjustRightInd w:val="0"/>
              <w:snapToGrid w:val="0"/>
              <w:jc w:val="center"/>
              <w:rPr>
                <w:color w:val="auto"/>
                <w:sz w:val="24"/>
              </w:rPr>
            </w:pPr>
          </w:p>
        </w:tc>
        <w:tc>
          <w:tcPr>
            <w:tcW w:w="1134" w:type="dxa"/>
            <w:noWrap w:val="0"/>
            <w:vAlign w:val="center"/>
          </w:tcPr>
          <w:p w14:paraId="57BA501E">
            <w:pPr>
              <w:adjustRightInd w:val="0"/>
              <w:snapToGrid w:val="0"/>
              <w:jc w:val="center"/>
              <w:rPr>
                <w:color w:val="auto"/>
                <w:sz w:val="24"/>
              </w:rPr>
            </w:pPr>
          </w:p>
        </w:tc>
      </w:tr>
      <w:tr w14:paraId="5E286E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499FAABA">
            <w:pPr>
              <w:adjustRightInd w:val="0"/>
              <w:snapToGrid w:val="0"/>
              <w:ind w:left="-118" w:leftChars="-42"/>
              <w:jc w:val="center"/>
              <w:rPr>
                <w:color w:val="auto"/>
                <w:sz w:val="24"/>
              </w:rPr>
            </w:pPr>
            <w:r>
              <w:rPr>
                <w:color w:val="auto"/>
                <w:sz w:val="24"/>
              </w:rPr>
              <w:t>7</w:t>
            </w:r>
          </w:p>
        </w:tc>
        <w:tc>
          <w:tcPr>
            <w:tcW w:w="2187" w:type="dxa"/>
            <w:noWrap w:val="0"/>
            <w:vAlign w:val="center"/>
          </w:tcPr>
          <w:p w14:paraId="16D46980">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39C4734C">
            <w:pPr>
              <w:adjustRightInd w:val="0"/>
              <w:snapToGrid w:val="0"/>
              <w:jc w:val="center"/>
              <w:rPr>
                <w:color w:val="auto"/>
                <w:sz w:val="24"/>
              </w:rPr>
            </w:pPr>
          </w:p>
        </w:tc>
        <w:tc>
          <w:tcPr>
            <w:tcW w:w="1560" w:type="dxa"/>
            <w:tcBorders>
              <w:left w:val="single" w:color="auto" w:sz="4" w:space="0"/>
            </w:tcBorders>
            <w:noWrap w:val="0"/>
            <w:vAlign w:val="center"/>
          </w:tcPr>
          <w:p w14:paraId="25D14725">
            <w:pPr>
              <w:adjustRightInd w:val="0"/>
              <w:snapToGrid w:val="0"/>
              <w:jc w:val="center"/>
              <w:rPr>
                <w:color w:val="auto"/>
                <w:sz w:val="24"/>
              </w:rPr>
            </w:pPr>
          </w:p>
        </w:tc>
        <w:tc>
          <w:tcPr>
            <w:tcW w:w="1701" w:type="dxa"/>
            <w:noWrap w:val="0"/>
            <w:vAlign w:val="center"/>
          </w:tcPr>
          <w:p w14:paraId="14674E68">
            <w:pPr>
              <w:adjustRightInd w:val="0"/>
              <w:snapToGrid w:val="0"/>
              <w:jc w:val="center"/>
              <w:rPr>
                <w:color w:val="auto"/>
                <w:sz w:val="24"/>
              </w:rPr>
            </w:pPr>
          </w:p>
        </w:tc>
        <w:tc>
          <w:tcPr>
            <w:tcW w:w="1134" w:type="dxa"/>
            <w:noWrap w:val="0"/>
            <w:vAlign w:val="center"/>
          </w:tcPr>
          <w:p w14:paraId="785A8D77">
            <w:pPr>
              <w:adjustRightInd w:val="0"/>
              <w:snapToGrid w:val="0"/>
              <w:jc w:val="center"/>
              <w:rPr>
                <w:color w:val="auto"/>
                <w:sz w:val="24"/>
              </w:rPr>
            </w:pPr>
          </w:p>
        </w:tc>
      </w:tr>
      <w:tr w14:paraId="4D085E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11AC62B0">
            <w:pPr>
              <w:adjustRightInd w:val="0"/>
              <w:snapToGrid w:val="0"/>
              <w:ind w:left="-118" w:leftChars="-42"/>
              <w:jc w:val="center"/>
              <w:rPr>
                <w:color w:val="auto"/>
                <w:sz w:val="24"/>
              </w:rPr>
            </w:pPr>
            <w:r>
              <w:rPr>
                <w:color w:val="auto"/>
                <w:sz w:val="24"/>
              </w:rPr>
              <w:t>8</w:t>
            </w:r>
          </w:p>
        </w:tc>
        <w:tc>
          <w:tcPr>
            <w:tcW w:w="2187" w:type="dxa"/>
            <w:noWrap w:val="0"/>
            <w:vAlign w:val="center"/>
          </w:tcPr>
          <w:p w14:paraId="5615C52C">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599B79BE">
            <w:pPr>
              <w:adjustRightInd w:val="0"/>
              <w:snapToGrid w:val="0"/>
              <w:jc w:val="center"/>
              <w:rPr>
                <w:color w:val="auto"/>
                <w:sz w:val="24"/>
              </w:rPr>
            </w:pPr>
          </w:p>
        </w:tc>
        <w:tc>
          <w:tcPr>
            <w:tcW w:w="1560" w:type="dxa"/>
            <w:tcBorders>
              <w:left w:val="single" w:color="auto" w:sz="4" w:space="0"/>
            </w:tcBorders>
            <w:noWrap w:val="0"/>
            <w:vAlign w:val="center"/>
          </w:tcPr>
          <w:p w14:paraId="63817A72">
            <w:pPr>
              <w:adjustRightInd w:val="0"/>
              <w:snapToGrid w:val="0"/>
              <w:jc w:val="center"/>
              <w:rPr>
                <w:color w:val="auto"/>
                <w:sz w:val="24"/>
              </w:rPr>
            </w:pPr>
          </w:p>
        </w:tc>
        <w:tc>
          <w:tcPr>
            <w:tcW w:w="1701" w:type="dxa"/>
            <w:noWrap w:val="0"/>
            <w:vAlign w:val="center"/>
          </w:tcPr>
          <w:p w14:paraId="1F503191">
            <w:pPr>
              <w:adjustRightInd w:val="0"/>
              <w:snapToGrid w:val="0"/>
              <w:jc w:val="center"/>
              <w:rPr>
                <w:color w:val="auto"/>
                <w:sz w:val="24"/>
              </w:rPr>
            </w:pPr>
          </w:p>
        </w:tc>
        <w:tc>
          <w:tcPr>
            <w:tcW w:w="1134" w:type="dxa"/>
            <w:noWrap w:val="0"/>
            <w:vAlign w:val="center"/>
          </w:tcPr>
          <w:p w14:paraId="1950AE8F">
            <w:pPr>
              <w:adjustRightInd w:val="0"/>
              <w:snapToGrid w:val="0"/>
              <w:jc w:val="center"/>
              <w:rPr>
                <w:color w:val="auto"/>
                <w:sz w:val="24"/>
              </w:rPr>
            </w:pPr>
          </w:p>
        </w:tc>
      </w:tr>
      <w:tr w14:paraId="3F3441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6E5E27F6">
            <w:pPr>
              <w:adjustRightInd w:val="0"/>
              <w:snapToGrid w:val="0"/>
              <w:ind w:left="-118" w:leftChars="-42"/>
              <w:jc w:val="center"/>
              <w:rPr>
                <w:color w:val="auto"/>
                <w:sz w:val="24"/>
              </w:rPr>
            </w:pPr>
            <w:r>
              <w:rPr>
                <w:color w:val="auto"/>
                <w:sz w:val="24"/>
              </w:rPr>
              <w:t>…</w:t>
            </w:r>
          </w:p>
        </w:tc>
        <w:tc>
          <w:tcPr>
            <w:tcW w:w="2187" w:type="dxa"/>
            <w:noWrap w:val="0"/>
            <w:vAlign w:val="center"/>
          </w:tcPr>
          <w:p w14:paraId="41059252">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6A6F66D0">
            <w:pPr>
              <w:adjustRightInd w:val="0"/>
              <w:snapToGrid w:val="0"/>
              <w:jc w:val="center"/>
              <w:rPr>
                <w:color w:val="auto"/>
                <w:sz w:val="24"/>
              </w:rPr>
            </w:pPr>
          </w:p>
        </w:tc>
        <w:tc>
          <w:tcPr>
            <w:tcW w:w="1560" w:type="dxa"/>
            <w:tcBorders>
              <w:left w:val="single" w:color="auto" w:sz="4" w:space="0"/>
            </w:tcBorders>
            <w:noWrap w:val="0"/>
            <w:vAlign w:val="center"/>
          </w:tcPr>
          <w:p w14:paraId="25A2A081">
            <w:pPr>
              <w:adjustRightInd w:val="0"/>
              <w:snapToGrid w:val="0"/>
              <w:jc w:val="center"/>
              <w:rPr>
                <w:color w:val="auto"/>
                <w:sz w:val="24"/>
              </w:rPr>
            </w:pPr>
          </w:p>
        </w:tc>
        <w:tc>
          <w:tcPr>
            <w:tcW w:w="1701" w:type="dxa"/>
            <w:noWrap w:val="0"/>
            <w:vAlign w:val="center"/>
          </w:tcPr>
          <w:p w14:paraId="59578109">
            <w:pPr>
              <w:adjustRightInd w:val="0"/>
              <w:snapToGrid w:val="0"/>
              <w:jc w:val="center"/>
              <w:rPr>
                <w:color w:val="auto"/>
                <w:sz w:val="24"/>
              </w:rPr>
            </w:pPr>
          </w:p>
        </w:tc>
        <w:tc>
          <w:tcPr>
            <w:tcW w:w="1134" w:type="dxa"/>
            <w:noWrap w:val="0"/>
            <w:vAlign w:val="center"/>
          </w:tcPr>
          <w:p w14:paraId="16E86806">
            <w:pPr>
              <w:adjustRightInd w:val="0"/>
              <w:snapToGrid w:val="0"/>
              <w:jc w:val="center"/>
              <w:rPr>
                <w:color w:val="auto"/>
                <w:sz w:val="24"/>
              </w:rPr>
            </w:pPr>
          </w:p>
        </w:tc>
      </w:tr>
    </w:tbl>
    <w:p w14:paraId="346ADEAE">
      <w:pPr>
        <w:spacing w:line="240" w:lineRule="atLeast"/>
        <w:ind w:firstLine="480" w:firstLineChars="200"/>
        <w:rPr>
          <w:color w:val="auto"/>
        </w:rPr>
      </w:pPr>
      <w:r>
        <w:rPr>
          <w:color w:val="auto"/>
          <w:sz w:val="24"/>
        </w:rPr>
        <w:t>说明：提供详细的货物和服务范围，包括货物和服务类别及制造（开发）商、备品备件等。</w:t>
      </w:r>
    </w:p>
    <w:p w14:paraId="21CC1ADE">
      <w:pPr>
        <w:spacing w:line="500" w:lineRule="exact"/>
        <w:rPr>
          <w:rFonts w:eastAsia="仿宋_GB2312"/>
          <w:color w:val="auto"/>
          <w:sz w:val="24"/>
        </w:rPr>
      </w:pPr>
    </w:p>
    <w:p w14:paraId="5AA52315">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BBD59D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53D38F58">
      <w:pPr>
        <w:spacing w:line="480" w:lineRule="auto"/>
        <w:rPr>
          <w:color w:val="auto"/>
        </w:rPr>
      </w:pPr>
      <w:r>
        <w:rPr>
          <w:color w:val="auto"/>
          <w:sz w:val="24"/>
        </w:rPr>
        <w:t>时间：</w:t>
      </w:r>
    </w:p>
    <w:p w14:paraId="64545569">
      <w:pPr>
        <w:spacing w:line="480" w:lineRule="auto"/>
        <w:rPr>
          <w:bCs/>
          <w:color w:val="auto"/>
          <w:sz w:val="24"/>
        </w:rPr>
      </w:pPr>
      <w:r>
        <w:rPr>
          <w:rFonts w:eastAsia="仿宋_GB2312"/>
          <w:bCs/>
          <w:color w:val="auto"/>
          <w:szCs w:val="28"/>
        </w:rPr>
        <w:br w:type="page"/>
      </w:r>
      <w:r>
        <w:rPr>
          <w:bCs/>
          <w:color w:val="auto"/>
          <w:sz w:val="24"/>
        </w:rPr>
        <w:t>附件4</w:t>
      </w:r>
    </w:p>
    <w:p w14:paraId="4997E410">
      <w:pPr>
        <w:spacing w:line="480" w:lineRule="auto"/>
        <w:jc w:val="center"/>
        <w:rPr>
          <w:color w:val="auto"/>
          <w:sz w:val="32"/>
          <w:szCs w:val="32"/>
        </w:rPr>
      </w:pPr>
      <w:r>
        <w:rPr>
          <w:rFonts w:hint="eastAsia"/>
          <w:color w:val="auto"/>
          <w:sz w:val="32"/>
          <w:szCs w:val="32"/>
        </w:rPr>
        <w:t>资格性符合性检查对照表</w:t>
      </w:r>
    </w:p>
    <w:p w14:paraId="55ECBA85">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39C78734">
      <w:pPr>
        <w:rPr>
          <w:color w:val="auto"/>
          <w:sz w:val="24"/>
        </w:rPr>
      </w:pPr>
      <w:r>
        <w:rPr>
          <w:color w:val="auto"/>
          <w:sz w:val="24"/>
        </w:rPr>
        <w:t xml:space="preserve">项目名称：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4C72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254FBC2F">
            <w:pPr>
              <w:jc w:val="center"/>
              <w:rPr>
                <w:rFonts w:ascii="Calibri" w:hAnsi="Calibri"/>
                <w:color w:val="auto"/>
                <w:kern w:val="0"/>
                <w:sz w:val="24"/>
                <w:szCs w:val="20"/>
              </w:rPr>
            </w:pPr>
            <w:r>
              <w:rPr>
                <w:rFonts w:hint="eastAsia" w:ascii="Calibri" w:hAnsi="Calibri"/>
                <w:color w:val="auto"/>
                <w:kern w:val="0"/>
                <w:sz w:val="24"/>
                <w:szCs w:val="20"/>
              </w:rPr>
              <w:t>序号</w:t>
            </w:r>
          </w:p>
        </w:tc>
        <w:tc>
          <w:tcPr>
            <w:tcW w:w="4164" w:type="dxa"/>
            <w:noWrap w:val="0"/>
            <w:vAlign w:val="center"/>
          </w:tcPr>
          <w:p w14:paraId="0036E031">
            <w:pPr>
              <w:jc w:val="center"/>
              <w:rPr>
                <w:rFonts w:ascii="Calibri" w:hAnsi="Calibri"/>
                <w:color w:val="auto"/>
                <w:kern w:val="0"/>
                <w:sz w:val="24"/>
                <w:szCs w:val="20"/>
              </w:rPr>
            </w:pPr>
            <w:r>
              <w:rPr>
                <w:rFonts w:hint="eastAsia" w:ascii="Calibri" w:hAnsi="Calibri"/>
                <w:color w:val="auto"/>
                <w:kern w:val="0"/>
                <w:sz w:val="24"/>
                <w:szCs w:val="20"/>
              </w:rPr>
              <w:t>资格性符合性检查内容</w:t>
            </w:r>
          </w:p>
        </w:tc>
        <w:tc>
          <w:tcPr>
            <w:tcW w:w="1265" w:type="dxa"/>
            <w:noWrap w:val="0"/>
            <w:vAlign w:val="center"/>
          </w:tcPr>
          <w:p w14:paraId="15CD9AAE">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响应文件响应情况</w:t>
            </w:r>
          </w:p>
        </w:tc>
        <w:tc>
          <w:tcPr>
            <w:tcW w:w="1096" w:type="dxa"/>
            <w:noWrap w:val="0"/>
            <w:vAlign w:val="center"/>
          </w:tcPr>
          <w:p w14:paraId="371E19BC">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偏离情况说明</w:t>
            </w:r>
          </w:p>
        </w:tc>
        <w:tc>
          <w:tcPr>
            <w:tcW w:w="1541" w:type="dxa"/>
            <w:noWrap w:val="0"/>
            <w:vAlign w:val="center"/>
          </w:tcPr>
          <w:p w14:paraId="081CCB65">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备注</w:t>
            </w:r>
          </w:p>
        </w:tc>
      </w:tr>
      <w:tr w14:paraId="07EC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6DAE8CEE">
            <w:pPr>
              <w:jc w:val="center"/>
              <w:rPr>
                <w:rFonts w:ascii="Calibri" w:hAnsi="Calibri"/>
                <w:color w:val="auto"/>
                <w:kern w:val="0"/>
                <w:sz w:val="24"/>
                <w:szCs w:val="20"/>
              </w:rPr>
            </w:pPr>
            <w:r>
              <w:rPr>
                <w:rFonts w:hint="eastAsia" w:ascii="Calibri" w:hAnsi="Calibri"/>
                <w:color w:val="auto"/>
                <w:kern w:val="0"/>
                <w:sz w:val="24"/>
                <w:szCs w:val="20"/>
              </w:rPr>
              <w:t>1</w:t>
            </w:r>
          </w:p>
        </w:tc>
        <w:tc>
          <w:tcPr>
            <w:tcW w:w="4164" w:type="dxa"/>
            <w:noWrap w:val="0"/>
            <w:vAlign w:val="top"/>
          </w:tcPr>
          <w:p w14:paraId="2D814793">
            <w:pPr>
              <w:rPr>
                <w:rFonts w:ascii="Calibri" w:hAnsi="Calibri"/>
                <w:color w:val="auto"/>
                <w:kern w:val="0"/>
                <w:sz w:val="24"/>
                <w:szCs w:val="20"/>
              </w:rPr>
            </w:pPr>
          </w:p>
        </w:tc>
        <w:tc>
          <w:tcPr>
            <w:tcW w:w="1265" w:type="dxa"/>
            <w:noWrap w:val="0"/>
            <w:vAlign w:val="top"/>
          </w:tcPr>
          <w:p w14:paraId="2E8B34EC">
            <w:pPr>
              <w:jc w:val="center"/>
              <w:rPr>
                <w:rFonts w:ascii="Calibri" w:hAnsi="Calibri"/>
                <w:color w:val="auto"/>
                <w:kern w:val="0"/>
                <w:sz w:val="24"/>
                <w:szCs w:val="20"/>
              </w:rPr>
            </w:pPr>
          </w:p>
        </w:tc>
        <w:tc>
          <w:tcPr>
            <w:tcW w:w="1096" w:type="dxa"/>
            <w:noWrap w:val="0"/>
            <w:vAlign w:val="top"/>
          </w:tcPr>
          <w:p w14:paraId="0DEE9880">
            <w:pPr>
              <w:jc w:val="center"/>
              <w:rPr>
                <w:rFonts w:ascii="Calibri" w:hAnsi="Calibri"/>
                <w:color w:val="auto"/>
                <w:kern w:val="0"/>
                <w:sz w:val="24"/>
                <w:szCs w:val="20"/>
              </w:rPr>
            </w:pPr>
          </w:p>
        </w:tc>
        <w:tc>
          <w:tcPr>
            <w:tcW w:w="1541" w:type="dxa"/>
            <w:noWrap w:val="0"/>
            <w:vAlign w:val="center"/>
          </w:tcPr>
          <w:p w14:paraId="33FD733F">
            <w:pPr>
              <w:ind w:left="-20" w:leftChars="-50" w:hanging="120" w:hangingChars="50"/>
              <w:jc w:val="center"/>
              <w:rPr>
                <w:rFonts w:ascii="Calibri" w:hAnsi="Calibri"/>
                <w:color w:val="auto"/>
                <w:kern w:val="0"/>
                <w:sz w:val="24"/>
                <w:szCs w:val="20"/>
              </w:rPr>
            </w:pPr>
          </w:p>
        </w:tc>
      </w:tr>
      <w:tr w14:paraId="60E8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720503EF">
            <w:pPr>
              <w:jc w:val="center"/>
              <w:rPr>
                <w:rFonts w:ascii="Calibri" w:hAnsi="Calibri"/>
                <w:color w:val="auto"/>
                <w:kern w:val="0"/>
                <w:sz w:val="24"/>
                <w:szCs w:val="20"/>
              </w:rPr>
            </w:pPr>
            <w:r>
              <w:rPr>
                <w:rFonts w:hint="eastAsia" w:ascii="Calibri" w:hAnsi="Calibri"/>
                <w:color w:val="auto"/>
                <w:kern w:val="0"/>
                <w:sz w:val="24"/>
                <w:szCs w:val="20"/>
              </w:rPr>
              <w:t>2</w:t>
            </w:r>
          </w:p>
        </w:tc>
        <w:tc>
          <w:tcPr>
            <w:tcW w:w="4164" w:type="dxa"/>
            <w:noWrap w:val="0"/>
            <w:vAlign w:val="top"/>
          </w:tcPr>
          <w:p w14:paraId="5B2AA34D">
            <w:pPr>
              <w:rPr>
                <w:rFonts w:ascii="Calibri" w:hAnsi="Calibri"/>
                <w:color w:val="auto"/>
                <w:kern w:val="0"/>
                <w:sz w:val="24"/>
                <w:szCs w:val="20"/>
              </w:rPr>
            </w:pPr>
          </w:p>
        </w:tc>
        <w:tc>
          <w:tcPr>
            <w:tcW w:w="1265" w:type="dxa"/>
            <w:noWrap w:val="0"/>
            <w:vAlign w:val="top"/>
          </w:tcPr>
          <w:p w14:paraId="3B37F6DA">
            <w:pPr>
              <w:jc w:val="center"/>
              <w:rPr>
                <w:rFonts w:ascii="Calibri" w:hAnsi="Calibri"/>
                <w:color w:val="auto"/>
                <w:kern w:val="0"/>
                <w:sz w:val="24"/>
                <w:szCs w:val="20"/>
              </w:rPr>
            </w:pPr>
          </w:p>
        </w:tc>
        <w:tc>
          <w:tcPr>
            <w:tcW w:w="1096" w:type="dxa"/>
            <w:noWrap w:val="0"/>
            <w:vAlign w:val="top"/>
          </w:tcPr>
          <w:p w14:paraId="232B0959">
            <w:pPr>
              <w:jc w:val="center"/>
              <w:rPr>
                <w:rFonts w:ascii="Calibri" w:hAnsi="Calibri"/>
                <w:color w:val="auto"/>
                <w:kern w:val="0"/>
                <w:sz w:val="24"/>
                <w:szCs w:val="20"/>
              </w:rPr>
            </w:pPr>
          </w:p>
        </w:tc>
        <w:tc>
          <w:tcPr>
            <w:tcW w:w="1541" w:type="dxa"/>
            <w:noWrap w:val="0"/>
            <w:vAlign w:val="center"/>
          </w:tcPr>
          <w:p w14:paraId="374928DB">
            <w:pPr>
              <w:jc w:val="center"/>
              <w:rPr>
                <w:rFonts w:ascii="Calibri" w:hAnsi="Calibri"/>
                <w:color w:val="auto"/>
                <w:kern w:val="0"/>
                <w:sz w:val="24"/>
                <w:szCs w:val="20"/>
              </w:rPr>
            </w:pPr>
          </w:p>
        </w:tc>
      </w:tr>
      <w:tr w14:paraId="224E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17B0B1F0">
            <w:pPr>
              <w:jc w:val="center"/>
              <w:rPr>
                <w:rFonts w:ascii="Calibri" w:hAnsi="Calibri"/>
                <w:color w:val="auto"/>
                <w:kern w:val="0"/>
                <w:sz w:val="24"/>
                <w:szCs w:val="20"/>
              </w:rPr>
            </w:pPr>
            <w:r>
              <w:rPr>
                <w:rFonts w:hint="eastAsia" w:ascii="Calibri" w:hAnsi="Calibri"/>
                <w:color w:val="auto"/>
                <w:kern w:val="0"/>
                <w:sz w:val="24"/>
                <w:szCs w:val="20"/>
              </w:rPr>
              <w:t>3</w:t>
            </w:r>
          </w:p>
        </w:tc>
        <w:tc>
          <w:tcPr>
            <w:tcW w:w="4164" w:type="dxa"/>
            <w:noWrap w:val="0"/>
            <w:vAlign w:val="top"/>
          </w:tcPr>
          <w:p w14:paraId="04B37BEB">
            <w:pPr>
              <w:rPr>
                <w:rFonts w:ascii="Calibri" w:hAnsi="Calibri"/>
                <w:color w:val="auto"/>
                <w:kern w:val="0"/>
                <w:sz w:val="24"/>
                <w:szCs w:val="20"/>
              </w:rPr>
            </w:pPr>
          </w:p>
        </w:tc>
        <w:tc>
          <w:tcPr>
            <w:tcW w:w="1265" w:type="dxa"/>
            <w:noWrap w:val="0"/>
            <w:vAlign w:val="top"/>
          </w:tcPr>
          <w:p w14:paraId="2F5195C3">
            <w:pPr>
              <w:jc w:val="center"/>
              <w:rPr>
                <w:rFonts w:ascii="Calibri" w:hAnsi="Calibri"/>
                <w:color w:val="auto"/>
                <w:kern w:val="0"/>
                <w:sz w:val="24"/>
                <w:szCs w:val="20"/>
              </w:rPr>
            </w:pPr>
          </w:p>
        </w:tc>
        <w:tc>
          <w:tcPr>
            <w:tcW w:w="1096" w:type="dxa"/>
            <w:noWrap w:val="0"/>
            <w:vAlign w:val="top"/>
          </w:tcPr>
          <w:p w14:paraId="25199F3C">
            <w:pPr>
              <w:jc w:val="center"/>
              <w:rPr>
                <w:rFonts w:ascii="Calibri" w:hAnsi="Calibri"/>
                <w:color w:val="auto"/>
                <w:kern w:val="0"/>
                <w:sz w:val="24"/>
                <w:szCs w:val="20"/>
              </w:rPr>
            </w:pPr>
          </w:p>
        </w:tc>
        <w:tc>
          <w:tcPr>
            <w:tcW w:w="1541" w:type="dxa"/>
            <w:noWrap w:val="0"/>
            <w:vAlign w:val="center"/>
          </w:tcPr>
          <w:p w14:paraId="743A9B40">
            <w:pPr>
              <w:jc w:val="center"/>
              <w:rPr>
                <w:rFonts w:ascii="Calibri" w:hAnsi="Calibri"/>
                <w:color w:val="auto"/>
                <w:kern w:val="0"/>
                <w:sz w:val="24"/>
                <w:szCs w:val="20"/>
              </w:rPr>
            </w:pPr>
          </w:p>
        </w:tc>
      </w:tr>
      <w:tr w14:paraId="5B7E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4F1C57EA">
            <w:pPr>
              <w:jc w:val="center"/>
              <w:rPr>
                <w:rFonts w:ascii="Calibri" w:hAnsi="Calibri"/>
                <w:color w:val="auto"/>
                <w:kern w:val="0"/>
                <w:sz w:val="24"/>
                <w:szCs w:val="20"/>
              </w:rPr>
            </w:pPr>
            <w:r>
              <w:rPr>
                <w:rFonts w:hint="eastAsia" w:ascii="Calibri" w:hAnsi="Calibri"/>
                <w:color w:val="auto"/>
                <w:kern w:val="0"/>
                <w:sz w:val="24"/>
                <w:szCs w:val="20"/>
              </w:rPr>
              <w:t>4</w:t>
            </w:r>
          </w:p>
        </w:tc>
        <w:tc>
          <w:tcPr>
            <w:tcW w:w="4164" w:type="dxa"/>
            <w:noWrap w:val="0"/>
            <w:vAlign w:val="top"/>
          </w:tcPr>
          <w:p w14:paraId="5DA1A216">
            <w:pPr>
              <w:rPr>
                <w:rFonts w:ascii="Calibri" w:hAnsi="Calibri"/>
                <w:color w:val="auto"/>
                <w:kern w:val="0"/>
                <w:sz w:val="24"/>
                <w:szCs w:val="20"/>
              </w:rPr>
            </w:pPr>
          </w:p>
        </w:tc>
        <w:tc>
          <w:tcPr>
            <w:tcW w:w="1265" w:type="dxa"/>
            <w:noWrap w:val="0"/>
            <w:vAlign w:val="top"/>
          </w:tcPr>
          <w:p w14:paraId="50B52E94">
            <w:pPr>
              <w:jc w:val="center"/>
              <w:rPr>
                <w:rFonts w:ascii="Calibri" w:hAnsi="Calibri"/>
                <w:color w:val="auto"/>
                <w:kern w:val="0"/>
                <w:sz w:val="24"/>
                <w:szCs w:val="20"/>
              </w:rPr>
            </w:pPr>
          </w:p>
        </w:tc>
        <w:tc>
          <w:tcPr>
            <w:tcW w:w="1096" w:type="dxa"/>
            <w:noWrap w:val="0"/>
            <w:vAlign w:val="top"/>
          </w:tcPr>
          <w:p w14:paraId="1D0DEA06">
            <w:pPr>
              <w:jc w:val="center"/>
              <w:rPr>
                <w:rFonts w:ascii="Calibri" w:hAnsi="Calibri"/>
                <w:color w:val="auto"/>
                <w:kern w:val="0"/>
                <w:sz w:val="24"/>
                <w:szCs w:val="20"/>
              </w:rPr>
            </w:pPr>
          </w:p>
        </w:tc>
        <w:tc>
          <w:tcPr>
            <w:tcW w:w="1541" w:type="dxa"/>
            <w:noWrap w:val="0"/>
            <w:vAlign w:val="center"/>
          </w:tcPr>
          <w:p w14:paraId="2A4CB1EE">
            <w:pPr>
              <w:jc w:val="center"/>
              <w:rPr>
                <w:rFonts w:ascii="Calibri" w:hAnsi="Calibri"/>
                <w:color w:val="auto"/>
                <w:kern w:val="0"/>
                <w:sz w:val="24"/>
                <w:szCs w:val="20"/>
              </w:rPr>
            </w:pPr>
          </w:p>
        </w:tc>
      </w:tr>
      <w:tr w14:paraId="797C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61E17C11">
            <w:pPr>
              <w:jc w:val="center"/>
              <w:rPr>
                <w:rFonts w:ascii="Calibri" w:hAnsi="Calibri"/>
                <w:color w:val="auto"/>
                <w:kern w:val="0"/>
                <w:sz w:val="24"/>
                <w:szCs w:val="20"/>
              </w:rPr>
            </w:pPr>
            <w:r>
              <w:rPr>
                <w:rFonts w:hint="eastAsia" w:ascii="Calibri" w:hAnsi="Calibri"/>
                <w:color w:val="auto"/>
                <w:kern w:val="0"/>
                <w:sz w:val="24"/>
                <w:szCs w:val="20"/>
              </w:rPr>
              <w:t>5</w:t>
            </w:r>
          </w:p>
        </w:tc>
        <w:tc>
          <w:tcPr>
            <w:tcW w:w="4164" w:type="dxa"/>
            <w:noWrap w:val="0"/>
            <w:vAlign w:val="top"/>
          </w:tcPr>
          <w:p w14:paraId="63900440">
            <w:pPr>
              <w:rPr>
                <w:rFonts w:ascii="Calibri" w:hAnsi="Calibri"/>
                <w:color w:val="auto"/>
                <w:kern w:val="0"/>
                <w:sz w:val="24"/>
                <w:szCs w:val="20"/>
              </w:rPr>
            </w:pPr>
          </w:p>
        </w:tc>
        <w:tc>
          <w:tcPr>
            <w:tcW w:w="1265" w:type="dxa"/>
            <w:noWrap w:val="0"/>
            <w:vAlign w:val="top"/>
          </w:tcPr>
          <w:p w14:paraId="643F4031">
            <w:pPr>
              <w:jc w:val="center"/>
              <w:rPr>
                <w:rFonts w:ascii="Calibri" w:hAnsi="Calibri"/>
                <w:color w:val="auto"/>
                <w:kern w:val="0"/>
                <w:sz w:val="24"/>
                <w:szCs w:val="20"/>
              </w:rPr>
            </w:pPr>
          </w:p>
        </w:tc>
        <w:tc>
          <w:tcPr>
            <w:tcW w:w="1096" w:type="dxa"/>
            <w:noWrap w:val="0"/>
            <w:vAlign w:val="top"/>
          </w:tcPr>
          <w:p w14:paraId="43BFD486">
            <w:pPr>
              <w:jc w:val="center"/>
              <w:rPr>
                <w:rFonts w:ascii="Calibri" w:hAnsi="Calibri"/>
                <w:color w:val="auto"/>
                <w:kern w:val="0"/>
                <w:sz w:val="24"/>
                <w:szCs w:val="20"/>
              </w:rPr>
            </w:pPr>
          </w:p>
        </w:tc>
        <w:tc>
          <w:tcPr>
            <w:tcW w:w="1541" w:type="dxa"/>
            <w:noWrap w:val="0"/>
            <w:vAlign w:val="center"/>
          </w:tcPr>
          <w:p w14:paraId="2550B0E5">
            <w:pPr>
              <w:jc w:val="center"/>
              <w:rPr>
                <w:rFonts w:ascii="Calibri" w:hAnsi="Calibri"/>
                <w:color w:val="auto"/>
                <w:kern w:val="0"/>
                <w:sz w:val="24"/>
                <w:szCs w:val="20"/>
              </w:rPr>
            </w:pPr>
          </w:p>
        </w:tc>
      </w:tr>
      <w:tr w14:paraId="4D37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426F2EF1">
            <w:pPr>
              <w:jc w:val="center"/>
              <w:rPr>
                <w:rFonts w:ascii="Calibri" w:hAnsi="Calibri"/>
                <w:color w:val="auto"/>
                <w:kern w:val="0"/>
                <w:sz w:val="24"/>
                <w:szCs w:val="20"/>
              </w:rPr>
            </w:pPr>
            <w:r>
              <w:rPr>
                <w:rFonts w:hint="eastAsia" w:ascii="Calibri" w:hAnsi="Calibri"/>
                <w:color w:val="auto"/>
                <w:kern w:val="0"/>
                <w:sz w:val="24"/>
                <w:szCs w:val="20"/>
              </w:rPr>
              <w:t>6</w:t>
            </w:r>
          </w:p>
        </w:tc>
        <w:tc>
          <w:tcPr>
            <w:tcW w:w="4164" w:type="dxa"/>
            <w:noWrap w:val="0"/>
            <w:vAlign w:val="top"/>
          </w:tcPr>
          <w:p w14:paraId="5E4F7E57">
            <w:pPr>
              <w:rPr>
                <w:rFonts w:ascii="Calibri" w:hAnsi="Calibri"/>
                <w:color w:val="auto"/>
                <w:kern w:val="0"/>
                <w:sz w:val="24"/>
                <w:szCs w:val="20"/>
              </w:rPr>
            </w:pPr>
          </w:p>
        </w:tc>
        <w:tc>
          <w:tcPr>
            <w:tcW w:w="1265" w:type="dxa"/>
            <w:noWrap w:val="0"/>
            <w:vAlign w:val="top"/>
          </w:tcPr>
          <w:p w14:paraId="792968CF">
            <w:pPr>
              <w:jc w:val="left"/>
              <w:rPr>
                <w:rFonts w:ascii="Calibri" w:hAnsi="Calibri"/>
                <w:color w:val="auto"/>
                <w:kern w:val="0"/>
                <w:sz w:val="24"/>
                <w:szCs w:val="20"/>
              </w:rPr>
            </w:pPr>
          </w:p>
        </w:tc>
        <w:tc>
          <w:tcPr>
            <w:tcW w:w="1096" w:type="dxa"/>
            <w:noWrap w:val="0"/>
            <w:vAlign w:val="top"/>
          </w:tcPr>
          <w:p w14:paraId="65E669A1">
            <w:pPr>
              <w:jc w:val="left"/>
              <w:rPr>
                <w:rFonts w:ascii="Calibri" w:hAnsi="Calibri"/>
                <w:color w:val="auto"/>
                <w:kern w:val="0"/>
                <w:sz w:val="24"/>
                <w:szCs w:val="20"/>
              </w:rPr>
            </w:pPr>
          </w:p>
        </w:tc>
        <w:tc>
          <w:tcPr>
            <w:tcW w:w="1541" w:type="dxa"/>
            <w:noWrap w:val="0"/>
            <w:vAlign w:val="center"/>
          </w:tcPr>
          <w:p w14:paraId="0F6A6535">
            <w:pPr>
              <w:jc w:val="center"/>
              <w:rPr>
                <w:rFonts w:ascii="Calibri" w:hAnsi="Calibri"/>
                <w:color w:val="auto"/>
                <w:kern w:val="0"/>
                <w:sz w:val="24"/>
                <w:szCs w:val="20"/>
              </w:rPr>
            </w:pPr>
          </w:p>
        </w:tc>
      </w:tr>
      <w:tr w14:paraId="2079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0AE1EE7B">
            <w:pPr>
              <w:jc w:val="center"/>
              <w:rPr>
                <w:rFonts w:ascii="Calibri" w:hAnsi="Calibri"/>
                <w:color w:val="auto"/>
                <w:kern w:val="0"/>
                <w:sz w:val="24"/>
                <w:szCs w:val="20"/>
              </w:rPr>
            </w:pPr>
            <w:r>
              <w:rPr>
                <w:rFonts w:hint="eastAsia" w:ascii="Calibri" w:hAnsi="Calibri"/>
                <w:color w:val="auto"/>
                <w:kern w:val="0"/>
                <w:sz w:val="24"/>
                <w:szCs w:val="20"/>
              </w:rPr>
              <w:t>7</w:t>
            </w:r>
          </w:p>
        </w:tc>
        <w:tc>
          <w:tcPr>
            <w:tcW w:w="4164" w:type="dxa"/>
            <w:noWrap w:val="0"/>
            <w:vAlign w:val="top"/>
          </w:tcPr>
          <w:p w14:paraId="53DFC893">
            <w:pPr>
              <w:rPr>
                <w:rFonts w:ascii="Calibri" w:hAnsi="Calibri"/>
                <w:color w:val="auto"/>
                <w:kern w:val="0"/>
                <w:sz w:val="24"/>
                <w:szCs w:val="20"/>
              </w:rPr>
            </w:pPr>
          </w:p>
        </w:tc>
        <w:tc>
          <w:tcPr>
            <w:tcW w:w="1265" w:type="dxa"/>
            <w:noWrap w:val="0"/>
            <w:vAlign w:val="top"/>
          </w:tcPr>
          <w:p w14:paraId="598EDD40">
            <w:pPr>
              <w:jc w:val="left"/>
              <w:rPr>
                <w:rFonts w:ascii="Calibri" w:hAnsi="Calibri"/>
                <w:color w:val="auto"/>
                <w:kern w:val="0"/>
                <w:sz w:val="24"/>
                <w:szCs w:val="20"/>
              </w:rPr>
            </w:pPr>
          </w:p>
        </w:tc>
        <w:tc>
          <w:tcPr>
            <w:tcW w:w="1096" w:type="dxa"/>
            <w:noWrap w:val="0"/>
            <w:vAlign w:val="top"/>
          </w:tcPr>
          <w:p w14:paraId="54EE9D0C">
            <w:pPr>
              <w:jc w:val="left"/>
              <w:rPr>
                <w:rFonts w:ascii="Calibri" w:hAnsi="Calibri"/>
                <w:color w:val="auto"/>
                <w:kern w:val="0"/>
                <w:sz w:val="24"/>
                <w:szCs w:val="20"/>
              </w:rPr>
            </w:pPr>
          </w:p>
        </w:tc>
        <w:tc>
          <w:tcPr>
            <w:tcW w:w="1541" w:type="dxa"/>
            <w:noWrap w:val="0"/>
            <w:vAlign w:val="center"/>
          </w:tcPr>
          <w:p w14:paraId="74CFA896">
            <w:pPr>
              <w:jc w:val="center"/>
              <w:rPr>
                <w:rFonts w:ascii="Calibri" w:hAnsi="Calibri"/>
                <w:color w:val="auto"/>
                <w:kern w:val="0"/>
                <w:sz w:val="24"/>
                <w:szCs w:val="20"/>
              </w:rPr>
            </w:pPr>
          </w:p>
        </w:tc>
      </w:tr>
      <w:tr w14:paraId="2045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1B7CA687">
            <w:pPr>
              <w:jc w:val="center"/>
              <w:rPr>
                <w:rFonts w:ascii="Calibri" w:hAnsi="Calibri"/>
                <w:color w:val="auto"/>
                <w:kern w:val="0"/>
                <w:sz w:val="24"/>
                <w:szCs w:val="20"/>
              </w:rPr>
            </w:pPr>
            <w:r>
              <w:rPr>
                <w:rFonts w:hint="eastAsia" w:ascii="Calibri" w:hAnsi="Calibri"/>
                <w:color w:val="auto"/>
                <w:kern w:val="0"/>
                <w:sz w:val="24"/>
                <w:szCs w:val="20"/>
              </w:rPr>
              <w:t>8</w:t>
            </w:r>
          </w:p>
        </w:tc>
        <w:tc>
          <w:tcPr>
            <w:tcW w:w="4164" w:type="dxa"/>
            <w:noWrap w:val="0"/>
            <w:vAlign w:val="top"/>
          </w:tcPr>
          <w:p w14:paraId="46BBEED1">
            <w:pPr>
              <w:rPr>
                <w:rFonts w:ascii="Calibri" w:hAnsi="Calibri"/>
                <w:color w:val="auto"/>
                <w:kern w:val="0"/>
                <w:sz w:val="24"/>
                <w:szCs w:val="20"/>
              </w:rPr>
            </w:pPr>
          </w:p>
        </w:tc>
        <w:tc>
          <w:tcPr>
            <w:tcW w:w="1265" w:type="dxa"/>
            <w:noWrap w:val="0"/>
            <w:vAlign w:val="top"/>
          </w:tcPr>
          <w:p w14:paraId="3C0F4809">
            <w:pPr>
              <w:jc w:val="center"/>
              <w:rPr>
                <w:rFonts w:ascii="Calibri" w:hAnsi="Calibri"/>
                <w:color w:val="auto"/>
                <w:kern w:val="0"/>
                <w:sz w:val="24"/>
                <w:szCs w:val="20"/>
              </w:rPr>
            </w:pPr>
          </w:p>
        </w:tc>
        <w:tc>
          <w:tcPr>
            <w:tcW w:w="1096" w:type="dxa"/>
            <w:noWrap w:val="0"/>
            <w:vAlign w:val="top"/>
          </w:tcPr>
          <w:p w14:paraId="6C470878">
            <w:pPr>
              <w:jc w:val="center"/>
              <w:rPr>
                <w:rFonts w:ascii="Calibri" w:hAnsi="Calibri"/>
                <w:color w:val="auto"/>
                <w:kern w:val="0"/>
                <w:sz w:val="24"/>
                <w:szCs w:val="20"/>
              </w:rPr>
            </w:pPr>
          </w:p>
        </w:tc>
        <w:tc>
          <w:tcPr>
            <w:tcW w:w="1541" w:type="dxa"/>
            <w:noWrap w:val="0"/>
            <w:vAlign w:val="center"/>
          </w:tcPr>
          <w:p w14:paraId="3750826B">
            <w:pPr>
              <w:jc w:val="center"/>
              <w:rPr>
                <w:rFonts w:ascii="Calibri" w:hAnsi="Calibri"/>
                <w:color w:val="auto"/>
                <w:kern w:val="0"/>
                <w:sz w:val="24"/>
                <w:szCs w:val="20"/>
              </w:rPr>
            </w:pPr>
          </w:p>
        </w:tc>
      </w:tr>
      <w:tr w14:paraId="43C3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42820E64">
            <w:pPr>
              <w:jc w:val="center"/>
              <w:rPr>
                <w:rFonts w:ascii="Calibri" w:hAnsi="Calibri"/>
                <w:color w:val="auto"/>
                <w:kern w:val="0"/>
                <w:sz w:val="24"/>
                <w:szCs w:val="20"/>
              </w:rPr>
            </w:pPr>
            <w:r>
              <w:rPr>
                <w:rFonts w:hint="eastAsia" w:ascii="Calibri" w:hAnsi="Calibri"/>
                <w:color w:val="auto"/>
                <w:kern w:val="0"/>
                <w:sz w:val="24"/>
                <w:szCs w:val="20"/>
              </w:rPr>
              <w:t>9</w:t>
            </w:r>
          </w:p>
        </w:tc>
        <w:tc>
          <w:tcPr>
            <w:tcW w:w="4164" w:type="dxa"/>
            <w:noWrap w:val="0"/>
            <w:vAlign w:val="top"/>
          </w:tcPr>
          <w:p w14:paraId="2123EC11">
            <w:pPr>
              <w:rPr>
                <w:rFonts w:ascii="Calibri" w:hAnsi="Calibri"/>
                <w:color w:val="auto"/>
                <w:kern w:val="0"/>
                <w:sz w:val="24"/>
                <w:szCs w:val="20"/>
              </w:rPr>
            </w:pPr>
          </w:p>
        </w:tc>
        <w:tc>
          <w:tcPr>
            <w:tcW w:w="1265" w:type="dxa"/>
            <w:noWrap w:val="0"/>
            <w:vAlign w:val="top"/>
          </w:tcPr>
          <w:p w14:paraId="73E26785">
            <w:pPr>
              <w:jc w:val="center"/>
              <w:rPr>
                <w:rFonts w:ascii="Calibri" w:hAnsi="Calibri"/>
                <w:color w:val="auto"/>
                <w:kern w:val="0"/>
                <w:sz w:val="24"/>
                <w:szCs w:val="20"/>
              </w:rPr>
            </w:pPr>
          </w:p>
        </w:tc>
        <w:tc>
          <w:tcPr>
            <w:tcW w:w="1096" w:type="dxa"/>
            <w:noWrap w:val="0"/>
            <w:vAlign w:val="top"/>
          </w:tcPr>
          <w:p w14:paraId="5AAC3F08">
            <w:pPr>
              <w:jc w:val="center"/>
              <w:rPr>
                <w:rFonts w:ascii="Calibri" w:hAnsi="Calibri"/>
                <w:color w:val="auto"/>
                <w:kern w:val="0"/>
                <w:sz w:val="24"/>
                <w:szCs w:val="20"/>
              </w:rPr>
            </w:pPr>
          </w:p>
        </w:tc>
        <w:tc>
          <w:tcPr>
            <w:tcW w:w="1541" w:type="dxa"/>
            <w:noWrap w:val="0"/>
            <w:vAlign w:val="center"/>
          </w:tcPr>
          <w:p w14:paraId="69112491">
            <w:pPr>
              <w:jc w:val="center"/>
              <w:rPr>
                <w:rFonts w:ascii="Calibri" w:hAnsi="Calibri"/>
                <w:color w:val="auto"/>
                <w:kern w:val="0"/>
                <w:sz w:val="24"/>
                <w:szCs w:val="20"/>
              </w:rPr>
            </w:pPr>
          </w:p>
        </w:tc>
      </w:tr>
      <w:tr w14:paraId="5DC4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71F9A651">
            <w:pPr>
              <w:jc w:val="center"/>
              <w:rPr>
                <w:rFonts w:ascii="Calibri" w:hAnsi="Calibri"/>
                <w:color w:val="auto"/>
                <w:kern w:val="0"/>
                <w:sz w:val="24"/>
                <w:szCs w:val="20"/>
              </w:rPr>
            </w:pPr>
            <w:r>
              <w:rPr>
                <w:rFonts w:ascii="Calibri" w:hAnsi="Calibri"/>
                <w:color w:val="auto"/>
                <w:kern w:val="0"/>
                <w:sz w:val="24"/>
                <w:szCs w:val="20"/>
              </w:rPr>
              <w:t>…</w:t>
            </w:r>
          </w:p>
        </w:tc>
        <w:tc>
          <w:tcPr>
            <w:tcW w:w="4164" w:type="dxa"/>
            <w:noWrap w:val="0"/>
            <w:vAlign w:val="top"/>
          </w:tcPr>
          <w:p w14:paraId="30E9CCAA">
            <w:pPr>
              <w:rPr>
                <w:rFonts w:ascii="Calibri" w:hAnsi="Calibri"/>
                <w:color w:val="auto"/>
                <w:kern w:val="0"/>
                <w:sz w:val="24"/>
                <w:szCs w:val="20"/>
              </w:rPr>
            </w:pPr>
          </w:p>
        </w:tc>
        <w:tc>
          <w:tcPr>
            <w:tcW w:w="1265" w:type="dxa"/>
            <w:noWrap w:val="0"/>
            <w:vAlign w:val="top"/>
          </w:tcPr>
          <w:p w14:paraId="6F021BA7">
            <w:pPr>
              <w:jc w:val="center"/>
              <w:rPr>
                <w:rFonts w:ascii="Calibri" w:hAnsi="Calibri"/>
                <w:color w:val="auto"/>
                <w:kern w:val="0"/>
                <w:sz w:val="24"/>
                <w:szCs w:val="20"/>
              </w:rPr>
            </w:pPr>
          </w:p>
        </w:tc>
        <w:tc>
          <w:tcPr>
            <w:tcW w:w="1096" w:type="dxa"/>
            <w:noWrap w:val="0"/>
            <w:vAlign w:val="top"/>
          </w:tcPr>
          <w:p w14:paraId="5353F5B1">
            <w:pPr>
              <w:jc w:val="center"/>
              <w:rPr>
                <w:rFonts w:ascii="Calibri" w:hAnsi="Calibri"/>
                <w:color w:val="auto"/>
                <w:kern w:val="0"/>
                <w:sz w:val="24"/>
                <w:szCs w:val="20"/>
              </w:rPr>
            </w:pPr>
          </w:p>
        </w:tc>
        <w:tc>
          <w:tcPr>
            <w:tcW w:w="1541" w:type="dxa"/>
            <w:noWrap w:val="0"/>
            <w:vAlign w:val="center"/>
          </w:tcPr>
          <w:p w14:paraId="6CD16B65">
            <w:pPr>
              <w:jc w:val="center"/>
              <w:rPr>
                <w:rFonts w:ascii="Calibri" w:hAnsi="Calibri"/>
                <w:color w:val="auto"/>
                <w:kern w:val="0"/>
                <w:sz w:val="24"/>
                <w:szCs w:val="20"/>
              </w:rPr>
            </w:pPr>
          </w:p>
        </w:tc>
      </w:tr>
      <w:tr w14:paraId="1C47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noWrap w:val="0"/>
            <w:vAlign w:val="center"/>
          </w:tcPr>
          <w:p w14:paraId="6A0EF747">
            <w:pPr>
              <w:rPr>
                <w:rFonts w:ascii="Calibri" w:hAnsi="Calibri"/>
                <w:color w:val="auto"/>
                <w:kern w:val="0"/>
                <w:sz w:val="24"/>
                <w:szCs w:val="20"/>
              </w:rPr>
            </w:pPr>
            <w:r>
              <w:rPr>
                <w:rFonts w:hint="eastAsia" w:ascii="Calibri" w:hAnsi="Calibri"/>
                <w:color w:val="auto"/>
                <w:kern w:val="0"/>
                <w:sz w:val="24"/>
                <w:szCs w:val="20"/>
              </w:rPr>
              <w:t>自评结论</w:t>
            </w:r>
          </w:p>
        </w:tc>
        <w:tc>
          <w:tcPr>
            <w:tcW w:w="1265" w:type="dxa"/>
            <w:noWrap w:val="0"/>
            <w:vAlign w:val="top"/>
          </w:tcPr>
          <w:p w14:paraId="110271C5">
            <w:pPr>
              <w:jc w:val="center"/>
              <w:rPr>
                <w:rFonts w:ascii="Calibri" w:hAnsi="Calibri"/>
                <w:color w:val="auto"/>
                <w:kern w:val="0"/>
                <w:sz w:val="24"/>
                <w:szCs w:val="20"/>
              </w:rPr>
            </w:pPr>
          </w:p>
        </w:tc>
        <w:tc>
          <w:tcPr>
            <w:tcW w:w="1096" w:type="dxa"/>
            <w:noWrap w:val="0"/>
            <w:vAlign w:val="top"/>
          </w:tcPr>
          <w:p w14:paraId="34439055">
            <w:pPr>
              <w:jc w:val="center"/>
              <w:rPr>
                <w:rFonts w:ascii="Calibri" w:hAnsi="Calibri"/>
                <w:color w:val="auto"/>
                <w:kern w:val="0"/>
                <w:sz w:val="24"/>
                <w:szCs w:val="20"/>
              </w:rPr>
            </w:pPr>
          </w:p>
        </w:tc>
        <w:tc>
          <w:tcPr>
            <w:tcW w:w="1541" w:type="dxa"/>
            <w:noWrap w:val="0"/>
            <w:vAlign w:val="center"/>
          </w:tcPr>
          <w:p w14:paraId="119F0B48">
            <w:pPr>
              <w:jc w:val="center"/>
              <w:rPr>
                <w:rFonts w:ascii="Calibri" w:hAnsi="Calibri"/>
                <w:color w:val="auto"/>
                <w:kern w:val="0"/>
                <w:sz w:val="24"/>
                <w:szCs w:val="20"/>
              </w:rPr>
            </w:pPr>
          </w:p>
        </w:tc>
      </w:tr>
    </w:tbl>
    <w:p w14:paraId="0070D9EB">
      <w:pPr>
        <w:spacing w:line="240" w:lineRule="atLeast"/>
        <w:rPr>
          <w:color w:val="auto"/>
          <w:sz w:val="24"/>
        </w:rPr>
      </w:pPr>
      <w:r>
        <w:rPr>
          <w:color w:val="auto"/>
          <w:sz w:val="24"/>
        </w:rPr>
        <w:t>说明：</w:t>
      </w:r>
    </w:p>
    <w:p w14:paraId="43B29D1D">
      <w:pPr>
        <w:spacing w:line="240" w:lineRule="atLeast"/>
        <w:ind w:firstLine="480" w:firstLineChars="200"/>
        <w:rPr>
          <w:color w:val="auto"/>
          <w:sz w:val="24"/>
        </w:rPr>
      </w:pPr>
      <w:r>
        <w:rPr>
          <w:color w:val="auto"/>
          <w:sz w:val="24"/>
        </w:rPr>
        <w:t>1. 备注栏中应提供相关内容在响应文件中的页码。</w:t>
      </w:r>
    </w:p>
    <w:p w14:paraId="1AFE679C">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6E44E607">
      <w:pPr>
        <w:spacing w:line="440" w:lineRule="exact"/>
        <w:rPr>
          <w:color w:val="auto"/>
          <w:sz w:val="24"/>
        </w:rPr>
      </w:pPr>
    </w:p>
    <w:p w14:paraId="6CAB7D12">
      <w:pPr>
        <w:spacing w:line="440" w:lineRule="exact"/>
        <w:rPr>
          <w:color w:val="auto"/>
          <w:sz w:val="24"/>
        </w:rPr>
      </w:pPr>
    </w:p>
    <w:p w14:paraId="0FFD1F17">
      <w:pPr>
        <w:spacing w:line="440" w:lineRule="exact"/>
        <w:rPr>
          <w:color w:val="auto"/>
          <w:sz w:val="24"/>
        </w:rPr>
      </w:pPr>
    </w:p>
    <w:p w14:paraId="252977BE">
      <w:pPr>
        <w:spacing w:line="440" w:lineRule="exact"/>
        <w:rPr>
          <w:color w:val="auto"/>
          <w:sz w:val="24"/>
          <w:u w:val="single"/>
        </w:rPr>
      </w:pPr>
      <w:r>
        <w:rPr>
          <w:color w:val="auto"/>
          <w:sz w:val="24"/>
        </w:rPr>
        <w:t>供应商名称（公章）：</w:t>
      </w:r>
    </w:p>
    <w:p w14:paraId="72F86766">
      <w:pPr>
        <w:spacing w:line="440" w:lineRule="exact"/>
        <w:rPr>
          <w:color w:val="auto"/>
          <w:sz w:val="24"/>
          <w:u w:val="single"/>
        </w:rPr>
      </w:pPr>
      <w:r>
        <w:rPr>
          <w:color w:val="auto"/>
          <w:sz w:val="24"/>
        </w:rPr>
        <w:t>授权代表（签字）</w:t>
      </w:r>
      <w:r>
        <w:rPr>
          <w:rFonts w:hint="eastAsia"/>
          <w:color w:val="auto"/>
          <w:sz w:val="24"/>
        </w:rPr>
        <w:t>：</w:t>
      </w:r>
    </w:p>
    <w:p w14:paraId="7DA901E9">
      <w:pPr>
        <w:spacing w:line="440" w:lineRule="exact"/>
        <w:rPr>
          <w:color w:val="auto"/>
          <w:sz w:val="24"/>
        </w:rPr>
      </w:pPr>
      <w:r>
        <w:rPr>
          <w:color w:val="auto"/>
          <w:sz w:val="24"/>
        </w:rPr>
        <w:t>时间：</w:t>
      </w:r>
    </w:p>
    <w:p w14:paraId="6E2ABB87">
      <w:pPr>
        <w:widowControl/>
        <w:jc w:val="left"/>
        <w:rPr>
          <w:bCs/>
          <w:color w:val="auto"/>
          <w:sz w:val="24"/>
        </w:rPr>
      </w:pPr>
    </w:p>
    <w:p w14:paraId="69725B97">
      <w:pPr>
        <w:widowControl/>
        <w:jc w:val="left"/>
        <w:rPr>
          <w:bCs/>
          <w:color w:val="auto"/>
          <w:sz w:val="24"/>
        </w:rPr>
      </w:pPr>
      <w:r>
        <w:rPr>
          <w:bCs/>
          <w:color w:val="auto"/>
          <w:sz w:val="24"/>
        </w:rPr>
        <w:br w:type="page"/>
      </w:r>
    </w:p>
    <w:p w14:paraId="73537A11">
      <w:pPr>
        <w:spacing w:line="480" w:lineRule="auto"/>
        <w:rPr>
          <w:bCs/>
          <w:color w:val="auto"/>
          <w:sz w:val="24"/>
        </w:rPr>
      </w:pPr>
      <w:r>
        <w:rPr>
          <w:rFonts w:hint="eastAsia"/>
          <w:bCs/>
          <w:color w:val="auto"/>
          <w:sz w:val="24"/>
        </w:rPr>
        <w:t>附件5</w:t>
      </w:r>
    </w:p>
    <w:p w14:paraId="6127C25D">
      <w:pPr>
        <w:jc w:val="center"/>
        <w:rPr>
          <w:bCs/>
          <w:color w:val="auto"/>
          <w:sz w:val="32"/>
          <w:szCs w:val="32"/>
        </w:rPr>
      </w:pPr>
      <w:r>
        <w:rPr>
          <w:bCs/>
          <w:color w:val="auto"/>
          <w:sz w:val="32"/>
          <w:szCs w:val="32"/>
        </w:rPr>
        <w:t>技术响应、偏离情况说明表</w:t>
      </w:r>
    </w:p>
    <w:p w14:paraId="18191C91">
      <w:pPr>
        <w:rPr>
          <w:bCs/>
          <w:color w:val="auto"/>
          <w:sz w:val="24"/>
        </w:rPr>
      </w:pPr>
      <w:r>
        <w:rPr>
          <w:bCs/>
          <w:color w:val="auto"/>
          <w:sz w:val="24"/>
        </w:rPr>
        <w:t>项目编号</w:t>
      </w:r>
      <w:r>
        <w:rPr>
          <w:rFonts w:hint="eastAsia"/>
          <w:color w:val="auto"/>
          <w:sz w:val="24"/>
        </w:rPr>
        <w:t>（包号）</w:t>
      </w:r>
      <w:r>
        <w:rPr>
          <w:bCs/>
          <w:color w:val="auto"/>
          <w:sz w:val="24"/>
        </w:rPr>
        <w:t>：</w:t>
      </w:r>
    </w:p>
    <w:p w14:paraId="16BB9B0D">
      <w:pPr>
        <w:rPr>
          <w:bCs/>
          <w:color w:val="auto"/>
          <w:sz w:val="24"/>
        </w:rPr>
      </w:pPr>
      <w:r>
        <w:rPr>
          <w:bCs/>
          <w:color w:val="auto"/>
          <w:sz w:val="24"/>
        </w:rPr>
        <w:t>项目名称：</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779A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noWrap w:val="0"/>
            <w:vAlign w:val="center"/>
          </w:tcPr>
          <w:p w14:paraId="6C73AE16">
            <w:pPr>
              <w:jc w:val="center"/>
              <w:rPr>
                <w:bCs/>
                <w:color w:val="auto"/>
                <w:sz w:val="24"/>
              </w:rPr>
            </w:pPr>
            <w:r>
              <w:rPr>
                <w:bCs/>
                <w:color w:val="auto"/>
                <w:sz w:val="24"/>
              </w:rPr>
              <w:t>序号</w:t>
            </w:r>
          </w:p>
        </w:tc>
        <w:tc>
          <w:tcPr>
            <w:tcW w:w="2204" w:type="dxa"/>
            <w:noWrap w:val="0"/>
            <w:vAlign w:val="center"/>
          </w:tcPr>
          <w:p w14:paraId="682B993B">
            <w:pPr>
              <w:rPr>
                <w:bCs/>
                <w:color w:val="auto"/>
                <w:sz w:val="24"/>
              </w:rPr>
            </w:pPr>
            <w:r>
              <w:rPr>
                <w:bCs/>
                <w:color w:val="auto"/>
                <w:sz w:val="24"/>
              </w:rPr>
              <w:t>谈判文件要求部分</w:t>
            </w:r>
          </w:p>
        </w:tc>
        <w:tc>
          <w:tcPr>
            <w:tcW w:w="2269" w:type="dxa"/>
            <w:noWrap w:val="0"/>
            <w:vAlign w:val="center"/>
          </w:tcPr>
          <w:p w14:paraId="7D614480">
            <w:pPr>
              <w:ind w:leftChars="-38" w:right="-106" w:rightChars="-38" w:hanging="105" w:hangingChars="44"/>
              <w:jc w:val="center"/>
              <w:rPr>
                <w:bCs/>
                <w:color w:val="auto"/>
                <w:sz w:val="24"/>
              </w:rPr>
            </w:pPr>
            <w:r>
              <w:rPr>
                <w:bCs/>
                <w:color w:val="auto"/>
                <w:sz w:val="24"/>
              </w:rPr>
              <w:t>响应文件的响应部分</w:t>
            </w:r>
          </w:p>
        </w:tc>
        <w:tc>
          <w:tcPr>
            <w:tcW w:w="1278" w:type="dxa"/>
            <w:noWrap w:val="0"/>
            <w:vAlign w:val="center"/>
          </w:tcPr>
          <w:p w14:paraId="53C4C16A">
            <w:pPr>
              <w:jc w:val="center"/>
              <w:rPr>
                <w:bCs/>
                <w:color w:val="auto"/>
                <w:sz w:val="24"/>
              </w:rPr>
            </w:pPr>
            <w:r>
              <w:rPr>
                <w:bCs/>
                <w:color w:val="auto"/>
                <w:sz w:val="24"/>
              </w:rPr>
              <w:t>偏离说明</w:t>
            </w:r>
          </w:p>
        </w:tc>
        <w:tc>
          <w:tcPr>
            <w:tcW w:w="2315" w:type="dxa"/>
            <w:noWrap w:val="0"/>
            <w:vAlign w:val="center"/>
          </w:tcPr>
          <w:p w14:paraId="09959396">
            <w:pPr>
              <w:jc w:val="center"/>
              <w:rPr>
                <w:bCs/>
                <w:color w:val="auto"/>
                <w:sz w:val="24"/>
              </w:rPr>
            </w:pPr>
            <w:r>
              <w:rPr>
                <w:bCs/>
                <w:color w:val="auto"/>
                <w:sz w:val="24"/>
              </w:rPr>
              <w:t>备注</w:t>
            </w:r>
          </w:p>
        </w:tc>
      </w:tr>
      <w:tr w14:paraId="679F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1309CB6A">
            <w:pPr>
              <w:jc w:val="center"/>
              <w:rPr>
                <w:bCs/>
                <w:color w:val="auto"/>
                <w:sz w:val="24"/>
              </w:rPr>
            </w:pPr>
            <w:r>
              <w:rPr>
                <w:bCs/>
                <w:color w:val="auto"/>
                <w:sz w:val="24"/>
              </w:rPr>
              <w:t>1</w:t>
            </w:r>
          </w:p>
        </w:tc>
        <w:tc>
          <w:tcPr>
            <w:tcW w:w="2204" w:type="dxa"/>
            <w:noWrap w:val="0"/>
            <w:vAlign w:val="center"/>
          </w:tcPr>
          <w:p w14:paraId="48895A4D">
            <w:pPr>
              <w:rPr>
                <w:bCs/>
                <w:color w:val="auto"/>
                <w:sz w:val="24"/>
              </w:rPr>
            </w:pPr>
          </w:p>
        </w:tc>
        <w:tc>
          <w:tcPr>
            <w:tcW w:w="2269" w:type="dxa"/>
            <w:noWrap w:val="0"/>
            <w:vAlign w:val="center"/>
          </w:tcPr>
          <w:p w14:paraId="1AD8EBBF">
            <w:pPr>
              <w:rPr>
                <w:bCs/>
                <w:color w:val="auto"/>
                <w:sz w:val="24"/>
              </w:rPr>
            </w:pPr>
          </w:p>
        </w:tc>
        <w:tc>
          <w:tcPr>
            <w:tcW w:w="1278" w:type="dxa"/>
            <w:noWrap w:val="0"/>
            <w:vAlign w:val="center"/>
          </w:tcPr>
          <w:p w14:paraId="3EB85A71">
            <w:pPr>
              <w:rPr>
                <w:bCs/>
                <w:color w:val="auto"/>
                <w:sz w:val="24"/>
              </w:rPr>
            </w:pPr>
          </w:p>
        </w:tc>
        <w:tc>
          <w:tcPr>
            <w:tcW w:w="2315" w:type="dxa"/>
            <w:noWrap w:val="0"/>
            <w:vAlign w:val="center"/>
          </w:tcPr>
          <w:p w14:paraId="7F470123">
            <w:pPr>
              <w:jc w:val="center"/>
              <w:rPr>
                <w:bCs/>
                <w:color w:val="auto"/>
                <w:sz w:val="24"/>
              </w:rPr>
            </w:pPr>
          </w:p>
        </w:tc>
      </w:tr>
      <w:tr w14:paraId="0F57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38EA3097">
            <w:pPr>
              <w:jc w:val="center"/>
              <w:rPr>
                <w:bCs/>
                <w:color w:val="auto"/>
                <w:sz w:val="24"/>
              </w:rPr>
            </w:pPr>
            <w:r>
              <w:rPr>
                <w:bCs/>
                <w:color w:val="auto"/>
                <w:sz w:val="24"/>
              </w:rPr>
              <w:t>2</w:t>
            </w:r>
          </w:p>
        </w:tc>
        <w:tc>
          <w:tcPr>
            <w:tcW w:w="2204" w:type="dxa"/>
            <w:noWrap w:val="0"/>
            <w:vAlign w:val="center"/>
          </w:tcPr>
          <w:p w14:paraId="43534C8A">
            <w:pPr>
              <w:rPr>
                <w:bCs/>
                <w:color w:val="auto"/>
                <w:sz w:val="24"/>
              </w:rPr>
            </w:pPr>
          </w:p>
        </w:tc>
        <w:tc>
          <w:tcPr>
            <w:tcW w:w="2269" w:type="dxa"/>
            <w:noWrap w:val="0"/>
            <w:vAlign w:val="center"/>
          </w:tcPr>
          <w:p w14:paraId="50FABF00">
            <w:pPr>
              <w:rPr>
                <w:bCs/>
                <w:color w:val="auto"/>
                <w:sz w:val="24"/>
              </w:rPr>
            </w:pPr>
          </w:p>
        </w:tc>
        <w:tc>
          <w:tcPr>
            <w:tcW w:w="1278" w:type="dxa"/>
            <w:noWrap w:val="0"/>
            <w:vAlign w:val="center"/>
          </w:tcPr>
          <w:p w14:paraId="4A8E464E">
            <w:pPr>
              <w:rPr>
                <w:bCs/>
                <w:color w:val="auto"/>
                <w:sz w:val="24"/>
              </w:rPr>
            </w:pPr>
          </w:p>
        </w:tc>
        <w:tc>
          <w:tcPr>
            <w:tcW w:w="2315" w:type="dxa"/>
            <w:noWrap w:val="0"/>
            <w:vAlign w:val="center"/>
          </w:tcPr>
          <w:p w14:paraId="461702B1">
            <w:pPr>
              <w:jc w:val="center"/>
              <w:rPr>
                <w:bCs/>
                <w:color w:val="auto"/>
                <w:sz w:val="24"/>
              </w:rPr>
            </w:pPr>
          </w:p>
        </w:tc>
      </w:tr>
      <w:tr w14:paraId="348E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3256D7FB">
            <w:pPr>
              <w:jc w:val="center"/>
              <w:rPr>
                <w:bCs/>
                <w:color w:val="auto"/>
                <w:sz w:val="24"/>
              </w:rPr>
            </w:pPr>
            <w:r>
              <w:rPr>
                <w:bCs/>
                <w:color w:val="auto"/>
                <w:sz w:val="24"/>
              </w:rPr>
              <w:t>3</w:t>
            </w:r>
          </w:p>
        </w:tc>
        <w:tc>
          <w:tcPr>
            <w:tcW w:w="2204" w:type="dxa"/>
            <w:noWrap w:val="0"/>
            <w:vAlign w:val="center"/>
          </w:tcPr>
          <w:p w14:paraId="7A9581CD">
            <w:pPr>
              <w:rPr>
                <w:bCs/>
                <w:color w:val="auto"/>
                <w:sz w:val="24"/>
              </w:rPr>
            </w:pPr>
          </w:p>
        </w:tc>
        <w:tc>
          <w:tcPr>
            <w:tcW w:w="2269" w:type="dxa"/>
            <w:noWrap w:val="0"/>
            <w:vAlign w:val="center"/>
          </w:tcPr>
          <w:p w14:paraId="43E81C02">
            <w:pPr>
              <w:rPr>
                <w:bCs/>
                <w:color w:val="auto"/>
                <w:sz w:val="24"/>
              </w:rPr>
            </w:pPr>
          </w:p>
        </w:tc>
        <w:tc>
          <w:tcPr>
            <w:tcW w:w="1278" w:type="dxa"/>
            <w:noWrap w:val="0"/>
            <w:vAlign w:val="center"/>
          </w:tcPr>
          <w:p w14:paraId="145064B5">
            <w:pPr>
              <w:rPr>
                <w:bCs/>
                <w:color w:val="auto"/>
                <w:sz w:val="24"/>
              </w:rPr>
            </w:pPr>
          </w:p>
        </w:tc>
        <w:tc>
          <w:tcPr>
            <w:tcW w:w="2315" w:type="dxa"/>
            <w:noWrap w:val="0"/>
            <w:vAlign w:val="center"/>
          </w:tcPr>
          <w:p w14:paraId="61D0E681">
            <w:pPr>
              <w:jc w:val="center"/>
              <w:rPr>
                <w:bCs/>
                <w:color w:val="auto"/>
                <w:sz w:val="24"/>
              </w:rPr>
            </w:pPr>
          </w:p>
        </w:tc>
      </w:tr>
      <w:tr w14:paraId="247F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096E57BC">
            <w:pPr>
              <w:jc w:val="center"/>
              <w:rPr>
                <w:bCs/>
                <w:color w:val="auto"/>
                <w:sz w:val="24"/>
              </w:rPr>
            </w:pPr>
            <w:r>
              <w:rPr>
                <w:bCs/>
                <w:color w:val="auto"/>
                <w:sz w:val="24"/>
              </w:rPr>
              <w:t>4</w:t>
            </w:r>
          </w:p>
        </w:tc>
        <w:tc>
          <w:tcPr>
            <w:tcW w:w="2204" w:type="dxa"/>
            <w:noWrap w:val="0"/>
            <w:vAlign w:val="center"/>
          </w:tcPr>
          <w:p w14:paraId="067D0BCD">
            <w:pPr>
              <w:rPr>
                <w:bCs/>
                <w:color w:val="auto"/>
                <w:sz w:val="24"/>
              </w:rPr>
            </w:pPr>
          </w:p>
        </w:tc>
        <w:tc>
          <w:tcPr>
            <w:tcW w:w="2269" w:type="dxa"/>
            <w:noWrap w:val="0"/>
            <w:vAlign w:val="center"/>
          </w:tcPr>
          <w:p w14:paraId="37ED8F66">
            <w:pPr>
              <w:rPr>
                <w:bCs/>
                <w:color w:val="auto"/>
                <w:sz w:val="24"/>
              </w:rPr>
            </w:pPr>
          </w:p>
        </w:tc>
        <w:tc>
          <w:tcPr>
            <w:tcW w:w="1278" w:type="dxa"/>
            <w:noWrap w:val="0"/>
            <w:vAlign w:val="center"/>
          </w:tcPr>
          <w:p w14:paraId="5E7C65FF">
            <w:pPr>
              <w:rPr>
                <w:bCs/>
                <w:color w:val="auto"/>
                <w:sz w:val="24"/>
              </w:rPr>
            </w:pPr>
          </w:p>
        </w:tc>
        <w:tc>
          <w:tcPr>
            <w:tcW w:w="2315" w:type="dxa"/>
            <w:noWrap w:val="0"/>
            <w:vAlign w:val="center"/>
          </w:tcPr>
          <w:p w14:paraId="59A263F9">
            <w:pPr>
              <w:jc w:val="center"/>
              <w:rPr>
                <w:bCs/>
                <w:color w:val="auto"/>
                <w:sz w:val="24"/>
              </w:rPr>
            </w:pPr>
          </w:p>
        </w:tc>
      </w:tr>
      <w:tr w14:paraId="6514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743C745A">
            <w:pPr>
              <w:jc w:val="center"/>
              <w:rPr>
                <w:bCs/>
                <w:color w:val="auto"/>
                <w:sz w:val="24"/>
              </w:rPr>
            </w:pPr>
            <w:r>
              <w:rPr>
                <w:bCs/>
                <w:color w:val="auto"/>
                <w:sz w:val="24"/>
              </w:rPr>
              <w:t>5</w:t>
            </w:r>
          </w:p>
        </w:tc>
        <w:tc>
          <w:tcPr>
            <w:tcW w:w="2204" w:type="dxa"/>
            <w:noWrap w:val="0"/>
            <w:vAlign w:val="center"/>
          </w:tcPr>
          <w:p w14:paraId="6AF42846">
            <w:pPr>
              <w:rPr>
                <w:bCs/>
                <w:color w:val="auto"/>
                <w:sz w:val="24"/>
              </w:rPr>
            </w:pPr>
          </w:p>
        </w:tc>
        <w:tc>
          <w:tcPr>
            <w:tcW w:w="2269" w:type="dxa"/>
            <w:noWrap w:val="0"/>
            <w:vAlign w:val="center"/>
          </w:tcPr>
          <w:p w14:paraId="289E5B79">
            <w:pPr>
              <w:rPr>
                <w:bCs/>
                <w:color w:val="auto"/>
                <w:sz w:val="24"/>
              </w:rPr>
            </w:pPr>
          </w:p>
        </w:tc>
        <w:tc>
          <w:tcPr>
            <w:tcW w:w="1278" w:type="dxa"/>
            <w:noWrap w:val="0"/>
            <w:vAlign w:val="center"/>
          </w:tcPr>
          <w:p w14:paraId="0F930CDE">
            <w:pPr>
              <w:rPr>
                <w:bCs/>
                <w:color w:val="auto"/>
                <w:sz w:val="24"/>
              </w:rPr>
            </w:pPr>
          </w:p>
        </w:tc>
        <w:tc>
          <w:tcPr>
            <w:tcW w:w="2315" w:type="dxa"/>
            <w:noWrap w:val="0"/>
            <w:vAlign w:val="center"/>
          </w:tcPr>
          <w:p w14:paraId="1AB83572">
            <w:pPr>
              <w:jc w:val="center"/>
              <w:rPr>
                <w:bCs/>
                <w:color w:val="auto"/>
                <w:sz w:val="24"/>
              </w:rPr>
            </w:pPr>
          </w:p>
        </w:tc>
      </w:tr>
      <w:tr w14:paraId="128C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2D64E18F">
            <w:pPr>
              <w:jc w:val="center"/>
              <w:rPr>
                <w:bCs/>
                <w:color w:val="auto"/>
                <w:sz w:val="24"/>
              </w:rPr>
            </w:pPr>
            <w:r>
              <w:rPr>
                <w:bCs/>
                <w:color w:val="auto"/>
                <w:sz w:val="24"/>
              </w:rPr>
              <w:t>6</w:t>
            </w:r>
          </w:p>
        </w:tc>
        <w:tc>
          <w:tcPr>
            <w:tcW w:w="2204" w:type="dxa"/>
            <w:noWrap w:val="0"/>
            <w:vAlign w:val="center"/>
          </w:tcPr>
          <w:p w14:paraId="1C565F23">
            <w:pPr>
              <w:rPr>
                <w:bCs/>
                <w:color w:val="auto"/>
                <w:sz w:val="24"/>
              </w:rPr>
            </w:pPr>
          </w:p>
        </w:tc>
        <w:tc>
          <w:tcPr>
            <w:tcW w:w="2269" w:type="dxa"/>
            <w:noWrap w:val="0"/>
            <w:vAlign w:val="center"/>
          </w:tcPr>
          <w:p w14:paraId="6D9D794B">
            <w:pPr>
              <w:rPr>
                <w:bCs/>
                <w:color w:val="auto"/>
                <w:sz w:val="24"/>
              </w:rPr>
            </w:pPr>
          </w:p>
        </w:tc>
        <w:tc>
          <w:tcPr>
            <w:tcW w:w="1278" w:type="dxa"/>
            <w:noWrap w:val="0"/>
            <w:vAlign w:val="center"/>
          </w:tcPr>
          <w:p w14:paraId="11257809">
            <w:pPr>
              <w:rPr>
                <w:bCs/>
                <w:color w:val="auto"/>
                <w:sz w:val="24"/>
              </w:rPr>
            </w:pPr>
          </w:p>
        </w:tc>
        <w:tc>
          <w:tcPr>
            <w:tcW w:w="2315" w:type="dxa"/>
            <w:noWrap w:val="0"/>
            <w:vAlign w:val="center"/>
          </w:tcPr>
          <w:p w14:paraId="34348834">
            <w:pPr>
              <w:jc w:val="center"/>
              <w:rPr>
                <w:bCs/>
                <w:color w:val="auto"/>
                <w:sz w:val="24"/>
              </w:rPr>
            </w:pPr>
          </w:p>
        </w:tc>
      </w:tr>
      <w:tr w14:paraId="40E7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66724516">
            <w:pPr>
              <w:jc w:val="center"/>
              <w:rPr>
                <w:bCs/>
                <w:color w:val="auto"/>
                <w:sz w:val="24"/>
              </w:rPr>
            </w:pPr>
            <w:r>
              <w:rPr>
                <w:bCs/>
                <w:color w:val="auto"/>
                <w:sz w:val="24"/>
              </w:rPr>
              <w:t>7</w:t>
            </w:r>
          </w:p>
        </w:tc>
        <w:tc>
          <w:tcPr>
            <w:tcW w:w="2204" w:type="dxa"/>
            <w:noWrap w:val="0"/>
            <w:vAlign w:val="center"/>
          </w:tcPr>
          <w:p w14:paraId="7E57A597">
            <w:pPr>
              <w:rPr>
                <w:bCs/>
                <w:color w:val="auto"/>
                <w:sz w:val="24"/>
              </w:rPr>
            </w:pPr>
          </w:p>
        </w:tc>
        <w:tc>
          <w:tcPr>
            <w:tcW w:w="2269" w:type="dxa"/>
            <w:noWrap w:val="0"/>
            <w:vAlign w:val="center"/>
          </w:tcPr>
          <w:p w14:paraId="1EBB43EA">
            <w:pPr>
              <w:rPr>
                <w:bCs/>
                <w:color w:val="auto"/>
                <w:sz w:val="24"/>
              </w:rPr>
            </w:pPr>
          </w:p>
        </w:tc>
        <w:tc>
          <w:tcPr>
            <w:tcW w:w="1278" w:type="dxa"/>
            <w:noWrap w:val="0"/>
            <w:vAlign w:val="center"/>
          </w:tcPr>
          <w:p w14:paraId="6426C95A">
            <w:pPr>
              <w:rPr>
                <w:bCs/>
                <w:color w:val="auto"/>
                <w:sz w:val="24"/>
              </w:rPr>
            </w:pPr>
          </w:p>
        </w:tc>
        <w:tc>
          <w:tcPr>
            <w:tcW w:w="2315" w:type="dxa"/>
            <w:noWrap w:val="0"/>
            <w:vAlign w:val="center"/>
          </w:tcPr>
          <w:p w14:paraId="7C3540F7">
            <w:pPr>
              <w:jc w:val="center"/>
              <w:rPr>
                <w:bCs/>
                <w:color w:val="auto"/>
                <w:sz w:val="24"/>
              </w:rPr>
            </w:pPr>
          </w:p>
        </w:tc>
      </w:tr>
      <w:tr w14:paraId="1B75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78230B4C">
            <w:pPr>
              <w:jc w:val="center"/>
              <w:rPr>
                <w:bCs/>
                <w:color w:val="auto"/>
                <w:sz w:val="24"/>
              </w:rPr>
            </w:pPr>
            <w:r>
              <w:rPr>
                <w:bCs/>
                <w:color w:val="auto"/>
                <w:sz w:val="24"/>
              </w:rPr>
              <w:t>8</w:t>
            </w:r>
          </w:p>
        </w:tc>
        <w:tc>
          <w:tcPr>
            <w:tcW w:w="2204" w:type="dxa"/>
            <w:noWrap w:val="0"/>
            <w:vAlign w:val="center"/>
          </w:tcPr>
          <w:p w14:paraId="1F911F91">
            <w:pPr>
              <w:rPr>
                <w:bCs/>
                <w:color w:val="auto"/>
                <w:sz w:val="24"/>
              </w:rPr>
            </w:pPr>
          </w:p>
        </w:tc>
        <w:tc>
          <w:tcPr>
            <w:tcW w:w="2269" w:type="dxa"/>
            <w:noWrap w:val="0"/>
            <w:vAlign w:val="center"/>
          </w:tcPr>
          <w:p w14:paraId="58D789DF">
            <w:pPr>
              <w:rPr>
                <w:bCs/>
                <w:color w:val="auto"/>
                <w:sz w:val="24"/>
              </w:rPr>
            </w:pPr>
          </w:p>
        </w:tc>
        <w:tc>
          <w:tcPr>
            <w:tcW w:w="1278" w:type="dxa"/>
            <w:noWrap w:val="0"/>
            <w:vAlign w:val="center"/>
          </w:tcPr>
          <w:p w14:paraId="27FFA7C3">
            <w:pPr>
              <w:rPr>
                <w:bCs/>
                <w:color w:val="auto"/>
                <w:sz w:val="24"/>
              </w:rPr>
            </w:pPr>
          </w:p>
        </w:tc>
        <w:tc>
          <w:tcPr>
            <w:tcW w:w="2315" w:type="dxa"/>
            <w:noWrap w:val="0"/>
            <w:vAlign w:val="center"/>
          </w:tcPr>
          <w:p w14:paraId="0C194E47">
            <w:pPr>
              <w:jc w:val="center"/>
              <w:rPr>
                <w:bCs/>
                <w:color w:val="auto"/>
                <w:sz w:val="24"/>
              </w:rPr>
            </w:pPr>
          </w:p>
        </w:tc>
      </w:tr>
      <w:tr w14:paraId="5800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1A4D6C14">
            <w:pPr>
              <w:jc w:val="center"/>
              <w:rPr>
                <w:bCs/>
                <w:color w:val="auto"/>
                <w:sz w:val="24"/>
              </w:rPr>
            </w:pPr>
            <w:r>
              <w:rPr>
                <w:bCs/>
                <w:color w:val="auto"/>
                <w:sz w:val="24"/>
              </w:rPr>
              <w:t>…</w:t>
            </w:r>
          </w:p>
        </w:tc>
        <w:tc>
          <w:tcPr>
            <w:tcW w:w="2204" w:type="dxa"/>
            <w:noWrap w:val="0"/>
            <w:vAlign w:val="center"/>
          </w:tcPr>
          <w:p w14:paraId="7D525C7F">
            <w:pPr>
              <w:rPr>
                <w:bCs/>
                <w:color w:val="auto"/>
                <w:sz w:val="24"/>
              </w:rPr>
            </w:pPr>
          </w:p>
        </w:tc>
        <w:tc>
          <w:tcPr>
            <w:tcW w:w="2269" w:type="dxa"/>
            <w:noWrap w:val="0"/>
            <w:vAlign w:val="center"/>
          </w:tcPr>
          <w:p w14:paraId="6161D626">
            <w:pPr>
              <w:rPr>
                <w:bCs/>
                <w:color w:val="auto"/>
                <w:sz w:val="24"/>
              </w:rPr>
            </w:pPr>
          </w:p>
        </w:tc>
        <w:tc>
          <w:tcPr>
            <w:tcW w:w="1278" w:type="dxa"/>
            <w:noWrap w:val="0"/>
            <w:vAlign w:val="center"/>
          </w:tcPr>
          <w:p w14:paraId="756A3AD9">
            <w:pPr>
              <w:rPr>
                <w:bCs/>
                <w:color w:val="auto"/>
                <w:sz w:val="24"/>
              </w:rPr>
            </w:pPr>
          </w:p>
        </w:tc>
        <w:tc>
          <w:tcPr>
            <w:tcW w:w="2315" w:type="dxa"/>
            <w:noWrap w:val="0"/>
            <w:vAlign w:val="center"/>
          </w:tcPr>
          <w:p w14:paraId="06A55ABE">
            <w:pPr>
              <w:jc w:val="center"/>
              <w:rPr>
                <w:bCs/>
                <w:color w:val="auto"/>
                <w:sz w:val="24"/>
              </w:rPr>
            </w:pPr>
          </w:p>
        </w:tc>
      </w:tr>
    </w:tbl>
    <w:p w14:paraId="294A4030">
      <w:pPr>
        <w:adjustRightInd w:val="0"/>
        <w:snapToGrid w:val="0"/>
        <w:ind w:left="720" w:hanging="720" w:hangingChars="300"/>
        <w:rPr>
          <w:rFonts w:ascii="宋体" w:hAnsi="宋体"/>
          <w:color w:val="auto"/>
          <w:sz w:val="24"/>
        </w:rPr>
      </w:pPr>
      <w:r>
        <w:rPr>
          <w:rFonts w:ascii="宋体" w:hAnsi="宋体"/>
          <w:color w:val="auto"/>
          <w:sz w:val="24"/>
        </w:rPr>
        <w:t>说明：</w:t>
      </w:r>
    </w:p>
    <w:p w14:paraId="61AA6CBE">
      <w:pPr>
        <w:spacing w:line="300" w:lineRule="auto"/>
        <w:ind w:firstLine="480" w:firstLineChars="200"/>
        <w:rPr>
          <w:color w:val="auto"/>
          <w:sz w:val="24"/>
        </w:rPr>
      </w:pPr>
      <w:r>
        <w:rPr>
          <w:color w:val="auto"/>
          <w:sz w:val="24"/>
        </w:rPr>
        <w:t>1. 备注栏中应提供相关内容在响应文件中的页码。</w:t>
      </w:r>
    </w:p>
    <w:p w14:paraId="155CEFB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6384863B">
      <w:pPr>
        <w:rPr>
          <w:bCs/>
          <w:color w:val="auto"/>
          <w:szCs w:val="28"/>
        </w:rPr>
      </w:pPr>
    </w:p>
    <w:p w14:paraId="0118E39C">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1768030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B2934BC">
      <w:pPr>
        <w:spacing w:line="480" w:lineRule="auto"/>
        <w:rPr>
          <w:color w:val="auto"/>
          <w:sz w:val="24"/>
          <w:u w:val="single"/>
        </w:rPr>
      </w:pPr>
      <w:r>
        <w:rPr>
          <w:color w:val="auto"/>
          <w:sz w:val="24"/>
        </w:rPr>
        <w:t>时间：</w:t>
      </w:r>
    </w:p>
    <w:p w14:paraId="408B31D1">
      <w:pPr>
        <w:rPr>
          <w:bCs/>
          <w:color w:val="auto"/>
          <w:sz w:val="24"/>
        </w:rPr>
      </w:pPr>
      <w:r>
        <w:rPr>
          <w:bCs/>
          <w:color w:val="auto"/>
          <w:szCs w:val="28"/>
        </w:rPr>
        <w:br w:type="page"/>
      </w:r>
      <w:r>
        <w:rPr>
          <w:bCs/>
          <w:color w:val="auto"/>
          <w:sz w:val="24"/>
        </w:rPr>
        <w:t>附件</w:t>
      </w:r>
      <w:r>
        <w:rPr>
          <w:rFonts w:hint="eastAsia"/>
          <w:bCs/>
          <w:color w:val="auto"/>
          <w:sz w:val="24"/>
        </w:rPr>
        <w:t>6</w:t>
      </w:r>
    </w:p>
    <w:p w14:paraId="66A3915D">
      <w:pPr>
        <w:jc w:val="center"/>
        <w:rPr>
          <w:bCs/>
          <w:color w:val="auto"/>
          <w:sz w:val="32"/>
          <w:szCs w:val="32"/>
        </w:rPr>
      </w:pPr>
      <w:r>
        <w:rPr>
          <w:bCs/>
          <w:color w:val="auto"/>
          <w:sz w:val="32"/>
          <w:szCs w:val="32"/>
        </w:rPr>
        <w:t>合同草案条款响应、偏离情况说明表</w:t>
      </w:r>
    </w:p>
    <w:p w14:paraId="69135101">
      <w:pPr>
        <w:rPr>
          <w:bCs/>
          <w:color w:val="auto"/>
          <w:sz w:val="24"/>
        </w:rPr>
      </w:pPr>
      <w:r>
        <w:rPr>
          <w:bCs/>
          <w:color w:val="auto"/>
          <w:sz w:val="24"/>
        </w:rPr>
        <w:t>项目名称：</w:t>
      </w:r>
    </w:p>
    <w:p w14:paraId="75005824">
      <w:pPr>
        <w:rPr>
          <w:bCs/>
          <w:color w:val="auto"/>
          <w:sz w:val="24"/>
        </w:rPr>
      </w:pPr>
      <w:r>
        <w:rPr>
          <w:bCs/>
          <w:color w:val="auto"/>
          <w:sz w:val="24"/>
        </w:rPr>
        <w:t>项目编号：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7CA5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noWrap w:val="0"/>
            <w:vAlign w:val="center"/>
          </w:tcPr>
          <w:p w14:paraId="63CAC4C5">
            <w:pPr>
              <w:rPr>
                <w:bCs/>
                <w:color w:val="auto"/>
                <w:sz w:val="24"/>
              </w:rPr>
            </w:pPr>
            <w:r>
              <w:rPr>
                <w:bCs/>
                <w:color w:val="auto"/>
                <w:sz w:val="24"/>
              </w:rPr>
              <w:t>序号</w:t>
            </w:r>
          </w:p>
        </w:tc>
        <w:tc>
          <w:tcPr>
            <w:tcW w:w="2061" w:type="dxa"/>
            <w:noWrap w:val="0"/>
            <w:vAlign w:val="center"/>
          </w:tcPr>
          <w:p w14:paraId="5A99672C">
            <w:pPr>
              <w:ind w:right="-106" w:rightChars="-38"/>
              <w:jc w:val="center"/>
              <w:rPr>
                <w:bCs/>
                <w:color w:val="auto"/>
                <w:sz w:val="24"/>
              </w:rPr>
            </w:pPr>
            <w:r>
              <w:rPr>
                <w:bCs/>
                <w:color w:val="auto"/>
                <w:sz w:val="24"/>
              </w:rPr>
              <w:t>谈判文件要求部分</w:t>
            </w:r>
          </w:p>
        </w:tc>
        <w:tc>
          <w:tcPr>
            <w:tcW w:w="2269" w:type="dxa"/>
            <w:noWrap w:val="0"/>
            <w:vAlign w:val="center"/>
          </w:tcPr>
          <w:p w14:paraId="7291FACC">
            <w:pPr>
              <w:ind w:left="2" w:leftChars="-38" w:right="-106" w:rightChars="-38" w:hanging="108" w:hangingChars="45"/>
              <w:jc w:val="center"/>
              <w:rPr>
                <w:bCs/>
                <w:color w:val="auto"/>
                <w:sz w:val="24"/>
              </w:rPr>
            </w:pPr>
            <w:r>
              <w:rPr>
                <w:bCs/>
                <w:color w:val="auto"/>
                <w:sz w:val="24"/>
              </w:rPr>
              <w:t>响应文件的响应部分</w:t>
            </w:r>
          </w:p>
        </w:tc>
        <w:tc>
          <w:tcPr>
            <w:tcW w:w="1277" w:type="dxa"/>
            <w:noWrap w:val="0"/>
            <w:vAlign w:val="center"/>
          </w:tcPr>
          <w:p w14:paraId="3034CE31">
            <w:pPr>
              <w:jc w:val="center"/>
              <w:rPr>
                <w:bCs/>
                <w:color w:val="auto"/>
                <w:sz w:val="24"/>
              </w:rPr>
            </w:pPr>
            <w:r>
              <w:rPr>
                <w:bCs/>
                <w:color w:val="auto"/>
                <w:sz w:val="24"/>
              </w:rPr>
              <w:t>偏离说明</w:t>
            </w:r>
          </w:p>
        </w:tc>
        <w:tc>
          <w:tcPr>
            <w:tcW w:w="2459" w:type="dxa"/>
            <w:noWrap w:val="0"/>
            <w:vAlign w:val="center"/>
          </w:tcPr>
          <w:p w14:paraId="77670E63">
            <w:pPr>
              <w:jc w:val="center"/>
              <w:rPr>
                <w:bCs/>
                <w:color w:val="auto"/>
                <w:sz w:val="24"/>
              </w:rPr>
            </w:pPr>
            <w:r>
              <w:rPr>
                <w:bCs/>
                <w:color w:val="auto"/>
                <w:sz w:val="24"/>
              </w:rPr>
              <w:t>备注</w:t>
            </w:r>
          </w:p>
        </w:tc>
      </w:tr>
      <w:tr w14:paraId="4F01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76F7F8A4">
            <w:pPr>
              <w:rPr>
                <w:bCs/>
                <w:color w:val="auto"/>
                <w:sz w:val="24"/>
              </w:rPr>
            </w:pPr>
            <w:r>
              <w:rPr>
                <w:bCs/>
                <w:color w:val="auto"/>
                <w:sz w:val="24"/>
              </w:rPr>
              <w:t>1</w:t>
            </w:r>
          </w:p>
        </w:tc>
        <w:tc>
          <w:tcPr>
            <w:tcW w:w="2061" w:type="dxa"/>
            <w:noWrap w:val="0"/>
            <w:vAlign w:val="center"/>
          </w:tcPr>
          <w:p w14:paraId="52A203E5">
            <w:pPr>
              <w:rPr>
                <w:bCs/>
                <w:color w:val="auto"/>
                <w:sz w:val="24"/>
              </w:rPr>
            </w:pPr>
          </w:p>
        </w:tc>
        <w:tc>
          <w:tcPr>
            <w:tcW w:w="2269" w:type="dxa"/>
            <w:noWrap w:val="0"/>
            <w:vAlign w:val="center"/>
          </w:tcPr>
          <w:p w14:paraId="5817546C">
            <w:pPr>
              <w:rPr>
                <w:bCs/>
                <w:color w:val="auto"/>
                <w:sz w:val="24"/>
              </w:rPr>
            </w:pPr>
          </w:p>
        </w:tc>
        <w:tc>
          <w:tcPr>
            <w:tcW w:w="1277" w:type="dxa"/>
            <w:noWrap w:val="0"/>
            <w:vAlign w:val="center"/>
          </w:tcPr>
          <w:p w14:paraId="6EA49C18">
            <w:pPr>
              <w:rPr>
                <w:bCs/>
                <w:color w:val="auto"/>
                <w:sz w:val="24"/>
              </w:rPr>
            </w:pPr>
          </w:p>
        </w:tc>
        <w:tc>
          <w:tcPr>
            <w:tcW w:w="2459" w:type="dxa"/>
            <w:noWrap w:val="0"/>
            <w:vAlign w:val="center"/>
          </w:tcPr>
          <w:p w14:paraId="0DB0723C">
            <w:pPr>
              <w:jc w:val="center"/>
              <w:rPr>
                <w:bCs/>
                <w:color w:val="auto"/>
                <w:sz w:val="24"/>
              </w:rPr>
            </w:pPr>
          </w:p>
        </w:tc>
      </w:tr>
      <w:tr w14:paraId="4516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6E5D7AEF">
            <w:pPr>
              <w:rPr>
                <w:bCs/>
                <w:color w:val="auto"/>
                <w:sz w:val="24"/>
              </w:rPr>
            </w:pPr>
            <w:r>
              <w:rPr>
                <w:bCs/>
                <w:color w:val="auto"/>
                <w:sz w:val="24"/>
              </w:rPr>
              <w:t>2</w:t>
            </w:r>
          </w:p>
        </w:tc>
        <w:tc>
          <w:tcPr>
            <w:tcW w:w="2061" w:type="dxa"/>
            <w:noWrap w:val="0"/>
            <w:vAlign w:val="center"/>
          </w:tcPr>
          <w:p w14:paraId="32DE6B99">
            <w:pPr>
              <w:rPr>
                <w:bCs/>
                <w:color w:val="auto"/>
                <w:sz w:val="24"/>
              </w:rPr>
            </w:pPr>
          </w:p>
        </w:tc>
        <w:tc>
          <w:tcPr>
            <w:tcW w:w="2269" w:type="dxa"/>
            <w:noWrap w:val="0"/>
            <w:vAlign w:val="center"/>
          </w:tcPr>
          <w:p w14:paraId="2A3E0D1A">
            <w:pPr>
              <w:rPr>
                <w:bCs/>
                <w:color w:val="auto"/>
                <w:sz w:val="24"/>
              </w:rPr>
            </w:pPr>
          </w:p>
        </w:tc>
        <w:tc>
          <w:tcPr>
            <w:tcW w:w="1277" w:type="dxa"/>
            <w:noWrap w:val="0"/>
            <w:vAlign w:val="center"/>
          </w:tcPr>
          <w:p w14:paraId="633312F6">
            <w:pPr>
              <w:rPr>
                <w:bCs/>
                <w:color w:val="auto"/>
                <w:sz w:val="24"/>
              </w:rPr>
            </w:pPr>
          </w:p>
        </w:tc>
        <w:tc>
          <w:tcPr>
            <w:tcW w:w="2459" w:type="dxa"/>
            <w:noWrap w:val="0"/>
            <w:vAlign w:val="center"/>
          </w:tcPr>
          <w:p w14:paraId="51E69B7F">
            <w:pPr>
              <w:jc w:val="center"/>
              <w:rPr>
                <w:bCs/>
                <w:color w:val="auto"/>
                <w:sz w:val="24"/>
              </w:rPr>
            </w:pPr>
          </w:p>
        </w:tc>
      </w:tr>
      <w:tr w14:paraId="1BE9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3D434ADB">
            <w:pPr>
              <w:rPr>
                <w:bCs/>
                <w:color w:val="auto"/>
                <w:sz w:val="24"/>
              </w:rPr>
            </w:pPr>
            <w:r>
              <w:rPr>
                <w:bCs/>
                <w:color w:val="auto"/>
                <w:sz w:val="24"/>
              </w:rPr>
              <w:t>3</w:t>
            </w:r>
          </w:p>
        </w:tc>
        <w:tc>
          <w:tcPr>
            <w:tcW w:w="2061" w:type="dxa"/>
            <w:noWrap w:val="0"/>
            <w:vAlign w:val="center"/>
          </w:tcPr>
          <w:p w14:paraId="4D258255">
            <w:pPr>
              <w:rPr>
                <w:bCs/>
                <w:color w:val="auto"/>
                <w:sz w:val="24"/>
              </w:rPr>
            </w:pPr>
          </w:p>
        </w:tc>
        <w:tc>
          <w:tcPr>
            <w:tcW w:w="2269" w:type="dxa"/>
            <w:noWrap w:val="0"/>
            <w:vAlign w:val="center"/>
          </w:tcPr>
          <w:p w14:paraId="1B2C8C90">
            <w:pPr>
              <w:rPr>
                <w:bCs/>
                <w:color w:val="auto"/>
                <w:sz w:val="24"/>
              </w:rPr>
            </w:pPr>
          </w:p>
        </w:tc>
        <w:tc>
          <w:tcPr>
            <w:tcW w:w="1277" w:type="dxa"/>
            <w:noWrap w:val="0"/>
            <w:vAlign w:val="center"/>
          </w:tcPr>
          <w:p w14:paraId="0DB1A357">
            <w:pPr>
              <w:rPr>
                <w:bCs/>
                <w:color w:val="auto"/>
                <w:sz w:val="24"/>
              </w:rPr>
            </w:pPr>
          </w:p>
        </w:tc>
        <w:tc>
          <w:tcPr>
            <w:tcW w:w="2459" w:type="dxa"/>
            <w:noWrap w:val="0"/>
            <w:vAlign w:val="center"/>
          </w:tcPr>
          <w:p w14:paraId="2760A198">
            <w:pPr>
              <w:jc w:val="center"/>
              <w:rPr>
                <w:bCs/>
                <w:color w:val="auto"/>
                <w:sz w:val="24"/>
              </w:rPr>
            </w:pPr>
          </w:p>
        </w:tc>
      </w:tr>
      <w:tr w14:paraId="5090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14EC068E">
            <w:pPr>
              <w:rPr>
                <w:bCs/>
                <w:color w:val="auto"/>
                <w:sz w:val="24"/>
              </w:rPr>
            </w:pPr>
            <w:r>
              <w:rPr>
                <w:bCs/>
                <w:color w:val="auto"/>
                <w:sz w:val="24"/>
              </w:rPr>
              <w:t>4</w:t>
            </w:r>
          </w:p>
        </w:tc>
        <w:tc>
          <w:tcPr>
            <w:tcW w:w="2061" w:type="dxa"/>
            <w:noWrap w:val="0"/>
            <w:vAlign w:val="center"/>
          </w:tcPr>
          <w:p w14:paraId="47EC27FD">
            <w:pPr>
              <w:rPr>
                <w:bCs/>
                <w:color w:val="auto"/>
                <w:sz w:val="24"/>
              </w:rPr>
            </w:pPr>
          </w:p>
        </w:tc>
        <w:tc>
          <w:tcPr>
            <w:tcW w:w="2269" w:type="dxa"/>
            <w:noWrap w:val="0"/>
            <w:vAlign w:val="center"/>
          </w:tcPr>
          <w:p w14:paraId="72DD54A0">
            <w:pPr>
              <w:rPr>
                <w:bCs/>
                <w:color w:val="auto"/>
                <w:sz w:val="24"/>
              </w:rPr>
            </w:pPr>
          </w:p>
        </w:tc>
        <w:tc>
          <w:tcPr>
            <w:tcW w:w="1277" w:type="dxa"/>
            <w:noWrap w:val="0"/>
            <w:vAlign w:val="center"/>
          </w:tcPr>
          <w:p w14:paraId="6D2704EB">
            <w:pPr>
              <w:rPr>
                <w:bCs/>
                <w:color w:val="auto"/>
                <w:sz w:val="24"/>
              </w:rPr>
            </w:pPr>
          </w:p>
        </w:tc>
        <w:tc>
          <w:tcPr>
            <w:tcW w:w="2459" w:type="dxa"/>
            <w:noWrap w:val="0"/>
            <w:vAlign w:val="center"/>
          </w:tcPr>
          <w:p w14:paraId="26C7BE38">
            <w:pPr>
              <w:jc w:val="center"/>
              <w:rPr>
                <w:bCs/>
                <w:color w:val="auto"/>
                <w:sz w:val="24"/>
              </w:rPr>
            </w:pPr>
          </w:p>
        </w:tc>
      </w:tr>
      <w:tr w14:paraId="75E6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04709A4B">
            <w:pPr>
              <w:rPr>
                <w:bCs/>
                <w:color w:val="auto"/>
                <w:sz w:val="24"/>
              </w:rPr>
            </w:pPr>
            <w:r>
              <w:rPr>
                <w:bCs/>
                <w:color w:val="auto"/>
                <w:sz w:val="24"/>
              </w:rPr>
              <w:t>5</w:t>
            </w:r>
          </w:p>
        </w:tc>
        <w:tc>
          <w:tcPr>
            <w:tcW w:w="2061" w:type="dxa"/>
            <w:noWrap w:val="0"/>
            <w:vAlign w:val="center"/>
          </w:tcPr>
          <w:p w14:paraId="4BA7E815">
            <w:pPr>
              <w:rPr>
                <w:bCs/>
                <w:color w:val="auto"/>
                <w:sz w:val="24"/>
              </w:rPr>
            </w:pPr>
          </w:p>
        </w:tc>
        <w:tc>
          <w:tcPr>
            <w:tcW w:w="2269" w:type="dxa"/>
            <w:noWrap w:val="0"/>
            <w:vAlign w:val="center"/>
          </w:tcPr>
          <w:p w14:paraId="7E6AFC46">
            <w:pPr>
              <w:rPr>
                <w:bCs/>
                <w:color w:val="auto"/>
                <w:sz w:val="24"/>
              </w:rPr>
            </w:pPr>
          </w:p>
        </w:tc>
        <w:tc>
          <w:tcPr>
            <w:tcW w:w="1277" w:type="dxa"/>
            <w:noWrap w:val="0"/>
            <w:vAlign w:val="center"/>
          </w:tcPr>
          <w:p w14:paraId="4F7F292C">
            <w:pPr>
              <w:rPr>
                <w:bCs/>
                <w:color w:val="auto"/>
                <w:sz w:val="24"/>
              </w:rPr>
            </w:pPr>
          </w:p>
        </w:tc>
        <w:tc>
          <w:tcPr>
            <w:tcW w:w="2459" w:type="dxa"/>
            <w:noWrap w:val="0"/>
            <w:vAlign w:val="center"/>
          </w:tcPr>
          <w:p w14:paraId="3AAA76AB">
            <w:pPr>
              <w:jc w:val="center"/>
              <w:rPr>
                <w:bCs/>
                <w:color w:val="auto"/>
                <w:sz w:val="24"/>
              </w:rPr>
            </w:pPr>
          </w:p>
        </w:tc>
      </w:tr>
      <w:tr w14:paraId="1F08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1269DD4D">
            <w:pPr>
              <w:rPr>
                <w:bCs/>
                <w:color w:val="auto"/>
                <w:sz w:val="24"/>
              </w:rPr>
            </w:pPr>
            <w:r>
              <w:rPr>
                <w:bCs/>
                <w:color w:val="auto"/>
                <w:sz w:val="24"/>
              </w:rPr>
              <w:t>6</w:t>
            </w:r>
          </w:p>
        </w:tc>
        <w:tc>
          <w:tcPr>
            <w:tcW w:w="2061" w:type="dxa"/>
            <w:noWrap w:val="0"/>
            <w:vAlign w:val="center"/>
          </w:tcPr>
          <w:p w14:paraId="0EA10964">
            <w:pPr>
              <w:rPr>
                <w:bCs/>
                <w:color w:val="auto"/>
                <w:sz w:val="24"/>
              </w:rPr>
            </w:pPr>
          </w:p>
        </w:tc>
        <w:tc>
          <w:tcPr>
            <w:tcW w:w="2269" w:type="dxa"/>
            <w:noWrap w:val="0"/>
            <w:vAlign w:val="center"/>
          </w:tcPr>
          <w:p w14:paraId="113EB8C0">
            <w:pPr>
              <w:rPr>
                <w:bCs/>
                <w:color w:val="auto"/>
                <w:sz w:val="24"/>
              </w:rPr>
            </w:pPr>
          </w:p>
        </w:tc>
        <w:tc>
          <w:tcPr>
            <w:tcW w:w="1277" w:type="dxa"/>
            <w:noWrap w:val="0"/>
            <w:vAlign w:val="center"/>
          </w:tcPr>
          <w:p w14:paraId="53772E0A">
            <w:pPr>
              <w:rPr>
                <w:bCs/>
                <w:color w:val="auto"/>
                <w:sz w:val="24"/>
              </w:rPr>
            </w:pPr>
          </w:p>
        </w:tc>
        <w:tc>
          <w:tcPr>
            <w:tcW w:w="2459" w:type="dxa"/>
            <w:noWrap w:val="0"/>
            <w:vAlign w:val="center"/>
          </w:tcPr>
          <w:p w14:paraId="23305657">
            <w:pPr>
              <w:jc w:val="center"/>
              <w:rPr>
                <w:bCs/>
                <w:color w:val="auto"/>
                <w:sz w:val="24"/>
              </w:rPr>
            </w:pPr>
          </w:p>
        </w:tc>
      </w:tr>
      <w:tr w14:paraId="6904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6BFC076B">
            <w:pPr>
              <w:rPr>
                <w:bCs/>
                <w:color w:val="auto"/>
                <w:sz w:val="24"/>
              </w:rPr>
            </w:pPr>
            <w:r>
              <w:rPr>
                <w:bCs/>
                <w:color w:val="auto"/>
                <w:sz w:val="24"/>
              </w:rPr>
              <w:t>7</w:t>
            </w:r>
          </w:p>
        </w:tc>
        <w:tc>
          <w:tcPr>
            <w:tcW w:w="2061" w:type="dxa"/>
            <w:noWrap w:val="0"/>
            <w:vAlign w:val="center"/>
          </w:tcPr>
          <w:p w14:paraId="0BC9D70D">
            <w:pPr>
              <w:rPr>
                <w:bCs/>
                <w:color w:val="auto"/>
                <w:sz w:val="24"/>
              </w:rPr>
            </w:pPr>
          </w:p>
        </w:tc>
        <w:tc>
          <w:tcPr>
            <w:tcW w:w="2269" w:type="dxa"/>
            <w:noWrap w:val="0"/>
            <w:vAlign w:val="center"/>
          </w:tcPr>
          <w:p w14:paraId="47F4742C">
            <w:pPr>
              <w:rPr>
                <w:bCs/>
                <w:color w:val="auto"/>
                <w:sz w:val="24"/>
              </w:rPr>
            </w:pPr>
          </w:p>
        </w:tc>
        <w:tc>
          <w:tcPr>
            <w:tcW w:w="1277" w:type="dxa"/>
            <w:noWrap w:val="0"/>
            <w:vAlign w:val="center"/>
          </w:tcPr>
          <w:p w14:paraId="07ADFACA">
            <w:pPr>
              <w:rPr>
                <w:bCs/>
                <w:color w:val="auto"/>
                <w:sz w:val="24"/>
              </w:rPr>
            </w:pPr>
          </w:p>
        </w:tc>
        <w:tc>
          <w:tcPr>
            <w:tcW w:w="2459" w:type="dxa"/>
            <w:noWrap w:val="0"/>
            <w:vAlign w:val="center"/>
          </w:tcPr>
          <w:p w14:paraId="60664260">
            <w:pPr>
              <w:jc w:val="center"/>
              <w:rPr>
                <w:bCs/>
                <w:color w:val="auto"/>
                <w:sz w:val="24"/>
              </w:rPr>
            </w:pPr>
          </w:p>
        </w:tc>
      </w:tr>
      <w:tr w14:paraId="1A50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6A6F68C4">
            <w:pPr>
              <w:rPr>
                <w:bCs/>
                <w:color w:val="auto"/>
                <w:sz w:val="24"/>
              </w:rPr>
            </w:pPr>
            <w:r>
              <w:rPr>
                <w:bCs/>
                <w:color w:val="auto"/>
                <w:sz w:val="24"/>
              </w:rPr>
              <w:t>8</w:t>
            </w:r>
          </w:p>
        </w:tc>
        <w:tc>
          <w:tcPr>
            <w:tcW w:w="2061" w:type="dxa"/>
            <w:noWrap w:val="0"/>
            <w:vAlign w:val="center"/>
          </w:tcPr>
          <w:p w14:paraId="231F35B9">
            <w:pPr>
              <w:rPr>
                <w:bCs/>
                <w:color w:val="auto"/>
                <w:sz w:val="24"/>
              </w:rPr>
            </w:pPr>
          </w:p>
        </w:tc>
        <w:tc>
          <w:tcPr>
            <w:tcW w:w="2269" w:type="dxa"/>
            <w:noWrap w:val="0"/>
            <w:vAlign w:val="center"/>
          </w:tcPr>
          <w:p w14:paraId="19BD5BAD">
            <w:pPr>
              <w:rPr>
                <w:bCs/>
                <w:color w:val="auto"/>
                <w:sz w:val="24"/>
              </w:rPr>
            </w:pPr>
          </w:p>
        </w:tc>
        <w:tc>
          <w:tcPr>
            <w:tcW w:w="1277" w:type="dxa"/>
            <w:noWrap w:val="0"/>
            <w:vAlign w:val="center"/>
          </w:tcPr>
          <w:p w14:paraId="610C5479">
            <w:pPr>
              <w:rPr>
                <w:bCs/>
                <w:color w:val="auto"/>
                <w:sz w:val="24"/>
              </w:rPr>
            </w:pPr>
          </w:p>
        </w:tc>
        <w:tc>
          <w:tcPr>
            <w:tcW w:w="2459" w:type="dxa"/>
            <w:noWrap w:val="0"/>
            <w:vAlign w:val="center"/>
          </w:tcPr>
          <w:p w14:paraId="43EADAF3">
            <w:pPr>
              <w:jc w:val="center"/>
              <w:rPr>
                <w:bCs/>
                <w:color w:val="auto"/>
                <w:sz w:val="24"/>
              </w:rPr>
            </w:pPr>
          </w:p>
        </w:tc>
      </w:tr>
      <w:tr w14:paraId="5988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26E5DF36">
            <w:pPr>
              <w:rPr>
                <w:bCs/>
                <w:color w:val="auto"/>
                <w:sz w:val="24"/>
              </w:rPr>
            </w:pPr>
            <w:r>
              <w:rPr>
                <w:bCs/>
                <w:color w:val="auto"/>
                <w:sz w:val="24"/>
              </w:rPr>
              <w:t>…</w:t>
            </w:r>
          </w:p>
        </w:tc>
        <w:tc>
          <w:tcPr>
            <w:tcW w:w="2061" w:type="dxa"/>
            <w:noWrap w:val="0"/>
            <w:vAlign w:val="center"/>
          </w:tcPr>
          <w:p w14:paraId="45C8614C">
            <w:pPr>
              <w:rPr>
                <w:bCs/>
                <w:color w:val="auto"/>
                <w:sz w:val="24"/>
              </w:rPr>
            </w:pPr>
          </w:p>
        </w:tc>
        <w:tc>
          <w:tcPr>
            <w:tcW w:w="2269" w:type="dxa"/>
            <w:noWrap w:val="0"/>
            <w:vAlign w:val="center"/>
          </w:tcPr>
          <w:p w14:paraId="698A5D32">
            <w:pPr>
              <w:rPr>
                <w:bCs/>
                <w:color w:val="auto"/>
                <w:sz w:val="24"/>
              </w:rPr>
            </w:pPr>
          </w:p>
        </w:tc>
        <w:tc>
          <w:tcPr>
            <w:tcW w:w="1277" w:type="dxa"/>
            <w:noWrap w:val="0"/>
            <w:vAlign w:val="center"/>
          </w:tcPr>
          <w:p w14:paraId="64B7D164">
            <w:pPr>
              <w:rPr>
                <w:bCs/>
                <w:color w:val="auto"/>
                <w:sz w:val="24"/>
              </w:rPr>
            </w:pPr>
          </w:p>
        </w:tc>
        <w:tc>
          <w:tcPr>
            <w:tcW w:w="2459" w:type="dxa"/>
            <w:noWrap w:val="0"/>
            <w:vAlign w:val="center"/>
          </w:tcPr>
          <w:p w14:paraId="5B04D040">
            <w:pPr>
              <w:jc w:val="center"/>
              <w:rPr>
                <w:bCs/>
                <w:color w:val="auto"/>
                <w:sz w:val="24"/>
              </w:rPr>
            </w:pPr>
          </w:p>
        </w:tc>
      </w:tr>
    </w:tbl>
    <w:p w14:paraId="491A825E">
      <w:pPr>
        <w:pStyle w:val="16"/>
        <w:spacing w:line="300" w:lineRule="auto"/>
        <w:ind w:firstLine="0"/>
        <w:rPr>
          <w:rFonts w:ascii="宋体" w:hAnsi="宋体"/>
          <w:color w:val="auto"/>
          <w:sz w:val="24"/>
          <w:szCs w:val="24"/>
        </w:rPr>
      </w:pPr>
      <w:r>
        <w:rPr>
          <w:rFonts w:ascii="宋体" w:hAnsi="宋体"/>
          <w:color w:val="auto"/>
          <w:sz w:val="24"/>
          <w:szCs w:val="24"/>
        </w:rPr>
        <w:t>说明：</w:t>
      </w:r>
    </w:p>
    <w:p w14:paraId="553FA5F5">
      <w:pPr>
        <w:spacing w:line="300" w:lineRule="auto"/>
        <w:ind w:firstLine="480" w:firstLineChars="200"/>
        <w:rPr>
          <w:color w:val="auto"/>
          <w:sz w:val="24"/>
        </w:rPr>
      </w:pPr>
      <w:r>
        <w:rPr>
          <w:color w:val="auto"/>
          <w:sz w:val="24"/>
        </w:rPr>
        <w:t>1. 备注栏中应提供相关内容在响应文件中的页码。</w:t>
      </w:r>
    </w:p>
    <w:p w14:paraId="64C02065">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2BDBA948">
      <w:pPr>
        <w:spacing w:line="440" w:lineRule="exact"/>
        <w:rPr>
          <w:color w:val="auto"/>
          <w:sz w:val="24"/>
        </w:rPr>
      </w:pPr>
    </w:p>
    <w:p w14:paraId="6899E930">
      <w:pPr>
        <w:spacing w:line="440" w:lineRule="exact"/>
        <w:rPr>
          <w:color w:val="auto"/>
          <w:sz w:val="24"/>
          <w:u w:val="single"/>
        </w:rPr>
      </w:pPr>
      <w:r>
        <w:rPr>
          <w:color w:val="auto"/>
          <w:sz w:val="24"/>
        </w:rPr>
        <w:t>供应商名称（公章）：</w:t>
      </w:r>
    </w:p>
    <w:p w14:paraId="6621E5A5">
      <w:pPr>
        <w:spacing w:line="440" w:lineRule="exact"/>
        <w:rPr>
          <w:color w:val="auto"/>
          <w:sz w:val="24"/>
        </w:rPr>
      </w:pPr>
      <w:r>
        <w:rPr>
          <w:color w:val="auto"/>
          <w:sz w:val="24"/>
        </w:rPr>
        <w:t>授权代表（签字）：</w:t>
      </w:r>
    </w:p>
    <w:p w14:paraId="58FD24DE">
      <w:pPr>
        <w:spacing w:line="440" w:lineRule="exact"/>
        <w:rPr>
          <w:color w:val="auto"/>
          <w:sz w:val="24"/>
        </w:rPr>
      </w:pPr>
      <w:r>
        <w:rPr>
          <w:color w:val="auto"/>
          <w:sz w:val="24"/>
        </w:rPr>
        <w:t>时间：</w:t>
      </w:r>
    </w:p>
    <w:p w14:paraId="02B9245B">
      <w:pPr>
        <w:ind w:firstLine="480" w:firstLineChars="200"/>
        <w:rPr>
          <w:rFonts w:ascii="宋体" w:hAnsi="宋体"/>
          <w:color w:val="auto"/>
          <w:sz w:val="24"/>
        </w:rPr>
      </w:pPr>
    </w:p>
    <w:p w14:paraId="7893A1AF">
      <w:pPr>
        <w:pStyle w:val="18"/>
        <w:spacing w:line="500" w:lineRule="exact"/>
        <w:rPr>
          <w:rFonts w:ascii="Times New Roman" w:hAnsi="Times New Roman" w:cs="Times New Roman"/>
          <w:color w:val="auto"/>
          <w:sz w:val="24"/>
          <w:szCs w:val="24"/>
        </w:rPr>
      </w:pPr>
    </w:p>
    <w:p w14:paraId="79054853">
      <w:pPr>
        <w:rPr>
          <w:bCs/>
          <w:color w:val="auto"/>
          <w:sz w:val="24"/>
        </w:rPr>
      </w:pPr>
      <w:r>
        <w:rPr>
          <w:bCs/>
          <w:color w:val="auto"/>
          <w:sz w:val="24"/>
        </w:rPr>
        <w:t>附件</w:t>
      </w:r>
      <w:r>
        <w:rPr>
          <w:rFonts w:hint="eastAsia"/>
          <w:bCs/>
          <w:color w:val="auto"/>
          <w:sz w:val="24"/>
        </w:rPr>
        <w:t>7</w:t>
      </w:r>
    </w:p>
    <w:p w14:paraId="567A03FD">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16E78213">
      <w:pPr>
        <w:spacing w:beforeLines="50" w:afterLines="100"/>
        <w:rPr>
          <w:bCs/>
          <w:color w:val="auto"/>
          <w:sz w:val="24"/>
        </w:rPr>
      </w:pPr>
    </w:p>
    <w:p w14:paraId="0690A5A1">
      <w:pPr>
        <w:spacing w:beforeLines="50" w:afterLines="100"/>
        <w:rPr>
          <w:bCs/>
          <w:color w:val="auto"/>
          <w:sz w:val="24"/>
        </w:rPr>
      </w:pPr>
      <w:r>
        <w:rPr>
          <w:rFonts w:hint="eastAsia"/>
          <w:bCs/>
          <w:color w:val="auto"/>
          <w:sz w:val="24"/>
        </w:rPr>
        <w:t>（集中采购机构名称）</w:t>
      </w:r>
      <w:r>
        <w:rPr>
          <w:bCs/>
          <w:color w:val="auto"/>
          <w:sz w:val="24"/>
        </w:rPr>
        <w:t>：</w:t>
      </w:r>
    </w:p>
    <w:p w14:paraId="6B64918C">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1EF885E">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098A8C5C">
      <w:pPr>
        <w:spacing w:line="440" w:lineRule="exact"/>
        <w:ind w:firstLine="480" w:firstLineChars="200"/>
        <w:rPr>
          <w:bCs/>
          <w:color w:val="auto"/>
          <w:sz w:val="24"/>
        </w:rPr>
      </w:pPr>
      <w:r>
        <w:rPr>
          <w:bCs/>
          <w:color w:val="auto"/>
          <w:sz w:val="24"/>
        </w:rPr>
        <w:t>特此声明。</w:t>
      </w:r>
    </w:p>
    <w:p w14:paraId="4B1172A5">
      <w:pPr>
        <w:spacing w:beforeLines="50" w:afterLines="100" w:line="440" w:lineRule="exact"/>
        <w:rPr>
          <w:bCs/>
          <w:color w:val="auto"/>
          <w:sz w:val="24"/>
        </w:rPr>
      </w:pPr>
    </w:p>
    <w:p w14:paraId="7B6FE13B">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03BC920B">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668F1662">
      <w:pPr>
        <w:spacing w:beforeLines="100" w:after="100" w:afterAutospacing="1"/>
        <w:ind w:firstLine="480" w:firstLineChars="200"/>
        <w:rPr>
          <w:bCs/>
          <w:color w:val="auto"/>
          <w:sz w:val="24"/>
          <w:u w:val="single"/>
        </w:rPr>
      </w:pPr>
      <w:r>
        <w:rPr>
          <w:bCs/>
          <w:color w:val="auto"/>
          <w:sz w:val="24"/>
        </w:rPr>
        <w:t>电话：电话（手机）：</w:t>
      </w:r>
    </w:p>
    <w:p w14:paraId="3A73CA9D">
      <w:pPr>
        <w:spacing w:beforeLines="100" w:after="100" w:afterAutospacing="1"/>
        <w:ind w:firstLine="480" w:firstLineChars="200"/>
        <w:rPr>
          <w:bCs/>
          <w:color w:val="auto"/>
          <w:sz w:val="24"/>
          <w:u w:val="single"/>
        </w:rPr>
      </w:pPr>
      <w:r>
        <w:rPr>
          <w:bCs/>
          <w:color w:val="auto"/>
          <w:sz w:val="24"/>
        </w:rPr>
        <w:t>传真：办公电话/传真：</w:t>
      </w:r>
    </w:p>
    <w:p w14:paraId="3E368AE2">
      <w:pPr>
        <w:spacing w:beforeLines="50" w:afterLines="100"/>
        <w:rPr>
          <w:bCs/>
          <w:color w:val="auto"/>
          <w:sz w:val="24"/>
          <w:u w:val="singl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903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noWrap w:val="0"/>
            <w:vAlign w:val="top"/>
          </w:tcPr>
          <w:p w14:paraId="5D82D979">
            <w:pPr>
              <w:spacing w:beforeLines="50" w:afterLines="100"/>
              <w:rPr>
                <w:bCs/>
                <w:color w:val="auto"/>
                <w:sz w:val="24"/>
              </w:rPr>
            </w:pPr>
            <w:r>
              <w:rPr>
                <w:bCs/>
                <w:color w:val="auto"/>
                <w:sz w:val="24"/>
              </w:rPr>
              <w:t>粘贴被授权人身份证（复印件）</w:t>
            </w:r>
          </w:p>
        </w:tc>
      </w:tr>
    </w:tbl>
    <w:p w14:paraId="157F9C64">
      <w:pPr>
        <w:spacing w:beforeLines="50" w:afterLines="100"/>
        <w:rPr>
          <w:bCs/>
          <w:color w:val="auto"/>
          <w:sz w:val="24"/>
        </w:rPr>
      </w:pPr>
    </w:p>
    <w:p w14:paraId="76814BB6">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8C2474C">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169AC843">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785C18C3">
      <w:pPr>
        <w:rPr>
          <w:rFonts w:eastAsia="仿宋_GB2312"/>
          <w:bCs/>
          <w:color w:val="auto"/>
          <w:szCs w:val="28"/>
        </w:rPr>
      </w:pPr>
    </w:p>
    <w:p w14:paraId="7F7AE85B">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3A60E4D">
      <w:pPr>
        <w:spacing w:line="440" w:lineRule="exact"/>
        <w:ind w:left="360" w:hanging="360" w:hangingChars="150"/>
        <w:rPr>
          <w:bCs/>
          <w:color w:val="auto"/>
          <w:sz w:val="24"/>
        </w:rPr>
      </w:pPr>
    </w:p>
    <w:p w14:paraId="7F190FC2">
      <w:pPr>
        <w:widowControl/>
        <w:jc w:val="left"/>
        <w:rPr>
          <w:bCs/>
          <w:color w:val="auto"/>
          <w:sz w:val="24"/>
        </w:rPr>
      </w:pPr>
      <w:r>
        <w:rPr>
          <w:bCs/>
          <w:color w:val="auto"/>
          <w:sz w:val="24"/>
        </w:rPr>
        <w:br w:type="page"/>
      </w:r>
    </w:p>
    <w:p w14:paraId="7D933F63">
      <w:pPr>
        <w:spacing w:line="440" w:lineRule="exact"/>
        <w:ind w:left="360" w:hanging="360" w:hangingChars="150"/>
        <w:rPr>
          <w:bCs/>
          <w:color w:val="auto"/>
          <w:sz w:val="24"/>
        </w:rPr>
      </w:pPr>
      <w:r>
        <w:rPr>
          <w:bCs/>
          <w:color w:val="auto"/>
          <w:sz w:val="24"/>
        </w:rPr>
        <w:t>附件</w:t>
      </w:r>
      <w:r>
        <w:rPr>
          <w:rFonts w:hint="eastAsia"/>
          <w:bCs/>
          <w:color w:val="auto"/>
          <w:sz w:val="24"/>
        </w:rPr>
        <w:t>9</w:t>
      </w:r>
    </w:p>
    <w:p w14:paraId="2149BB5C">
      <w:pPr>
        <w:spacing w:line="440" w:lineRule="exact"/>
        <w:ind w:left="3" w:leftChars="1" w:firstLine="480" w:firstLineChars="200"/>
        <w:rPr>
          <w:bCs/>
          <w:color w:val="auto"/>
          <w:sz w:val="24"/>
        </w:rPr>
      </w:pPr>
    </w:p>
    <w:p w14:paraId="27E1B4B3">
      <w:pPr>
        <w:widowControl/>
        <w:jc w:val="left"/>
        <w:rPr>
          <w:bCs/>
          <w:color w:val="auto"/>
          <w:sz w:val="24"/>
        </w:rPr>
      </w:pPr>
    </w:p>
    <w:p w14:paraId="54962569">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7E59655B">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0CCA0AC7">
      <w:pPr>
        <w:spacing w:line="440" w:lineRule="exact"/>
        <w:jc w:val="center"/>
        <w:rPr>
          <w:rFonts w:ascii="宋体" w:hAnsi="宋体"/>
          <w:bCs/>
          <w:color w:val="auto"/>
          <w:sz w:val="32"/>
          <w:szCs w:val="32"/>
        </w:rPr>
      </w:pPr>
    </w:p>
    <w:p w14:paraId="2E57666B">
      <w:pPr>
        <w:spacing w:line="500" w:lineRule="exact"/>
        <w:jc w:val="center"/>
        <w:rPr>
          <w:bCs/>
          <w:color w:val="auto"/>
          <w:sz w:val="24"/>
        </w:rPr>
      </w:pPr>
      <w:r>
        <w:rPr>
          <w:rFonts w:hint="eastAsia" w:ascii="宋体" w:hAnsi="宋体"/>
          <w:bCs/>
          <w:color w:val="auto"/>
          <w:sz w:val="24"/>
        </w:rPr>
        <w:t>（提供履行合同所必需的设备和专业技术能力的相关文件）</w:t>
      </w:r>
    </w:p>
    <w:p w14:paraId="32A1093C">
      <w:pPr>
        <w:widowControl/>
        <w:jc w:val="left"/>
        <w:rPr>
          <w:color w:val="auto"/>
          <w:sz w:val="24"/>
        </w:rPr>
      </w:pPr>
      <w:r>
        <w:rPr>
          <w:color w:val="auto"/>
          <w:sz w:val="24"/>
        </w:rPr>
        <w:br w:type="page"/>
      </w:r>
    </w:p>
    <w:p w14:paraId="10470FBD">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8" w:type="default"/>
      <w:footerReference r:id="rId9" w:type="default"/>
      <w:footerReference r:id="rId10" w:type="even"/>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iti SC Ligh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3A5A">
    <w:pPr>
      <w:pStyle w:val="20"/>
      <w:jc w:val="center"/>
    </w:pPr>
    <w:r>
      <w:fldChar w:fldCharType="begin"/>
    </w:r>
    <w:r>
      <w:instrText xml:space="preserve">PAGE   \* MERGEFORMAT</w:instrText>
    </w:r>
    <w:r>
      <w:fldChar w:fldCharType="separate"/>
    </w:r>
    <w:r>
      <w:rPr>
        <w:lang w:val="zh-CN"/>
      </w:rPr>
      <w:t>2</w:t>
    </w:r>
    <w:r>
      <w:rPr>
        <w:lang w:val="zh-CN"/>
      </w:rPr>
      <w:fldChar w:fldCharType="end"/>
    </w:r>
  </w:p>
  <w:p w14:paraId="555759C9">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3A109">
    <w:pPr>
      <w:framePr w:wrap="around" w:vAnchor="text" w:hAnchor="margin" w:xAlign="right" w:yAlign="inline"/>
    </w:pPr>
    <w:r>
      <w:fldChar w:fldCharType="begin"/>
    </w:r>
    <w:r>
      <w:instrText xml:space="preserve">PAGE  </w:instrText>
    </w:r>
    <w:r>
      <w:fldChar w:fldCharType="end"/>
    </w:r>
  </w:p>
  <w:p w14:paraId="129632B6">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E3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EBCAC">
    <w:pPr>
      <w:pStyle w:val="20"/>
      <w:framePr w:wrap="around" w:vAnchor="text" w:hAnchor="margin" w:xAlign="right" w:yAlign="inline"/>
      <w:rPr>
        <w:rStyle w:val="30"/>
      </w:rPr>
    </w:pPr>
    <w:r>
      <w:fldChar w:fldCharType="begin"/>
    </w:r>
    <w:r>
      <w:rPr>
        <w:rStyle w:val="30"/>
      </w:rPr>
      <w:instrText xml:space="preserve">PAGE  </w:instrText>
    </w:r>
    <w:r>
      <w:fldChar w:fldCharType="end"/>
    </w:r>
  </w:p>
  <w:p w14:paraId="1455A3A5">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58D56">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AF28">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9BDBC">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7B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3499E"/>
    <w:multiLevelType w:val="singleLevel"/>
    <w:tmpl w:val="87E3499E"/>
    <w:lvl w:ilvl="0" w:tentative="0">
      <w:start w:val="3"/>
      <w:numFmt w:val="chineseCounting"/>
      <w:suff w:val="nothing"/>
      <w:lvlText w:val="%1、"/>
      <w:lvlJc w:val="left"/>
      <w:rPr>
        <w:rFonts w:hint="eastAsia"/>
      </w:rPr>
    </w:lvl>
  </w:abstractNum>
  <w:abstractNum w:abstractNumId="1">
    <w:nsid w:val="B0E7ED18"/>
    <w:multiLevelType w:val="singleLevel"/>
    <w:tmpl w:val="B0E7ED18"/>
    <w:lvl w:ilvl="0" w:tentative="0">
      <w:start w:val="1"/>
      <w:numFmt w:val="decimal"/>
      <w:suff w:val="nothing"/>
      <w:lvlText w:val="%1、"/>
      <w:lvlJc w:val="left"/>
    </w:lvl>
  </w:abstractNum>
  <w:abstractNum w:abstractNumId="2">
    <w:nsid w:val="FFFFFF89"/>
    <w:multiLevelType w:val="singleLevel"/>
    <w:tmpl w:val="FFFFFF89"/>
    <w:lvl w:ilvl="0" w:tentative="0">
      <w:start w:val="1"/>
      <w:numFmt w:val="bullet"/>
      <w:pStyle w:val="12"/>
      <w:lvlText w:val=""/>
      <w:lvlJc w:val="left"/>
      <w:pPr>
        <w:tabs>
          <w:tab w:val="left" w:pos="360"/>
        </w:tabs>
        <w:ind w:left="360" w:hanging="360"/>
      </w:pPr>
      <w:rPr>
        <w:rFonts w:hint="default" w:ascii="Wingdings" w:hAnsi="Wingdings"/>
      </w:rPr>
    </w:lvl>
  </w:abstractNum>
  <w:abstractNum w:abstractNumId="3">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6BBD78FB"/>
    <w:multiLevelType w:val="singleLevel"/>
    <w:tmpl w:val="6BBD78FB"/>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YmQ2MThjNmExYTBhYTc2NmM1ZGEyZWUyMTA4NmMifQ=="/>
    <w:docVar w:name="KSO_WPS_MARK_KEY" w:val="98bfc93b-d561-42a4-b087-2d7011352c9b"/>
  </w:docVars>
  <w:rsids>
    <w:rsidRoot w:val="00172A27"/>
    <w:rsid w:val="07697F2D"/>
    <w:rsid w:val="0C8F1A59"/>
    <w:rsid w:val="363E30BA"/>
    <w:rsid w:val="45C208F7"/>
    <w:rsid w:val="555202FB"/>
    <w:rsid w:val="72E279D3"/>
    <w:rsid w:val="7B2557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1" w:name="toc 2"/>
    <w:lsdException w:qFormat="1" w:unhideWhenUsed="0" w:uiPriority="0" w:semiHidden="0"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1"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1" w:semiHidden="0" w:name="Strong"/>
    <w:lsdException w:qFormat="1" w:unhideWhenUsed="0" w:uiPriority="1"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55"/>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50"/>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4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48"/>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47"/>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53"/>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46"/>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4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44"/>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51"/>
    <w:semiHidden/>
    <w:qFormat/>
    <w:uiPriority w:val="0"/>
    <w:rPr>
      <w:rFonts w:ascii="Heiti SC Light" w:hAnsi="Calibri" w:eastAsia="Times New Roman"/>
      <w:sz w:val="24"/>
    </w:rPr>
  </w:style>
  <w:style w:type="paragraph" w:styleId="14">
    <w:name w:val="annotation text"/>
    <w:basedOn w:val="1"/>
    <w:link w:val="38"/>
    <w:qFormat/>
    <w:uiPriority w:val="0"/>
    <w:pPr>
      <w:jc w:val="left"/>
    </w:pPr>
    <w:rPr>
      <w:rFonts w:ascii="Calibri" w:hAnsi="Calibri" w:cs="黑体"/>
      <w:szCs w:val="22"/>
    </w:rPr>
  </w:style>
  <w:style w:type="paragraph" w:styleId="15">
    <w:name w:val="Body Text"/>
    <w:basedOn w:val="1"/>
    <w:link w:val="54"/>
    <w:qFormat/>
    <w:uiPriority w:val="0"/>
    <w:pPr>
      <w:spacing w:line="420" w:lineRule="auto"/>
    </w:pPr>
    <w:rPr>
      <w:sz w:val="24"/>
    </w:rPr>
  </w:style>
  <w:style w:type="paragraph" w:styleId="16">
    <w:name w:val="Body Text Indent"/>
    <w:basedOn w:val="1"/>
    <w:link w:val="57"/>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56"/>
    <w:qFormat/>
    <w:uiPriority w:val="0"/>
    <w:rPr>
      <w:rFonts w:ascii="宋体" w:hAnsi="Courier New" w:cs="Courier New"/>
      <w:sz w:val="21"/>
      <w:szCs w:val="21"/>
    </w:rPr>
  </w:style>
  <w:style w:type="paragraph" w:styleId="19">
    <w:name w:val="Balloon Text"/>
    <w:basedOn w:val="1"/>
    <w:link w:val="43"/>
    <w:unhideWhenUsed/>
    <w:qFormat/>
    <w:uiPriority w:val="0"/>
    <w:rPr>
      <w:sz w:val="18"/>
      <w:szCs w:val="18"/>
    </w:rPr>
  </w:style>
  <w:style w:type="paragraph" w:styleId="20">
    <w:name w:val="footer"/>
    <w:basedOn w:val="1"/>
    <w:link w:val="42"/>
    <w:qFormat/>
    <w:uiPriority w:val="99"/>
    <w:pPr>
      <w:tabs>
        <w:tab w:val="center" w:pos="4153"/>
        <w:tab w:val="right" w:pos="8306"/>
      </w:tabs>
      <w:snapToGrid w:val="0"/>
      <w:jc w:val="left"/>
    </w:pPr>
    <w:rPr>
      <w:sz w:val="18"/>
      <w:szCs w:val="18"/>
    </w:rPr>
  </w:style>
  <w:style w:type="paragraph" w:styleId="2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40"/>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39"/>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3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character" w:customStyle="1" w:styleId="34">
    <w:name w:val="标题 3 Char1"/>
    <w:uiPriority w:val="0"/>
    <w:rPr>
      <w:rFonts w:ascii="Times New Roman" w:hAnsi="Times New Roman" w:eastAsia="宋体" w:cs="Times New Roman"/>
      <w:sz w:val="24"/>
      <w:szCs w:val="20"/>
    </w:rPr>
  </w:style>
  <w:style w:type="character" w:customStyle="1" w:styleId="35">
    <w:name w:val="批注文字 Char1"/>
    <w:basedOn w:val="29"/>
    <w:uiPriority w:val="0"/>
    <w:rPr>
      <w:rFonts w:ascii="Times New Roman" w:hAnsi="Times New Roman" w:eastAsia="宋体" w:cs="Times New Roman"/>
      <w:sz w:val="28"/>
      <w:szCs w:val="24"/>
    </w:rPr>
  </w:style>
  <w:style w:type="character" w:customStyle="1" w:styleId="36">
    <w:name w:val="纯文本 Char1"/>
    <w:qFormat/>
    <w:uiPriority w:val="0"/>
    <w:rPr>
      <w:rFonts w:ascii="宋体" w:hAnsi="Courier New" w:cs="Courier New"/>
      <w:kern w:val="2"/>
      <w:sz w:val="21"/>
      <w:szCs w:val="21"/>
    </w:rPr>
  </w:style>
  <w:style w:type="character" w:customStyle="1" w:styleId="37">
    <w:name w:val="批注主题 Char"/>
    <w:basedOn w:val="38"/>
    <w:link w:val="26"/>
    <w:semiHidden/>
    <w:uiPriority w:val="99"/>
    <w:rPr>
      <w:rFonts w:ascii="Times New Roman" w:hAnsi="Times New Roman" w:eastAsia="宋体" w:cs="Times New Roman"/>
      <w:b/>
      <w:bCs/>
      <w:szCs w:val="24"/>
    </w:rPr>
  </w:style>
  <w:style w:type="character" w:customStyle="1" w:styleId="38">
    <w:name w:val="批注文字 Char"/>
    <w:link w:val="14"/>
    <w:qFormat/>
    <w:uiPriority w:val="0"/>
    <w:rPr>
      <w:sz w:val="28"/>
    </w:rPr>
  </w:style>
  <w:style w:type="character" w:customStyle="1" w:styleId="39">
    <w:name w:val="标题 Char"/>
    <w:basedOn w:val="29"/>
    <w:link w:val="25"/>
    <w:qFormat/>
    <w:uiPriority w:val="0"/>
    <w:rPr>
      <w:rFonts w:ascii="Cambria" w:hAnsi="Cambria" w:eastAsia="宋体" w:cs="Times New Roman"/>
      <w:b/>
      <w:bCs/>
      <w:sz w:val="32"/>
      <w:szCs w:val="32"/>
    </w:rPr>
  </w:style>
  <w:style w:type="character" w:customStyle="1" w:styleId="40">
    <w:name w:val="正文文本缩进 3 Char"/>
    <w:basedOn w:val="29"/>
    <w:link w:val="23"/>
    <w:qFormat/>
    <w:uiPriority w:val="0"/>
    <w:rPr>
      <w:rFonts w:ascii="Times New Roman" w:hAnsi="Times New Roman" w:eastAsia="宋体" w:cs="Times New Roman"/>
      <w:sz w:val="16"/>
      <w:szCs w:val="16"/>
    </w:rPr>
  </w:style>
  <w:style w:type="character" w:customStyle="1" w:styleId="41">
    <w:name w:val="页眉 Char"/>
    <w:basedOn w:val="29"/>
    <w:link w:val="21"/>
    <w:qFormat/>
    <w:uiPriority w:val="0"/>
    <w:rPr>
      <w:rFonts w:ascii="Times New Roman" w:hAnsi="Times New Roman" w:eastAsia="宋体" w:cs="Times New Roman"/>
      <w:sz w:val="18"/>
      <w:szCs w:val="18"/>
    </w:rPr>
  </w:style>
  <w:style w:type="character" w:customStyle="1" w:styleId="42">
    <w:name w:val="页脚 Char"/>
    <w:basedOn w:val="29"/>
    <w:link w:val="20"/>
    <w:qFormat/>
    <w:uiPriority w:val="99"/>
    <w:rPr>
      <w:rFonts w:ascii="Times New Roman" w:hAnsi="Times New Roman" w:eastAsia="宋体" w:cs="Times New Roman"/>
      <w:sz w:val="18"/>
      <w:szCs w:val="18"/>
    </w:rPr>
  </w:style>
  <w:style w:type="character" w:customStyle="1" w:styleId="43">
    <w:name w:val="批注框文本 Char"/>
    <w:basedOn w:val="29"/>
    <w:link w:val="19"/>
    <w:qFormat/>
    <w:uiPriority w:val="0"/>
    <w:rPr>
      <w:rFonts w:ascii="Times New Roman" w:hAnsi="Times New Roman" w:eastAsia="宋体" w:cs="Times New Roman"/>
      <w:sz w:val="18"/>
      <w:szCs w:val="18"/>
    </w:rPr>
  </w:style>
  <w:style w:type="character" w:customStyle="1" w:styleId="44">
    <w:name w:val="正文缩进 Char"/>
    <w:link w:val="11"/>
    <w:qFormat/>
    <w:uiPriority w:val="0"/>
  </w:style>
  <w:style w:type="character" w:customStyle="1" w:styleId="45">
    <w:name w:val="标题 9 Char"/>
    <w:basedOn w:val="29"/>
    <w:link w:val="10"/>
    <w:qFormat/>
    <w:uiPriority w:val="0"/>
    <w:rPr>
      <w:rFonts w:ascii="Arial" w:hAnsi="Arial" w:eastAsia="黑体" w:cs="Times New Roman"/>
      <w:kern w:val="0"/>
      <w:szCs w:val="21"/>
    </w:rPr>
  </w:style>
  <w:style w:type="character" w:customStyle="1" w:styleId="46">
    <w:name w:val="标题 8 Char"/>
    <w:basedOn w:val="29"/>
    <w:link w:val="9"/>
    <w:qFormat/>
    <w:uiPriority w:val="0"/>
    <w:rPr>
      <w:rFonts w:ascii="Arial" w:hAnsi="Arial" w:eastAsia="黑体" w:cs="Times New Roman"/>
      <w:kern w:val="0"/>
      <w:sz w:val="24"/>
      <w:szCs w:val="24"/>
    </w:rPr>
  </w:style>
  <w:style w:type="character" w:customStyle="1" w:styleId="47">
    <w:name w:val="标题 5 Char"/>
    <w:basedOn w:val="29"/>
    <w:link w:val="6"/>
    <w:qFormat/>
    <w:uiPriority w:val="0"/>
    <w:rPr>
      <w:rFonts w:ascii="Times New Roman" w:hAnsi="Times New Roman" w:eastAsia="宋体" w:cs="Times New Roman"/>
      <w:b/>
      <w:bCs/>
      <w:kern w:val="0"/>
      <w:sz w:val="28"/>
      <w:szCs w:val="28"/>
    </w:rPr>
  </w:style>
  <w:style w:type="character" w:customStyle="1" w:styleId="48">
    <w:name w:val="标题 4 Char"/>
    <w:basedOn w:val="29"/>
    <w:link w:val="5"/>
    <w:qFormat/>
    <w:uiPriority w:val="0"/>
    <w:rPr>
      <w:rFonts w:ascii="Cambria" w:hAnsi="Cambria" w:eastAsia="宋体" w:cs="Times New Roman"/>
      <w:b/>
      <w:bCs/>
      <w:sz w:val="28"/>
      <w:szCs w:val="28"/>
    </w:rPr>
  </w:style>
  <w:style w:type="character" w:customStyle="1" w:styleId="49">
    <w:name w:val="标题 3 Char"/>
    <w:basedOn w:val="29"/>
    <w:link w:val="4"/>
    <w:qFormat/>
    <w:uiPriority w:val="0"/>
    <w:rPr>
      <w:rFonts w:ascii="Calibri" w:hAnsi="Calibri" w:eastAsia="宋体" w:cs="Times New Roman"/>
      <w:b/>
      <w:bCs/>
      <w:sz w:val="32"/>
      <w:szCs w:val="32"/>
    </w:rPr>
  </w:style>
  <w:style w:type="character" w:customStyle="1" w:styleId="50">
    <w:name w:val="标题 2 Char"/>
    <w:basedOn w:val="29"/>
    <w:link w:val="3"/>
    <w:qFormat/>
    <w:uiPriority w:val="0"/>
    <w:rPr>
      <w:rFonts w:ascii="Cambria" w:hAnsi="Cambria" w:eastAsia="宋体" w:cs="Times New Roman"/>
      <w:b/>
      <w:bCs/>
      <w:sz w:val="28"/>
      <w:szCs w:val="32"/>
    </w:rPr>
  </w:style>
  <w:style w:type="character" w:customStyle="1" w:styleId="51">
    <w:name w:val="文档结构图 Char"/>
    <w:basedOn w:val="29"/>
    <w:link w:val="13"/>
    <w:semiHidden/>
    <w:qFormat/>
    <w:uiPriority w:val="0"/>
    <w:rPr>
      <w:rFonts w:ascii="Heiti SC Light" w:hAnsi="Calibri" w:eastAsia="Times New Roman" w:cs="Times New Roman"/>
      <w:sz w:val="24"/>
      <w:szCs w:val="24"/>
    </w:rPr>
  </w:style>
  <w:style w:type="character" w:customStyle="1" w:styleId="52">
    <w:name w:val="apple-converted-space"/>
    <w:qFormat/>
    <w:uiPriority w:val="0"/>
  </w:style>
  <w:style w:type="character" w:customStyle="1" w:styleId="53">
    <w:name w:val="标题 6 Char"/>
    <w:basedOn w:val="29"/>
    <w:link w:val="7"/>
    <w:qFormat/>
    <w:uiPriority w:val="0"/>
    <w:rPr>
      <w:rFonts w:ascii="Arial" w:hAnsi="Arial" w:eastAsia="黑体" w:cs="Times New Roman"/>
      <w:b/>
      <w:bCs/>
      <w:kern w:val="0"/>
      <w:sz w:val="24"/>
      <w:szCs w:val="24"/>
    </w:rPr>
  </w:style>
  <w:style w:type="character" w:customStyle="1" w:styleId="54">
    <w:name w:val="正文文本 Char"/>
    <w:basedOn w:val="29"/>
    <w:link w:val="15"/>
    <w:qFormat/>
    <w:uiPriority w:val="0"/>
    <w:rPr>
      <w:rFonts w:ascii="Times New Roman" w:hAnsi="Times New Roman" w:eastAsia="宋体" w:cs="Times New Roman"/>
      <w:sz w:val="24"/>
      <w:szCs w:val="24"/>
    </w:rPr>
  </w:style>
  <w:style w:type="character" w:customStyle="1" w:styleId="55">
    <w:name w:val="标题 1 Char"/>
    <w:basedOn w:val="29"/>
    <w:link w:val="2"/>
    <w:qFormat/>
    <w:uiPriority w:val="0"/>
    <w:rPr>
      <w:rFonts w:ascii="Calibri" w:hAnsi="Calibri" w:eastAsia="仿宋" w:cs="Times New Roman"/>
      <w:b/>
      <w:bCs/>
      <w:kern w:val="44"/>
      <w:sz w:val="30"/>
      <w:szCs w:val="44"/>
    </w:rPr>
  </w:style>
  <w:style w:type="character" w:customStyle="1" w:styleId="56">
    <w:name w:val="纯文本 Char"/>
    <w:basedOn w:val="29"/>
    <w:link w:val="18"/>
    <w:uiPriority w:val="0"/>
    <w:rPr>
      <w:rFonts w:ascii="宋体" w:hAnsi="Courier New" w:eastAsia="宋体" w:cs="Courier New"/>
      <w:szCs w:val="21"/>
    </w:rPr>
  </w:style>
  <w:style w:type="character" w:customStyle="1" w:styleId="57">
    <w:name w:val="正文文本缩进 Char"/>
    <w:basedOn w:val="29"/>
    <w:link w:val="16"/>
    <w:qFormat/>
    <w:uiPriority w:val="0"/>
    <w:rPr>
      <w:rFonts w:ascii="Times New Roman" w:hAnsi="Times New Roman" w:eastAsia="宋体" w:cs="Times New Roman"/>
      <w:sz w:val="32"/>
      <w:szCs w:val="20"/>
    </w:rPr>
  </w:style>
  <w:style w:type="character" w:customStyle="1" w:styleId="58">
    <w:name w:val="标题 7 Char"/>
    <w:basedOn w:val="29"/>
    <w:link w:val="8"/>
    <w:uiPriority w:val="0"/>
    <w:rPr>
      <w:rFonts w:ascii="Times New Roman" w:hAnsi="Times New Roman" w:eastAsia="宋体" w:cs="Times New Roman"/>
      <w:b/>
      <w:bCs/>
      <w:kern w:val="0"/>
      <w:sz w:val="24"/>
      <w:szCs w:val="24"/>
    </w:rPr>
  </w:style>
  <w:style w:type="paragraph" w:customStyle="1" w:styleId="59">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0">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1">
    <w:name w:val="xl98"/>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2">
    <w:name w:val="xl9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3">
    <w:name w:val="xl9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4">
    <w:name w:val="xl93"/>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6">
    <w:name w:val="xl91"/>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7">
    <w:name w:val="xl86"/>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8">
    <w:name w:val="xl8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9">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0">
    <w:name w:val="xl83"/>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71">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72">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80"/>
    <w:basedOn w:val="1"/>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75">
    <w:name w:val="xl87"/>
    <w:basedOn w:val="1"/>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76">
    <w:name w:val="xl79"/>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7">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8">
    <w:name w:val="xl75"/>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74"/>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72"/>
    <w:basedOn w:val="1"/>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1">
    <w:name w:val="xl71"/>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2">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3">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5">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6">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87">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8">
    <w:name w:val="无间隔2"/>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列出段落2"/>
    <w:basedOn w:val="1"/>
    <w:qFormat/>
    <w:uiPriority w:val="0"/>
    <w:pPr>
      <w:ind w:firstLine="420" w:firstLineChars="200"/>
    </w:pPr>
    <w:rPr>
      <w:rFonts w:ascii="Calibri" w:hAnsi="Calibri"/>
      <w:sz w:val="21"/>
      <w:szCs w:val="22"/>
    </w:rPr>
  </w:style>
  <w:style w:type="paragraph" w:customStyle="1" w:styleId="9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1">
    <w:name w:val="retrait3"/>
    <w:basedOn w:val="1"/>
    <w:qFormat/>
    <w:uiPriority w:val="0"/>
    <w:pPr>
      <w:widowControl/>
      <w:spacing w:before="20" w:after="20"/>
      <w:ind w:left="851"/>
      <w:jc w:val="left"/>
    </w:pPr>
    <w:rPr>
      <w:rFonts w:ascii="Arial" w:hAnsi="Arial"/>
      <w:kern w:val="0"/>
      <w:sz w:val="24"/>
      <w:szCs w:val="20"/>
    </w:rPr>
  </w:style>
  <w:style w:type="paragraph" w:customStyle="1" w:styleId="92">
    <w:name w:val="大汉方案正文"/>
    <w:basedOn w:val="1"/>
    <w:qFormat/>
    <w:uiPriority w:val="0"/>
    <w:pPr>
      <w:spacing w:line="360" w:lineRule="auto"/>
      <w:ind w:firstLine="200" w:firstLineChars="200"/>
    </w:pPr>
    <w:rPr>
      <w:rFonts w:ascii="Arial" w:hAnsi="Arial"/>
      <w:sz w:val="24"/>
      <w:szCs w:val="20"/>
    </w:rPr>
  </w:style>
  <w:style w:type="paragraph" w:customStyle="1" w:styleId="93">
    <w:name w:val="Char Char"/>
    <w:basedOn w:val="1"/>
    <w:qFormat/>
    <w:uiPriority w:val="0"/>
    <w:rPr>
      <w:rFonts w:ascii="Tahoma" w:hAnsi="Tahoma"/>
      <w:sz w:val="24"/>
      <w:szCs w:val="20"/>
    </w:rPr>
  </w:style>
  <w:style w:type="paragraph" w:customStyle="1" w:styleId="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列出段落11"/>
    <w:basedOn w:val="1"/>
    <w:qFormat/>
    <w:uiPriority w:val="0"/>
    <w:pPr>
      <w:ind w:firstLine="420" w:firstLineChars="200"/>
    </w:pPr>
    <w:rPr>
      <w:rFonts w:ascii="Calibri" w:hAnsi="Calibri"/>
      <w:sz w:val="21"/>
      <w:szCs w:val="22"/>
    </w:rPr>
  </w:style>
  <w:style w:type="paragraph" w:customStyle="1" w:styleId="96">
    <w:name w:val="列出段落1"/>
    <w:basedOn w:val="1"/>
    <w:qFormat/>
    <w:uiPriority w:val="0"/>
    <w:pPr>
      <w:ind w:firstLine="420" w:firstLineChars="200"/>
    </w:pPr>
  </w:style>
  <w:style w:type="paragraph" w:customStyle="1" w:styleId="97">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8">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9">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0">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101">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3">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4">
    <w:name w:val="Char Char11 Char Char Char Char"/>
    <w:basedOn w:val="1"/>
    <w:qFormat/>
    <w:uiPriority w:val="0"/>
    <w:pPr>
      <w:tabs>
        <w:tab w:val="left" w:pos="360"/>
      </w:tabs>
    </w:pPr>
    <w:rPr>
      <w:sz w:val="21"/>
    </w:rPr>
  </w:style>
  <w:style w:type="paragraph" w:customStyle="1" w:styleId="105">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paragraph" w:customStyle="1" w:styleId="106">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12058</Words>
  <Characters>12779</Characters>
  <Lines>73</Lines>
  <Paragraphs>20</Paragraphs>
  <TotalTime>1427</TotalTime>
  <ScaleCrop>false</ScaleCrop>
  <LinksUpToDate>false</LinksUpToDate>
  <CharactersWithSpaces>13079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2023-03-28T07:10:00Z</dcterms:created>
  <dc:creator>wzg</dc:creator>
  <cp:lastModifiedBy>yoyo</cp:lastModifiedBy>
  <cp:lastPrinted>2023-06-12T02:36:00Z</cp:lastPrinted>
  <dcterms:modified xsi:type="dcterms:W3CDTF">2025-09-22T07:21:58Z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AE417FB7A44B4AFEAACF23F7E860DB81_13</vt:lpwstr>
  </property>
  <property fmtid="{D5CDD505-2E9C-101B-9397-08002B2CF9AE}" pid="4" name="KSOTemplateDocerSaveRecord">
    <vt:lpwstr>eyJoZGlkIjoiYzhhOGNlYjBhZWM1YzlkNzAwODI0ZTY2YTM3MGM4ODQiLCJ1c2VySWQiOiIxNDg1ODI5NjYwIn0=</vt:lpwstr>
  </property>
</Properties>
</file>