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湖北省博物馆南馆恒湿系统维保采购项目</w:t>
      </w:r>
    </w:p>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南馆恒湿系统维保服务采购</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2025</w:t>
      </w:r>
      <w:r>
        <w:rPr>
          <w:color w:val="auto"/>
          <w:sz w:val="32"/>
          <w:szCs w:val="32"/>
        </w:rPr>
        <w:t>年</w:t>
      </w:r>
      <w:r>
        <w:rPr>
          <w:rFonts w:hint="eastAsia"/>
          <w:color w:val="auto"/>
          <w:sz w:val="32"/>
          <w:szCs w:val="32"/>
        </w:rPr>
        <w:t>7</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湖北省博物馆南馆恒湿系统维保采购项目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湖北省博物馆南馆恒湿系统维保采购项目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278"/>
        <w:gridCol w:w="2092"/>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5278"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服务名称</w:t>
            </w:r>
          </w:p>
        </w:tc>
        <w:tc>
          <w:tcPr>
            <w:tcW w:w="2092"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5278"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大型恒湿机组维保（故障维修、更换故障配件等）</w:t>
            </w:r>
          </w:p>
        </w:tc>
        <w:tc>
          <w:tcPr>
            <w:tcW w:w="2092" w:type="dxa"/>
            <w:tcBorders>
              <w:top w:val="single" w:color="000000" w:sz="4" w:space="0"/>
              <w:left w:val="nil"/>
              <w:right w:val="single" w:color="000000" w:sz="4" w:space="0"/>
            </w:tcBorders>
            <w:vAlign w:val="center"/>
          </w:tcPr>
          <w:p w14:paraId="6F78DF3C">
            <w:pPr>
              <w:jc w:val="center"/>
              <w:rPr>
                <w:rFonts w:hint="eastAsia" w:ascii="宋体" w:hAnsi="宋体" w:cs="宋体"/>
                <w:color w:val="auto"/>
                <w:sz w:val="24"/>
              </w:rPr>
            </w:pPr>
            <w:r>
              <w:rPr>
                <w:rFonts w:hint="eastAsia" w:ascii="宋体" w:hAnsi="宋体" w:cs="宋体"/>
                <w:color w:val="auto"/>
                <w:sz w:val="24"/>
              </w:rPr>
              <w:t>29台/次</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2</w:t>
            </w:r>
          </w:p>
        </w:tc>
        <w:tc>
          <w:tcPr>
            <w:tcW w:w="5278" w:type="dxa"/>
            <w:tcBorders>
              <w:top w:val="single" w:color="000000" w:sz="4" w:space="0"/>
              <w:left w:val="nil"/>
              <w:right w:val="single" w:color="000000" w:sz="4" w:space="0"/>
            </w:tcBorders>
            <w:vAlign w:val="center"/>
          </w:tcPr>
          <w:p w14:paraId="702DC45F">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小型恒湿机维保（更换故障配件、加排水服务等）</w:t>
            </w:r>
          </w:p>
        </w:tc>
        <w:tc>
          <w:tcPr>
            <w:tcW w:w="2092" w:type="dxa"/>
            <w:tcBorders>
              <w:top w:val="single" w:color="000000" w:sz="4" w:space="0"/>
              <w:left w:val="nil"/>
              <w:right w:val="single" w:color="000000" w:sz="4" w:space="0"/>
            </w:tcBorders>
            <w:vAlign w:val="center"/>
          </w:tcPr>
          <w:p w14:paraId="464FDE66">
            <w:pPr>
              <w:jc w:val="center"/>
              <w:rPr>
                <w:rFonts w:hint="eastAsia" w:ascii="宋体" w:hAnsi="宋体" w:cs="宋体"/>
                <w:color w:val="auto"/>
                <w:sz w:val="24"/>
              </w:rPr>
            </w:pPr>
            <w:r>
              <w:rPr>
                <w:rFonts w:hint="eastAsia" w:ascii="宋体" w:hAnsi="宋体" w:cs="宋体"/>
                <w:color w:val="auto"/>
                <w:sz w:val="24"/>
              </w:rPr>
              <w:t>57台/次</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3</w:t>
            </w:r>
          </w:p>
        </w:tc>
        <w:tc>
          <w:tcPr>
            <w:tcW w:w="5278" w:type="dxa"/>
            <w:tcBorders>
              <w:top w:val="single" w:color="000000" w:sz="4" w:space="0"/>
              <w:left w:val="nil"/>
              <w:bottom w:val="single" w:color="000000" w:sz="4" w:space="0"/>
              <w:right w:val="single" w:color="000000" w:sz="4" w:space="0"/>
            </w:tcBorders>
            <w:vAlign w:val="center"/>
          </w:tcPr>
          <w:p w14:paraId="6676B573">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机房巡检（水、电、网络故障排查处理）</w:t>
            </w:r>
          </w:p>
        </w:tc>
        <w:tc>
          <w:tcPr>
            <w:tcW w:w="2092" w:type="dxa"/>
            <w:tcBorders>
              <w:top w:val="single" w:color="000000" w:sz="4" w:space="0"/>
              <w:left w:val="nil"/>
              <w:bottom w:val="single" w:color="000000" w:sz="4" w:space="0"/>
              <w:right w:val="single" w:color="000000" w:sz="4" w:space="0"/>
            </w:tcBorders>
            <w:vAlign w:val="center"/>
          </w:tcPr>
          <w:p w14:paraId="10153EFD">
            <w:pPr>
              <w:jc w:val="center"/>
              <w:rPr>
                <w:rFonts w:hint="eastAsia" w:ascii="宋体" w:hAnsi="宋体" w:cs="宋体"/>
                <w:color w:val="auto"/>
                <w:sz w:val="24"/>
              </w:rPr>
            </w:pPr>
            <w:r>
              <w:rPr>
                <w:rFonts w:hint="eastAsia" w:ascii="宋体" w:hAnsi="宋体" w:cs="宋体"/>
                <w:color w:val="auto"/>
                <w:sz w:val="24"/>
              </w:rPr>
              <w:t>11间/次</w:t>
            </w:r>
          </w:p>
        </w:tc>
      </w:tr>
      <w:tr w14:paraId="5485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52489D2E">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4</w:t>
            </w:r>
          </w:p>
        </w:tc>
        <w:tc>
          <w:tcPr>
            <w:tcW w:w="5278" w:type="dxa"/>
            <w:tcBorders>
              <w:top w:val="single" w:color="000000" w:sz="4" w:space="0"/>
              <w:left w:val="nil"/>
              <w:bottom w:val="single" w:color="000000" w:sz="4" w:space="0"/>
              <w:right w:val="single" w:color="000000" w:sz="4" w:space="0"/>
            </w:tcBorders>
            <w:vAlign w:val="center"/>
          </w:tcPr>
          <w:p w14:paraId="5A63F9FC">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展厅巡检（分配传感器故障维修及更换）</w:t>
            </w:r>
          </w:p>
        </w:tc>
        <w:tc>
          <w:tcPr>
            <w:tcW w:w="2092" w:type="dxa"/>
            <w:tcBorders>
              <w:top w:val="single" w:color="000000" w:sz="4" w:space="0"/>
              <w:left w:val="nil"/>
              <w:bottom w:val="single" w:color="000000" w:sz="4" w:space="0"/>
              <w:right w:val="single" w:color="000000" w:sz="4" w:space="0"/>
            </w:tcBorders>
            <w:vAlign w:val="center"/>
          </w:tcPr>
          <w:p w14:paraId="425BF9B3">
            <w:pPr>
              <w:jc w:val="center"/>
              <w:rPr>
                <w:rFonts w:hint="eastAsia" w:ascii="宋体" w:hAnsi="宋体" w:cs="宋体"/>
                <w:color w:val="auto"/>
                <w:sz w:val="24"/>
              </w:rPr>
            </w:pPr>
            <w:r>
              <w:rPr>
                <w:rFonts w:hint="eastAsia" w:ascii="宋体" w:hAnsi="宋体" w:cs="宋体"/>
                <w:color w:val="auto"/>
                <w:sz w:val="24"/>
              </w:rPr>
              <w:t>320只/次</w:t>
            </w:r>
          </w:p>
        </w:tc>
      </w:tr>
      <w:tr w14:paraId="46B1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2936632C">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5</w:t>
            </w:r>
          </w:p>
        </w:tc>
        <w:tc>
          <w:tcPr>
            <w:tcW w:w="5278" w:type="dxa"/>
            <w:tcBorders>
              <w:top w:val="single" w:color="000000" w:sz="4" w:space="0"/>
              <w:left w:val="nil"/>
              <w:bottom w:val="single" w:color="000000" w:sz="4" w:space="0"/>
              <w:right w:val="single" w:color="000000" w:sz="4" w:space="0"/>
            </w:tcBorders>
            <w:vAlign w:val="center"/>
          </w:tcPr>
          <w:p w14:paraId="5C3C8E83">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软件系统升级（网络排查、定制数据分析报告等）</w:t>
            </w:r>
          </w:p>
        </w:tc>
        <w:tc>
          <w:tcPr>
            <w:tcW w:w="2092" w:type="dxa"/>
            <w:tcBorders>
              <w:top w:val="single" w:color="000000" w:sz="4" w:space="0"/>
              <w:left w:val="nil"/>
              <w:bottom w:val="single" w:color="000000" w:sz="4" w:space="0"/>
              <w:right w:val="single" w:color="000000" w:sz="4" w:space="0"/>
            </w:tcBorders>
            <w:vAlign w:val="center"/>
          </w:tcPr>
          <w:p w14:paraId="03FCCDA0">
            <w:pPr>
              <w:jc w:val="center"/>
              <w:rPr>
                <w:rFonts w:hint="eastAsia" w:ascii="宋体" w:hAnsi="宋体" w:cs="宋体"/>
                <w:color w:val="auto"/>
                <w:sz w:val="24"/>
              </w:rPr>
            </w:pPr>
            <w:r>
              <w:rPr>
                <w:rFonts w:hint="eastAsia" w:ascii="宋体" w:hAnsi="宋体" w:cs="宋体"/>
                <w:color w:val="auto"/>
                <w:sz w:val="24"/>
              </w:rPr>
              <w:t>4份/年</w:t>
            </w:r>
          </w:p>
        </w:tc>
      </w:tr>
      <w:tr w14:paraId="1EB8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D84A601">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6</w:t>
            </w:r>
          </w:p>
        </w:tc>
        <w:tc>
          <w:tcPr>
            <w:tcW w:w="5278" w:type="dxa"/>
            <w:tcBorders>
              <w:top w:val="single" w:color="000000" w:sz="4" w:space="0"/>
              <w:left w:val="nil"/>
              <w:bottom w:val="single" w:color="000000" w:sz="4" w:space="0"/>
              <w:right w:val="single" w:color="000000" w:sz="4" w:space="0"/>
            </w:tcBorders>
            <w:vAlign w:val="center"/>
          </w:tcPr>
          <w:p w14:paraId="4147AAF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本地服务点建立（突发应急响应服务）</w:t>
            </w:r>
          </w:p>
        </w:tc>
        <w:tc>
          <w:tcPr>
            <w:tcW w:w="2092" w:type="dxa"/>
            <w:tcBorders>
              <w:top w:val="single" w:color="000000" w:sz="4" w:space="0"/>
              <w:left w:val="nil"/>
              <w:bottom w:val="single" w:color="000000" w:sz="4" w:space="0"/>
              <w:right w:val="single" w:color="000000" w:sz="4" w:space="0"/>
            </w:tcBorders>
            <w:vAlign w:val="center"/>
          </w:tcPr>
          <w:p w14:paraId="224550CE">
            <w:pPr>
              <w:jc w:val="center"/>
              <w:rPr>
                <w:rFonts w:hint="eastAsia" w:ascii="宋体" w:hAnsi="宋体" w:cs="宋体"/>
                <w:color w:val="auto"/>
                <w:sz w:val="24"/>
              </w:rPr>
            </w:pPr>
            <w:r>
              <w:rPr>
                <w:rFonts w:hint="eastAsia" w:ascii="宋体" w:hAnsi="宋体" w:cs="宋体"/>
                <w:color w:val="auto"/>
                <w:sz w:val="24"/>
              </w:rPr>
              <w:t>1人</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19.80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22</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湖北省博物馆南馆恒湿系统维保采购项目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南馆恒湿系统日常维保服务采购</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19.8万元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78440768">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64DD2B8C">
            <w:pPr>
              <w:rPr>
                <w:color w:val="auto"/>
                <w:kern w:val="0"/>
                <w:sz w:val="24"/>
              </w:rPr>
            </w:pPr>
            <w:r>
              <w:rPr>
                <w:rFonts w:hint="eastAsia" w:cs="宋体"/>
                <w:color w:val="auto"/>
                <w:kern w:val="0"/>
                <w:sz w:val="24"/>
              </w:rPr>
              <w:t>联系人：张晓珑</w:t>
            </w:r>
          </w:p>
          <w:p w14:paraId="13DC82FD">
            <w:pPr>
              <w:rPr>
                <w:color w:val="auto"/>
                <w:kern w:val="0"/>
                <w:sz w:val="24"/>
              </w:rPr>
            </w:pPr>
            <w:r>
              <w:rPr>
                <w:rFonts w:hint="eastAsia" w:cs="宋体"/>
                <w:color w:val="auto"/>
                <w:kern w:val="0"/>
                <w:sz w:val="24"/>
              </w:rPr>
              <w:t>联系方式：15926256123</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color w:val="auto"/>
                <w:kern w:val="0"/>
                <w:sz w:val="24"/>
              </w:rPr>
            </w:pPr>
            <w:r>
              <w:rPr>
                <w:rFonts w:hint="eastAsia" w:ascii="宋体" w:hAnsi="宋体" w:cs="宋体"/>
                <w:color w:val="auto"/>
                <w:sz w:val="24"/>
              </w:rPr>
              <w:t>营业执照复印件</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hint="eastAsia"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hint="eastAsia"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14:paraId="671C7FF7">
            <w:pPr>
              <w:jc w:val="center"/>
              <w:rPr>
                <w:rFonts w:hint="eastAsia"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14:paraId="424AFA97">
            <w:pPr>
              <w:jc w:val="center"/>
              <w:rPr>
                <w:rFonts w:hint="eastAsia"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hint="eastAsia" w:ascii="宋体" w:hAnsi="宋体"/>
                <w:caps/>
                <w:color w:val="auto"/>
                <w:sz w:val="24"/>
              </w:rPr>
            </w:pPr>
            <w:r>
              <w:rPr>
                <w:rFonts w:hint="eastAsia" w:ascii="宋体" w:hAnsi="宋体"/>
                <w:caps/>
                <w:color w:val="auto"/>
                <w:sz w:val="24"/>
              </w:rPr>
              <w:t>1</w:t>
            </w:r>
          </w:p>
        </w:tc>
        <w:tc>
          <w:tcPr>
            <w:tcW w:w="1750" w:type="dxa"/>
            <w:vAlign w:val="center"/>
          </w:tcPr>
          <w:p w14:paraId="5725F784">
            <w:pPr>
              <w:jc w:val="center"/>
              <w:rPr>
                <w:rFonts w:hint="eastAsia" w:ascii="宋体" w:hAnsi="宋体"/>
                <w:caps/>
                <w:color w:val="auto"/>
                <w:sz w:val="18"/>
                <w:szCs w:val="18"/>
              </w:rPr>
            </w:pPr>
            <w:r>
              <w:rPr>
                <w:rFonts w:hint="eastAsia" w:ascii="宋体" w:hAnsi="宋体" w:cs="宋体"/>
                <w:color w:val="auto"/>
                <w:sz w:val="18"/>
                <w:szCs w:val="18"/>
              </w:rPr>
              <w:t>大型恒湿机组维保（故障维修、水箱清理、更换配件等）</w:t>
            </w:r>
          </w:p>
        </w:tc>
        <w:tc>
          <w:tcPr>
            <w:tcW w:w="1117" w:type="dxa"/>
            <w:vAlign w:val="center"/>
          </w:tcPr>
          <w:p w14:paraId="13E922B2">
            <w:pPr>
              <w:jc w:val="center"/>
              <w:rPr>
                <w:rFonts w:hint="eastAsia" w:ascii="宋体" w:hAnsi="宋体"/>
                <w:caps/>
                <w:color w:val="auto"/>
                <w:sz w:val="18"/>
                <w:szCs w:val="18"/>
              </w:rPr>
            </w:pPr>
            <w:r>
              <w:rPr>
                <w:rFonts w:hint="eastAsia" w:ascii="宋体" w:hAnsi="宋体" w:cs="宋体"/>
                <w:color w:val="auto"/>
                <w:sz w:val="18"/>
                <w:szCs w:val="18"/>
              </w:rPr>
              <w:t>29台/次</w:t>
            </w:r>
          </w:p>
        </w:tc>
        <w:tc>
          <w:tcPr>
            <w:tcW w:w="5730" w:type="dxa"/>
          </w:tcPr>
          <w:p w14:paraId="76E50F11">
            <w:pPr>
              <w:jc w:val="left"/>
              <w:rPr>
                <w:rFonts w:hint="eastAsia" w:ascii="宋体" w:hAnsi="宋体"/>
                <w:caps/>
                <w:color w:val="auto"/>
                <w:sz w:val="18"/>
                <w:szCs w:val="18"/>
              </w:rPr>
            </w:pPr>
            <w:r>
              <w:rPr>
                <w:rFonts w:hint="eastAsia"/>
                <w:color w:val="auto"/>
                <w:sz w:val="18"/>
                <w:szCs w:val="18"/>
              </w:rPr>
              <w:t>每月一次</w:t>
            </w:r>
            <w:r>
              <w:rPr>
                <w:rFonts w:hint="eastAsia" w:ascii="宋体" w:hAnsi="宋体" w:cs="宋体"/>
                <w:color w:val="auto"/>
                <w:sz w:val="18"/>
                <w:szCs w:val="18"/>
              </w:rPr>
              <w:t>派出专业技术人员对设备主件及配件使用情况进行检查、除尘、清洗、检漏、维修等，预判设备运行情况，对已到使用年限或损坏配件及时进行更换，防止设备出现超负荷运转而导致停机。</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hint="eastAsia" w:ascii="宋体" w:hAnsi="宋体"/>
                <w:caps/>
                <w:color w:val="auto"/>
                <w:sz w:val="24"/>
              </w:rPr>
            </w:pPr>
            <w:r>
              <w:rPr>
                <w:rFonts w:hint="eastAsia" w:ascii="宋体" w:hAnsi="宋体"/>
                <w:caps/>
                <w:color w:val="auto"/>
                <w:sz w:val="24"/>
              </w:rPr>
              <w:t>2</w:t>
            </w:r>
          </w:p>
        </w:tc>
        <w:tc>
          <w:tcPr>
            <w:tcW w:w="1750" w:type="dxa"/>
            <w:vAlign w:val="center"/>
          </w:tcPr>
          <w:p w14:paraId="7A30EE2E">
            <w:pPr>
              <w:jc w:val="center"/>
              <w:rPr>
                <w:rFonts w:hint="eastAsia" w:ascii="宋体" w:hAnsi="宋体" w:cs="宋体"/>
                <w:color w:val="auto"/>
                <w:sz w:val="18"/>
                <w:szCs w:val="18"/>
              </w:rPr>
            </w:pPr>
            <w:r>
              <w:rPr>
                <w:rFonts w:hint="eastAsia" w:ascii="宋体" w:hAnsi="宋体" w:cs="宋体"/>
                <w:color w:val="auto"/>
                <w:sz w:val="18"/>
                <w:szCs w:val="18"/>
              </w:rPr>
              <w:t>小型恒湿机维保（故障维修、更换配件、加排水服务等）</w:t>
            </w:r>
          </w:p>
        </w:tc>
        <w:tc>
          <w:tcPr>
            <w:tcW w:w="1117" w:type="dxa"/>
            <w:vAlign w:val="center"/>
          </w:tcPr>
          <w:p w14:paraId="4700B6ED">
            <w:pPr>
              <w:jc w:val="center"/>
              <w:rPr>
                <w:rFonts w:hint="eastAsia" w:ascii="宋体" w:hAnsi="宋体"/>
                <w:caps/>
                <w:color w:val="auto"/>
                <w:sz w:val="18"/>
                <w:szCs w:val="18"/>
              </w:rPr>
            </w:pPr>
            <w:r>
              <w:rPr>
                <w:rFonts w:hint="eastAsia" w:ascii="宋体" w:hAnsi="宋体" w:cs="宋体"/>
                <w:color w:val="auto"/>
                <w:sz w:val="18"/>
                <w:szCs w:val="18"/>
              </w:rPr>
              <w:t>57台/次</w:t>
            </w:r>
          </w:p>
        </w:tc>
        <w:tc>
          <w:tcPr>
            <w:tcW w:w="5730" w:type="dxa"/>
          </w:tcPr>
          <w:p w14:paraId="06308696">
            <w:pPr>
              <w:jc w:val="left"/>
              <w:rPr>
                <w:rFonts w:hint="eastAsia" w:ascii="宋体" w:hAnsi="宋体"/>
                <w:caps/>
                <w:color w:val="auto"/>
                <w:sz w:val="18"/>
                <w:szCs w:val="18"/>
              </w:rPr>
            </w:pPr>
            <w:r>
              <w:rPr>
                <w:rFonts w:hint="eastAsia"/>
                <w:color w:val="auto"/>
                <w:sz w:val="18"/>
                <w:szCs w:val="18"/>
              </w:rPr>
              <w:t>每月一次派出专业技术人员对设备使用情况进行检查、维修等，保证设备运行正常，对已到使用年限或损坏配件及时进行更换，对设备进行加排水等处理防止停机。（冬季极端情况加水操作以实际情况为准）</w:t>
            </w:r>
          </w:p>
        </w:tc>
      </w:tr>
      <w:tr w14:paraId="53A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7D961F">
            <w:pPr>
              <w:jc w:val="center"/>
              <w:rPr>
                <w:rFonts w:hint="eastAsia" w:ascii="宋体" w:hAnsi="宋体"/>
                <w:caps/>
                <w:color w:val="auto"/>
                <w:sz w:val="24"/>
              </w:rPr>
            </w:pPr>
            <w:r>
              <w:rPr>
                <w:rFonts w:hint="eastAsia" w:ascii="宋体" w:hAnsi="宋体"/>
                <w:caps/>
                <w:color w:val="auto"/>
                <w:sz w:val="24"/>
              </w:rPr>
              <w:t>3</w:t>
            </w:r>
          </w:p>
        </w:tc>
        <w:tc>
          <w:tcPr>
            <w:tcW w:w="1750" w:type="dxa"/>
            <w:vAlign w:val="center"/>
          </w:tcPr>
          <w:p w14:paraId="5C63774B">
            <w:pPr>
              <w:ind w:left="180" w:hanging="180" w:hangingChars="100"/>
              <w:jc w:val="center"/>
              <w:rPr>
                <w:rFonts w:hint="eastAsia" w:ascii="宋体" w:hAnsi="宋体"/>
                <w:caps/>
                <w:color w:val="auto"/>
                <w:sz w:val="18"/>
                <w:szCs w:val="18"/>
              </w:rPr>
            </w:pPr>
            <w:r>
              <w:rPr>
                <w:rFonts w:hint="eastAsia" w:ascii="宋体" w:hAnsi="宋体" w:cs="宋体"/>
                <w:color w:val="auto"/>
                <w:sz w:val="18"/>
                <w:szCs w:val="18"/>
              </w:rPr>
              <w:t>机房巡检（水、电、网络故障排查）</w:t>
            </w:r>
          </w:p>
        </w:tc>
        <w:tc>
          <w:tcPr>
            <w:tcW w:w="1117" w:type="dxa"/>
            <w:vAlign w:val="center"/>
          </w:tcPr>
          <w:p w14:paraId="27D9A475">
            <w:pPr>
              <w:jc w:val="center"/>
              <w:rPr>
                <w:rFonts w:hint="eastAsia" w:ascii="宋体" w:hAnsi="宋体"/>
                <w:caps/>
                <w:color w:val="auto"/>
                <w:sz w:val="18"/>
                <w:szCs w:val="18"/>
              </w:rPr>
            </w:pPr>
            <w:r>
              <w:rPr>
                <w:rFonts w:hint="eastAsia" w:ascii="宋体" w:hAnsi="宋体" w:cs="宋体"/>
                <w:color w:val="auto"/>
                <w:sz w:val="18"/>
                <w:szCs w:val="18"/>
              </w:rPr>
              <w:t>11间/次</w:t>
            </w:r>
          </w:p>
        </w:tc>
        <w:tc>
          <w:tcPr>
            <w:tcW w:w="5730" w:type="dxa"/>
          </w:tcPr>
          <w:p w14:paraId="23BFD6AF">
            <w:pPr>
              <w:jc w:val="left"/>
              <w:rPr>
                <w:rFonts w:hint="eastAsia" w:ascii="宋体" w:hAnsi="宋体"/>
                <w:caps/>
                <w:color w:val="auto"/>
                <w:sz w:val="18"/>
                <w:szCs w:val="18"/>
              </w:rPr>
            </w:pPr>
            <w:r>
              <w:rPr>
                <w:rFonts w:hint="eastAsia"/>
                <w:color w:val="auto"/>
                <w:sz w:val="18"/>
                <w:szCs w:val="18"/>
              </w:rPr>
              <w:t>每月一次派出专业技术人员对机房内部水电线路进行检查,</w:t>
            </w:r>
            <w:r>
              <w:rPr>
                <w:rFonts w:hint="eastAsia" w:ascii="宋体" w:hAnsi="宋体" w:cs="宋体"/>
                <w:color w:val="auto"/>
                <w:sz w:val="18"/>
                <w:szCs w:val="18"/>
              </w:rPr>
              <w:t>保持机组机房的整齐清洁，在换季时对不同加湿、除湿机组进行季节性交替挡位调节，提高机器的使用性能及降低能耗。当设备处于停机状态时，检查故障原因并做好记录，汇报客户做出解决方案及维修时间等。</w:t>
            </w:r>
          </w:p>
        </w:tc>
      </w:tr>
      <w:tr w14:paraId="099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7DD2A2D">
            <w:pPr>
              <w:jc w:val="center"/>
              <w:rPr>
                <w:rFonts w:hint="eastAsia" w:ascii="宋体" w:hAnsi="宋体"/>
                <w:caps/>
                <w:color w:val="auto"/>
                <w:sz w:val="24"/>
              </w:rPr>
            </w:pPr>
            <w:r>
              <w:rPr>
                <w:rFonts w:hint="eastAsia" w:ascii="宋体" w:hAnsi="宋体"/>
                <w:caps/>
                <w:color w:val="auto"/>
                <w:sz w:val="24"/>
              </w:rPr>
              <w:t>4</w:t>
            </w:r>
          </w:p>
        </w:tc>
        <w:tc>
          <w:tcPr>
            <w:tcW w:w="1750" w:type="dxa"/>
            <w:vAlign w:val="center"/>
          </w:tcPr>
          <w:p w14:paraId="4EB6A709">
            <w:pPr>
              <w:jc w:val="center"/>
              <w:rPr>
                <w:rFonts w:hint="eastAsia" w:ascii="宋体" w:hAnsi="宋体"/>
                <w:caps/>
                <w:color w:val="auto"/>
                <w:sz w:val="18"/>
                <w:szCs w:val="18"/>
              </w:rPr>
            </w:pPr>
            <w:r>
              <w:rPr>
                <w:rFonts w:hint="eastAsia" w:ascii="宋体" w:hAnsi="宋体" w:cs="宋体"/>
                <w:color w:val="auto"/>
                <w:sz w:val="18"/>
                <w:szCs w:val="18"/>
              </w:rPr>
              <w:t>展厅巡检（分配传感器故障维修及更换）</w:t>
            </w:r>
          </w:p>
        </w:tc>
        <w:tc>
          <w:tcPr>
            <w:tcW w:w="1117" w:type="dxa"/>
            <w:vAlign w:val="center"/>
          </w:tcPr>
          <w:p w14:paraId="78CD2195">
            <w:pPr>
              <w:jc w:val="center"/>
              <w:rPr>
                <w:rFonts w:hint="eastAsia" w:ascii="宋体" w:hAnsi="宋体"/>
                <w:caps/>
                <w:color w:val="auto"/>
                <w:sz w:val="18"/>
                <w:szCs w:val="18"/>
              </w:rPr>
            </w:pPr>
            <w:r>
              <w:rPr>
                <w:rFonts w:hint="eastAsia" w:ascii="宋体" w:hAnsi="宋体" w:cs="宋体"/>
                <w:color w:val="auto"/>
                <w:sz w:val="18"/>
                <w:szCs w:val="18"/>
              </w:rPr>
              <w:t>320只/次</w:t>
            </w:r>
          </w:p>
        </w:tc>
        <w:tc>
          <w:tcPr>
            <w:tcW w:w="5730" w:type="dxa"/>
          </w:tcPr>
          <w:p w14:paraId="753C9079">
            <w:pPr>
              <w:ind w:left="180" w:hanging="180" w:hangingChars="100"/>
              <w:jc w:val="left"/>
              <w:rPr>
                <w:rFonts w:hint="eastAsia" w:ascii="宋体" w:hAnsi="宋体"/>
                <w:caps/>
                <w:color w:val="auto"/>
                <w:sz w:val="18"/>
                <w:szCs w:val="18"/>
              </w:rPr>
            </w:pPr>
            <w:r>
              <w:rPr>
                <w:rFonts w:hint="eastAsia"/>
                <w:color w:val="auto"/>
                <w:sz w:val="18"/>
                <w:szCs w:val="18"/>
              </w:rPr>
              <w:t>每月一次派出专业技术人员</w:t>
            </w:r>
            <w:r>
              <w:rPr>
                <w:rFonts w:hint="eastAsia" w:ascii="宋体" w:hAnsi="宋体" w:cs="宋体"/>
                <w:color w:val="auto"/>
                <w:sz w:val="18"/>
                <w:szCs w:val="18"/>
              </w:rPr>
              <w:t>对展厅内分配传感器使用情况进行统计，如有损坏及时进行更换；对恒湿设备设置参数、运行状态等进行记录，提交巡检记录表及维修清单。展厅出现异常情况24小时内到场解决。</w:t>
            </w:r>
          </w:p>
        </w:tc>
      </w:tr>
      <w:tr w14:paraId="3E5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3C936A9">
            <w:pPr>
              <w:jc w:val="center"/>
              <w:rPr>
                <w:rFonts w:hint="eastAsia" w:ascii="宋体" w:hAnsi="宋体"/>
                <w:caps/>
                <w:color w:val="auto"/>
                <w:sz w:val="24"/>
              </w:rPr>
            </w:pPr>
            <w:r>
              <w:rPr>
                <w:rFonts w:hint="eastAsia" w:ascii="宋体" w:hAnsi="宋体"/>
                <w:caps/>
                <w:color w:val="auto"/>
                <w:sz w:val="24"/>
              </w:rPr>
              <w:t>5</w:t>
            </w:r>
          </w:p>
        </w:tc>
        <w:tc>
          <w:tcPr>
            <w:tcW w:w="1750" w:type="dxa"/>
            <w:vAlign w:val="center"/>
          </w:tcPr>
          <w:p w14:paraId="32472747">
            <w:pPr>
              <w:ind w:left="180" w:hanging="180" w:hangingChars="100"/>
              <w:jc w:val="center"/>
              <w:rPr>
                <w:rFonts w:hint="eastAsia" w:ascii="宋体" w:hAnsi="宋体"/>
                <w:caps/>
                <w:color w:val="auto"/>
                <w:sz w:val="18"/>
                <w:szCs w:val="18"/>
              </w:rPr>
            </w:pPr>
            <w:r>
              <w:rPr>
                <w:rFonts w:hint="eastAsia" w:ascii="宋体" w:hAnsi="宋体" w:cs="宋体"/>
                <w:color w:val="auto"/>
                <w:sz w:val="18"/>
                <w:szCs w:val="18"/>
              </w:rPr>
              <w:t>软件系统升级（定制数据分析报告等）</w:t>
            </w:r>
          </w:p>
        </w:tc>
        <w:tc>
          <w:tcPr>
            <w:tcW w:w="1117" w:type="dxa"/>
            <w:vAlign w:val="center"/>
          </w:tcPr>
          <w:p w14:paraId="22D758AD">
            <w:pPr>
              <w:widowControl/>
              <w:jc w:val="center"/>
              <w:textAlignment w:val="center"/>
              <w:rPr>
                <w:rFonts w:hint="eastAsia" w:ascii="宋体" w:hAnsi="宋体"/>
                <w:caps/>
                <w:color w:val="auto"/>
                <w:sz w:val="18"/>
                <w:szCs w:val="18"/>
              </w:rPr>
            </w:pPr>
            <w:r>
              <w:rPr>
                <w:rFonts w:hint="eastAsia" w:ascii="宋体" w:hAnsi="宋体" w:cs="宋体"/>
                <w:color w:val="auto"/>
                <w:sz w:val="18"/>
                <w:szCs w:val="18"/>
              </w:rPr>
              <w:t>4份/年</w:t>
            </w:r>
          </w:p>
        </w:tc>
        <w:tc>
          <w:tcPr>
            <w:tcW w:w="5730" w:type="dxa"/>
          </w:tcPr>
          <w:p w14:paraId="48B8E66C">
            <w:pPr>
              <w:rPr>
                <w:rFonts w:hint="eastAsia" w:ascii="宋体" w:hAnsi="宋体"/>
                <w:caps/>
                <w:color w:val="auto"/>
                <w:sz w:val="18"/>
                <w:szCs w:val="18"/>
              </w:rPr>
            </w:pPr>
            <w:r>
              <w:rPr>
                <w:rFonts w:hint="eastAsia"/>
                <w:color w:val="auto"/>
                <w:sz w:val="18"/>
                <w:szCs w:val="18"/>
              </w:rPr>
              <w:t>每周一次对系统进行优化分析，统计展柜温湿度情况，</w:t>
            </w:r>
            <w:r>
              <w:rPr>
                <w:rFonts w:hint="eastAsia" w:ascii="宋体" w:hAnsi="宋体" w:cs="宋体"/>
                <w:color w:val="auto"/>
                <w:sz w:val="18"/>
                <w:szCs w:val="18"/>
              </w:rPr>
              <w:t>对异常情况进行整理线下巡检时解决，按季度</w:t>
            </w:r>
            <w:r>
              <w:rPr>
                <w:rFonts w:hint="eastAsia"/>
                <w:color w:val="auto"/>
                <w:sz w:val="18"/>
                <w:szCs w:val="18"/>
              </w:rPr>
              <w:t>提供一份全馆展厅柜内温湿度波动数据分析报告，</w:t>
            </w:r>
            <w:r>
              <w:rPr>
                <w:rFonts w:hint="eastAsia" w:ascii="宋体" w:hAnsi="宋体" w:cs="宋体"/>
                <w:color w:val="auto"/>
                <w:sz w:val="18"/>
                <w:szCs w:val="18"/>
              </w:rPr>
              <w:t>并针对湿度异常情况出现的问题进行分析并整改。根据馆方要求随时对系统进行定制升级服务。</w:t>
            </w:r>
          </w:p>
        </w:tc>
      </w:tr>
      <w:tr w14:paraId="573C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50EABCD8">
            <w:pPr>
              <w:jc w:val="center"/>
              <w:rPr>
                <w:rFonts w:hint="eastAsia" w:ascii="宋体" w:hAnsi="宋体"/>
                <w:caps/>
                <w:color w:val="auto"/>
                <w:sz w:val="24"/>
              </w:rPr>
            </w:pPr>
            <w:r>
              <w:rPr>
                <w:rFonts w:hint="eastAsia" w:ascii="宋体" w:hAnsi="宋体"/>
                <w:caps/>
                <w:color w:val="auto"/>
                <w:sz w:val="24"/>
              </w:rPr>
              <w:t>6</w:t>
            </w:r>
          </w:p>
        </w:tc>
        <w:tc>
          <w:tcPr>
            <w:tcW w:w="1750" w:type="dxa"/>
            <w:vAlign w:val="center"/>
          </w:tcPr>
          <w:p w14:paraId="3DC7E23E">
            <w:pPr>
              <w:ind w:left="180" w:hanging="180" w:hangingChars="100"/>
              <w:jc w:val="center"/>
              <w:rPr>
                <w:rFonts w:hint="eastAsia" w:ascii="宋体" w:hAnsi="宋体"/>
                <w:caps/>
                <w:color w:val="auto"/>
                <w:sz w:val="18"/>
                <w:szCs w:val="18"/>
              </w:rPr>
            </w:pPr>
            <w:r>
              <w:rPr>
                <w:rFonts w:hint="eastAsia" w:ascii="宋体" w:hAnsi="宋体" w:cs="宋体"/>
                <w:color w:val="auto"/>
                <w:sz w:val="18"/>
                <w:szCs w:val="18"/>
              </w:rPr>
              <w:t>本地服务点建立（突发应急响应服务）</w:t>
            </w:r>
          </w:p>
        </w:tc>
        <w:tc>
          <w:tcPr>
            <w:tcW w:w="1117" w:type="dxa"/>
            <w:vAlign w:val="center"/>
          </w:tcPr>
          <w:p w14:paraId="339B1F89">
            <w:pPr>
              <w:jc w:val="center"/>
              <w:rPr>
                <w:rFonts w:hint="eastAsia" w:ascii="宋体" w:hAnsi="宋体"/>
                <w:caps/>
                <w:color w:val="auto"/>
                <w:sz w:val="18"/>
                <w:szCs w:val="18"/>
              </w:rPr>
            </w:pPr>
            <w:r>
              <w:rPr>
                <w:rFonts w:hint="eastAsia" w:ascii="宋体" w:hAnsi="宋体" w:cs="宋体"/>
                <w:color w:val="auto"/>
                <w:sz w:val="18"/>
                <w:szCs w:val="18"/>
              </w:rPr>
              <w:t>1人</w:t>
            </w:r>
          </w:p>
        </w:tc>
        <w:tc>
          <w:tcPr>
            <w:tcW w:w="5730" w:type="dxa"/>
            <w:vAlign w:val="center"/>
          </w:tcPr>
          <w:p w14:paraId="097CDB6B">
            <w:pPr>
              <w:jc w:val="left"/>
              <w:rPr>
                <w:rFonts w:hint="eastAsia" w:ascii="宋体" w:hAnsi="宋体"/>
                <w:caps/>
                <w:color w:val="auto"/>
                <w:sz w:val="18"/>
                <w:szCs w:val="18"/>
              </w:rPr>
            </w:pPr>
            <w:r>
              <w:rPr>
                <w:rFonts w:hint="eastAsia" w:ascii="宋体" w:hAnsi="宋体"/>
                <w:caps/>
                <w:color w:val="auto"/>
                <w:sz w:val="18"/>
                <w:szCs w:val="18"/>
              </w:rPr>
              <w:t>服务期间安排专业技术人员常驻武汉，针对馆内异常情况，有专员24小时保持通讯畅通，在接到客户的需求时，积极响应并当日到场解决。</w:t>
            </w:r>
          </w:p>
        </w:tc>
      </w:tr>
    </w:tbl>
    <w:p w14:paraId="653FB6AE">
      <w:pPr>
        <w:spacing w:line="440" w:lineRule="exact"/>
        <w:rPr>
          <w:rFonts w:hint="eastAsia" w:ascii="宋体" w:hAnsi="宋体"/>
          <w:color w:val="auto"/>
          <w:sz w:val="24"/>
          <w:szCs w:val="22"/>
        </w:rPr>
      </w:pPr>
      <w:r>
        <w:rPr>
          <w:rFonts w:hint="eastAsia" w:ascii="宋体" w:hAnsi="宋体"/>
          <w:color w:val="auto"/>
          <w:sz w:val="24"/>
          <w:szCs w:val="22"/>
        </w:rPr>
        <w:t>总体要求：</w:t>
      </w:r>
    </w:p>
    <w:p w14:paraId="4169F71F">
      <w:pPr>
        <w:spacing w:line="440" w:lineRule="exact"/>
        <w:rPr>
          <w:rFonts w:hint="eastAsia" w:ascii="宋体" w:hAnsi="宋体"/>
          <w:color w:val="auto"/>
          <w:sz w:val="24"/>
          <w:szCs w:val="22"/>
        </w:rPr>
      </w:pPr>
      <w:r>
        <w:rPr>
          <w:rFonts w:hint="eastAsia" w:ascii="宋体" w:hAnsi="宋体"/>
          <w:color w:val="auto"/>
          <w:sz w:val="24"/>
          <w:szCs w:val="22"/>
          <w:lang w:val="en-US" w:eastAsia="zh-CN"/>
        </w:rPr>
        <w:t>1.</w:t>
      </w:r>
      <w:r>
        <w:rPr>
          <w:rFonts w:hint="eastAsia" w:ascii="宋体" w:hAnsi="宋体"/>
          <w:color w:val="auto"/>
          <w:sz w:val="24"/>
          <w:szCs w:val="22"/>
        </w:rPr>
        <w:t>基于湖北省博物馆南馆展厅已安装的展柜微环境调湿系统，对展厅及机房内的设备进行每周一次系统线上巡检保证展厅内每条恒湿管路温湿度稳定，对末端湿度出现的问题及时排查故障原因并做好记录，汇报客户做出解决方案及维修时间等；每月一次现场线下巡查，包括机房电控系统、网络系统、加湿系统、除湿系统、散热系统、供水系统、排水系统等检查，确保设备正常运行，以满足文物储藏环境要求，巡检后一周内提交月度维护报告；每季度一次对设备主机及配件使用情况进行检查、除尘、清洗、检漏、维修等，根据季度变化调节机器挡位，预判设备运行情况，对已到使用年限或损坏配件及时进行更换，防止设备出现超负荷运转而导致停机，下一次巡检前提交各展厅展柜温湿度分析季度报告。</w:t>
      </w:r>
    </w:p>
    <w:p w14:paraId="193A28B8">
      <w:pPr>
        <w:spacing w:line="440" w:lineRule="exact"/>
        <w:rPr>
          <w:rFonts w:hint="eastAsia" w:ascii="宋体" w:hAnsi="宋体"/>
          <w:color w:val="auto"/>
          <w:sz w:val="24"/>
          <w:szCs w:val="22"/>
        </w:rPr>
      </w:pPr>
      <w:r>
        <w:rPr>
          <w:rFonts w:hint="eastAsia" w:ascii="宋体" w:hAnsi="宋体"/>
          <w:color w:val="auto"/>
          <w:sz w:val="24"/>
          <w:szCs w:val="22"/>
          <w:lang w:val="en-US" w:eastAsia="zh-CN"/>
        </w:rPr>
        <w:t>2.</w:t>
      </w:r>
      <w:r>
        <w:rPr>
          <w:rFonts w:hint="eastAsia" w:ascii="宋体" w:hAnsi="宋体"/>
          <w:color w:val="auto"/>
          <w:sz w:val="24"/>
          <w:szCs w:val="22"/>
        </w:rPr>
        <w:t>对系统软件进行定制升级服务，针对湿度异常情况出现的问题进行分析并整改。保证自然月内，系统展柜温湿度传感器在线率达到95%以上。</w:t>
      </w:r>
    </w:p>
    <w:p w14:paraId="6738E71E">
      <w:pPr>
        <w:spacing w:line="440" w:lineRule="exact"/>
        <w:rPr>
          <w:rFonts w:hint="eastAsia"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巡检时发现设备故障应及时进行维修，对于损坏的部件或配件更换原厂商的正规产品。自然月内出现的同类型故障，免费再次上门检修，保证机房设备正常运转率达到98%以上。</w:t>
      </w:r>
    </w:p>
    <w:p w14:paraId="71C3B78E">
      <w:pPr>
        <w:spacing w:line="440" w:lineRule="exact"/>
        <w:rPr>
          <w:rFonts w:hint="eastAsia" w:ascii="宋体" w:hAnsi="宋体"/>
          <w:color w:val="auto"/>
          <w:sz w:val="24"/>
          <w:szCs w:val="22"/>
        </w:rPr>
      </w:pPr>
      <w:r>
        <w:rPr>
          <w:rFonts w:hint="eastAsia" w:ascii="宋体" w:hAnsi="宋体"/>
          <w:color w:val="auto"/>
          <w:sz w:val="24"/>
          <w:szCs w:val="22"/>
          <w:lang w:val="en-US" w:eastAsia="zh-CN"/>
        </w:rPr>
        <w:t>4.</w:t>
      </w:r>
      <w:r>
        <w:rPr>
          <w:rFonts w:hint="eastAsia" w:ascii="宋体" w:hAnsi="宋体"/>
          <w:color w:val="auto"/>
          <w:sz w:val="24"/>
          <w:szCs w:val="22"/>
        </w:rPr>
        <w:t>安排专业技术人员常驻武汉，针对馆内异常情况（设备引起的突发故障或紧急情况），有专员24小时保持通讯畅通，在接到客户的需求时，技术人员将于2小时内响应并提出解决方案，对于无法及时解决的问题，24小时内到达现场进行紧急检修。</w:t>
      </w:r>
    </w:p>
    <w:p w14:paraId="135CDF0F">
      <w:pPr>
        <w:spacing w:line="440" w:lineRule="exact"/>
        <w:rPr>
          <w:rFonts w:hint="eastAsia"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hint="eastAsia" w:ascii="宋体" w:hAnsi="宋体"/>
          <w:color w:val="auto"/>
          <w:sz w:val="24"/>
          <w:szCs w:val="22"/>
        </w:rPr>
      </w:pPr>
      <w:r>
        <w:rPr>
          <w:rFonts w:hint="eastAsia" w:ascii="宋体" w:hAnsi="宋体"/>
          <w:color w:val="auto"/>
          <w:sz w:val="24"/>
          <w:szCs w:val="22"/>
        </w:rPr>
        <w:t>2.1交付需求：</w:t>
      </w:r>
    </w:p>
    <w:p w14:paraId="00F9955F">
      <w:pPr>
        <w:spacing w:line="440" w:lineRule="exact"/>
        <w:rPr>
          <w:rFonts w:hint="eastAsia" w:ascii="宋体" w:hAnsi="宋体"/>
          <w:color w:val="auto"/>
          <w:sz w:val="24"/>
          <w:szCs w:val="22"/>
        </w:rPr>
      </w:pPr>
      <w:r>
        <w:rPr>
          <w:rFonts w:hint="eastAsia" w:ascii="宋体" w:hAnsi="宋体"/>
          <w:color w:val="auto"/>
          <w:sz w:val="24"/>
          <w:szCs w:val="22"/>
        </w:rPr>
        <w:t>2.1.1交货时间：合同签订之日起12个月内实施完毕。</w:t>
      </w:r>
    </w:p>
    <w:p w14:paraId="0BEB1648">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rPr>
        <w:t>所处理之服务，交付甲方后</w:t>
      </w:r>
      <w:r>
        <w:rPr>
          <w:rFonts w:hint="eastAsia" w:ascii="宋体" w:hAnsi="宋体"/>
          <w:color w:val="auto"/>
          <w:sz w:val="24"/>
          <w:szCs w:val="22"/>
        </w:rPr>
        <w:t>，经采购人验收签字认可。</w:t>
      </w:r>
    </w:p>
    <w:p w14:paraId="28F14455">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2.1.5合同签订及付款方式。</w:t>
      </w:r>
    </w:p>
    <w:p w14:paraId="42EEC2F3">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6FB2D52C">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2.1.7付款方式：本项目无预付款。乙方完成12个月项目服务经甲方验收合格后，供应商提供发票后15个工作日内支付全款。乙方认可甲方向湖北省财政厅提请支付款项，视同甲方履行付款义务。</w:t>
      </w:r>
    </w:p>
    <w:p w14:paraId="29498281">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2.1.8验收标准：根据投标响应文件及行业有关标准、合同规定的技术要求验收，根据服务质量要求，一年合同期满后，经考核验收能够完全满足总体要求指标的则可续签合同的服务时间为1年，最多续签两年。</w:t>
      </w:r>
    </w:p>
    <w:p w14:paraId="6FD51F68">
      <w:pPr>
        <w:spacing w:before="100" w:beforeAutospacing="1" w:line="360" w:lineRule="auto"/>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35BB7980">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年的免费上门保修，终身维修。保修期自验收合格之日起计算。供应商在此项目后期的维护中，若</w:t>
      </w:r>
      <w:r>
        <w:rPr>
          <w:rFonts w:hint="eastAsia" w:ascii="宋体" w:hAnsi="宋体"/>
          <w:color w:val="auto"/>
          <w:sz w:val="24"/>
          <w:szCs w:val="22"/>
        </w:rPr>
        <w:t>出现系统故障，服务商应2小时内响应，2</w:t>
      </w:r>
      <w:r>
        <w:rPr>
          <w:rFonts w:ascii="宋体" w:hAnsi="宋体"/>
          <w:color w:val="auto"/>
          <w:sz w:val="24"/>
          <w:szCs w:val="22"/>
        </w:rPr>
        <w:t>4</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auto"/>
          <w:sz w:val="24"/>
        </w:rPr>
      </w:pPr>
    </w:p>
    <w:p w14:paraId="5D73DBF6">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5B1F10B0">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3819CA0C">
      <w:pPr>
        <w:shd w:val="clear" w:color="auto" w:fill="FFFFFF"/>
        <w:spacing w:line="360" w:lineRule="auto"/>
        <w:ind w:firstLine="240" w:firstLineChars="100"/>
        <w:rPr>
          <w:rFonts w:hint="eastAsia" w:ascii="宋体" w:hAnsi="宋体" w:cs="宋体"/>
          <w:color w:val="auto"/>
          <w:sz w:val="24"/>
        </w:rPr>
      </w:pPr>
    </w:p>
    <w:p w14:paraId="1A7FB7B8">
      <w:pPr>
        <w:shd w:val="clear" w:color="auto" w:fill="FFFFFF"/>
        <w:spacing w:line="360" w:lineRule="auto"/>
        <w:ind w:firstLine="240" w:firstLineChars="100"/>
        <w:rPr>
          <w:rFonts w:hint="eastAsia" w:ascii="宋体" w:hAnsi="宋体" w:cs="宋体"/>
          <w:color w:val="auto"/>
          <w:sz w:val="24"/>
        </w:rPr>
      </w:pPr>
    </w:p>
    <w:p w14:paraId="2EE08E7C">
      <w:pPr>
        <w:shd w:val="clear" w:color="auto" w:fill="FFFFFF"/>
        <w:spacing w:line="360" w:lineRule="auto"/>
        <w:ind w:firstLine="240" w:firstLineChars="100"/>
        <w:rPr>
          <w:rFonts w:hint="eastAsia" w:ascii="宋体" w:hAnsi="宋体" w:cs="宋体"/>
          <w:color w:val="auto"/>
          <w:sz w:val="24"/>
        </w:rPr>
      </w:pPr>
    </w:p>
    <w:p w14:paraId="45748ACB">
      <w:pPr>
        <w:shd w:val="clear" w:color="auto" w:fill="FFFFFF"/>
        <w:spacing w:line="360" w:lineRule="auto"/>
        <w:ind w:firstLine="240" w:firstLineChars="100"/>
        <w:rPr>
          <w:rFonts w:hint="eastAsia" w:ascii="宋体" w:hAnsi="宋体" w:cs="宋体"/>
          <w:color w:val="auto"/>
          <w:sz w:val="24"/>
        </w:rPr>
      </w:pPr>
    </w:p>
    <w:p w14:paraId="7F0A1B96">
      <w:pPr>
        <w:shd w:val="clear" w:color="auto" w:fill="FFFFFF"/>
        <w:spacing w:line="360" w:lineRule="auto"/>
        <w:ind w:firstLine="240" w:firstLineChars="100"/>
        <w:rPr>
          <w:rFonts w:hint="eastAsia" w:ascii="宋体" w:hAnsi="宋体" w:cs="宋体"/>
          <w:color w:val="auto"/>
          <w:sz w:val="24"/>
        </w:rPr>
      </w:pPr>
    </w:p>
    <w:p w14:paraId="1F704169">
      <w:pPr>
        <w:shd w:val="clear" w:color="auto" w:fill="FFFFFF"/>
        <w:spacing w:line="360" w:lineRule="auto"/>
        <w:ind w:firstLine="240" w:firstLineChars="100"/>
        <w:rPr>
          <w:rFonts w:hint="eastAsia" w:ascii="宋体" w:hAnsi="宋体" w:cs="宋体"/>
          <w:color w:val="auto"/>
          <w:sz w:val="24"/>
        </w:rPr>
      </w:pPr>
    </w:p>
    <w:p w14:paraId="1AC38318">
      <w:pPr>
        <w:shd w:val="clear" w:color="auto" w:fill="FFFFFF"/>
        <w:spacing w:line="360" w:lineRule="auto"/>
        <w:ind w:firstLine="240" w:firstLineChars="100"/>
        <w:rPr>
          <w:rFonts w:hint="eastAsia" w:ascii="宋体" w:hAnsi="宋体" w:cs="宋体"/>
          <w:color w:val="auto"/>
          <w:sz w:val="24"/>
        </w:rPr>
      </w:pPr>
    </w:p>
    <w:p w14:paraId="3F9D7D01">
      <w:pPr>
        <w:shd w:val="clear" w:color="auto" w:fill="FFFFFF"/>
        <w:spacing w:line="360" w:lineRule="auto"/>
        <w:ind w:firstLine="240" w:firstLineChars="100"/>
        <w:rPr>
          <w:rFonts w:hint="eastAsia" w:ascii="宋体" w:hAnsi="宋体" w:cs="宋体"/>
          <w:color w:val="auto"/>
          <w:sz w:val="24"/>
        </w:rPr>
      </w:pPr>
    </w:p>
    <w:p w14:paraId="18CE7D64">
      <w:pPr>
        <w:shd w:val="clear" w:color="auto" w:fill="FFFFFF"/>
        <w:spacing w:line="360" w:lineRule="auto"/>
        <w:ind w:firstLine="240" w:firstLineChars="100"/>
        <w:rPr>
          <w:rFonts w:hint="eastAsia" w:ascii="宋体" w:hAnsi="宋体" w:cs="宋体"/>
          <w:color w:val="auto"/>
          <w:sz w:val="24"/>
        </w:rPr>
      </w:pPr>
    </w:p>
    <w:p w14:paraId="3D1E08EB">
      <w:pPr>
        <w:shd w:val="clear" w:color="auto" w:fill="FFFFFF"/>
        <w:spacing w:line="360" w:lineRule="auto"/>
        <w:ind w:firstLine="240" w:firstLineChars="100"/>
        <w:rPr>
          <w:rFonts w:hint="eastAsia" w:ascii="宋体" w:hAnsi="宋体" w:cs="宋体"/>
          <w:color w:val="auto"/>
          <w:sz w:val="24"/>
        </w:rPr>
      </w:pPr>
    </w:p>
    <w:p w14:paraId="3C342826">
      <w:pPr>
        <w:shd w:val="clear" w:color="auto" w:fill="FFFFFF"/>
        <w:spacing w:line="360" w:lineRule="auto"/>
        <w:ind w:firstLine="240" w:firstLineChars="100"/>
        <w:rPr>
          <w:rFonts w:hint="eastAsia" w:ascii="宋体" w:hAnsi="宋体" w:cs="宋体"/>
          <w:color w:val="auto"/>
          <w:sz w:val="24"/>
        </w:rPr>
      </w:pPr>
    </w:p>
    <w:p w14:paraId="5A42E4C1">
      <w:pPr>
        <w:shd w:val="clear" w:color="auto" w:fill="FFFFFF"/>
        <w:spacing w:line="360" w:lineRule="auto"/>
        <w:ind w:firstLine="240" w:firstLineChars="100"/>
        <w:rPr>
          <w:rFonts w:hint="eastAsia" w:ascii="宋体" w:hAnsi="宋体" w:cs="宋体"/>
          <w:color w:val="auto"/>
          <w:sz w:val="24"/>
        </w:rPr>
      </w:pPr>
    </w:p>
    <w:p w14:paraId="5E94F86B">
      <w:pPr>
        <w:shd w:val="clear" w:color="auto" w:fill="FFFFFF"/>
        <w:spacing w:line="360" w:lineRule="auto"/>
        <w:ind w:firstLine="240" w:firstLineChars="100"/>
        <w:rPr>
          <w:rFonts w:hint="eastAsia" w:ascii="宋体" w:hAnsi="宋体" w:cs="宋体"/>
          <w:color w:val="auto"/>
          <w:sz w:val="24"/>
        </w:rPr>
      </w:pPr>
    </w:p>
    <w:p w14:paraId="504EBBBF">
      <w:pPr>
        <w:shd w:val="clear" w:color="auto" w:fill="FFFFFF"/>
        <w:spacing w:line="360" w:lineRule="auto"/>
        <w:ind w:firstLine="240" w:firstLineChars="100"/>
        <w:rPr>
          <w:rFonts w:hint="eastAsia" w:ascii="宋体" w:hAnsi="宋体" w:cs="宋体"/>
          <w:color w:val="auto"/>
          <w:sz w:val="24"/>
        </w:rPr>
      </w:pPr>
    </w:p>
    <w:p w14:paraId="414E1073">
      <w:pPr>
        <w:shd w:val="clear" w:color="auto" w:fill="FFFFFF"/>
        <w:spacing w:line="360" w:lineRule="auto"/>
        <w:ind w:firstLine="240" w:firstLineChars="100"/>
        <w:rPr>
          <w:rFonts w:hint="eastAsia" w:ascii="宋体" w:hAnsi="宋体" w:cs="宋体"/>
          <w:color w:val="auto"/>
          <w:sz w:val="24"/>
        </w:rPr>
      </w:pPr>
    </w:p>
    <w:p w14:paraId="6741AAA7">
      <w:pPr>
        <w:shd w:val="clear" w:color="auto" w:fill="FFFFFF"/>
        <w:spacing w:line="360" w:lineRule="auto"/>
        <w:ind w:firstLine="240" w:firstLineChars="100"/>
        <w:rPr>
          <w:rFonts w:hint="eastAsia" w:ascii="宋体" w:hAnsi="宋体" w:cs="宋体"/>
          <w:color w:val="auto"/>
          <w:sz w:val="24"/>
        </w:rPr>
      </w:pPr>
    </w:p>
    <w:p w14:paraId="29BBF4A8">
      <w:pPr>
        <w:shd w:val="clear" w:color="auto" w:fill="FFFFFF"/>
        <w:spacing w:line="360" w:lineRule="auto"/>
        <w:ind w:firstLine="240" w:firstLineChars="100"/>
        <w:rPr>
          <w:rFonts w:hint="eastAsia" w:ascii="宋体" w:hAnsi="宋体" w:cs="宋体"/>
          <w:color w:val="auto"/>
          <w:sz w:val="24"/>
        </w:rPr>
      </w:pPr>
    </w:p>
    <w:p w14:paraId="59A1AAB1">
      <w:pPr>
        <w:shd w:val="clear" w:color="auto" w:fill="FFFFFF"/>
        <w:spacing w:line="360" w:lineRule="auto"/>
        <w:ind w:firstLine="240" w:firstLineChars="100"/>
        <w:rPr>
          <w:rFonts w:hint="eastAsia" w:ascii="宋体" w:hAnsi="宋体" w:cs="宋体"/>
          <w:color w:val="auto"/>
          <w:sz w:val="24"/>
        </w:rPr>
      </w:pPr>
    </w:p>
    <w:p w14:paraId="634873C0">
      <w:pPr>
        <w:shd w:val="clear" w:color="auto" w:fill="FFFFFF"/>
        <w:spacing w:line="360" w:lineRule="auto"/>
        <w:ind w:firstLine="240" w:firstLineChars="100"/>
        <w:rPr>
          <w:rFonts w:hint="eastAsia" w:ascii="宋体" w:hAnsi="宋体" w:cs="宋体"/>
          <w:color w:val="auto"/>
          <w:sz w:val="24"/>
        </w:rPr>
      </w:pPr>
    </w:p>
    <w:p w14:paraId="7E75B46A">
      <w:pPr>
        <w:shd w:val="clear" w:color="auto" w:fill="FFFFFF"/>
        <w:spacing w:line="360" w:lineRule="auto"/>
        <w:ind w:firstLine="240" w:firstLineChars="100"/>
        <w:rPr>
          <w:rFonts w:hint="eastAsia" w:ascii="宋体" w:hAnsi="宋体" w:cs="宋体"/>
          <w:color w:val="auto"/>
          <w:sz w:val="24"/>
        </w:rPr>
      </w:pPr>
      <w:bookmarkStart w:id="0" w:name="_GoBack"/>
      <w:bookmarkEnd w:id="0"/>
    </w:p>
    <w:p w14:paraId="394794B2">
      <w:pPr>
        <w:shd w:val="clear" w:color="auto" w:fill="FFFFFF"/>
        <w:spacing w:line="360" w:lineRule="auto"/>
        <w:ind w:firstLine="240" w:firstLineChars="100"/>
        <w:rPr>
          <w:rFonts w:hint="eastAsia"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hint="eastAsia"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hint="eastAsia"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hint="eastAsia"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57B87"/>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E6A18"/>
    <w:rsid w:val="000F3592"/>
    <w:rsid w:val="000F5347"/>
    <w:rsid w:val="001014B4"/>
    <w:rsid w:val="001048F7"/>
    <w:rsid w:val="00107AFB"/>
    <w:rsid w:val="001135E5"/>
    <w:rsid w:val="00117677"/>
    <w:rsid w:val="00133A4D"/>
    <w:rsid w:val="00137ED6"/>
    <w:rsid w:val="001444FE"/>
    <w:rsid w:val="00147D7B"/>
    <w:rsid w:val="00160229"/>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978EC"/>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D55FC"/>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21A6"/>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56E27"/>
    <w:rsid w:val="00766B73"/>
    <w:rsid w:val="00776770"/>
    <w:rsid w:val="00784E0E"/>
    <w:rsid w:val="00786F69"/>
    <w:rsid w:val="0079176F"/>
    <w:rsid w:val="007A0A46"/>
    <w:rsid w:val="007A4516"/>
    <w:rsid w:val="007C0B2D"/>
    <w:rsid w:val="007C5316"/>
    <w:rsid w:val="007C573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06C94"/>
    <w:rsid w:val="00912A90"/>
    <w:rsid w:val="00913A31"/>
    <w:rsid w:val="00921D6F"/>
    <w:rsid w:val="009224B9"/>
    <w:rsid w:val="00925A4E"/>
    <w:rsid w:val="00945509"/>
    <w:rsid w:val="00945F7B"/>
    <w:rsid w:val="00950E14"/>
    <w:rsid w:val="00962F07"/>
    <w:rsid w:val="0097077E"/>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324C"/>
    <w:rsid w:val="009C421D"/>
    <w:rsid w:val="009C5142"/>
    <w:rsid w:val="009C7CA3"/>
    <w:rsid w:val="009D7C8B"/>
    <w:rsid w:val="009E2048"/>
    <w:rsid w:val="009E27BB"/>
    <w:rsid w:val="009F534E"/>
    <w:rsid w:val="009F57DF"/>
    <w:rsid w:val="009F7AC1"/>
    <w:rsid w:val="00A0152C"/>
    <w:rsid w:val="00A016C8"/>
    <w:rsid w:val="00A07EEF"/>
    <w:rsid w:val="00A202BE"/>
    <w:rsid w:val="00A21260"/>
    <w:rsid w:val="00A270CB"/>
    <w:rsid w:val="00A3361A"/>
    <w:rsid w:val="00A435A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3BEC"/>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506F"/>
    <w:rsid w:val="00C71C47"/>
    <w:rsid w:val="00C8075B"/>
    <w:rsid w:val="00C87726"/>
    <w:rsid w:val="00C904A3"/>
    <w:rsid w:val="00C93A67"/>
    <w:rsid w:val="00C95955"/>
    <w:rsid w:val="00CA1489"/>
    <w:rsid w:val="00CA5F94"/>
    <w:rsid w:val="00CB41A1"/>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1393A"/>
    <w:rsid w:val="00E226F3"/>
    <w:rsid w:val="00E239AC"/>
    <w:rsid w:val="00E24FB2"/>
    <w:rsid w:val="00E45EBF"/>
    <w:rsid w:val="00E47A7A"/>
    <w:rsid w:val="00E519EC"/>
    <w:rsid w:val="00E70662"/>
    <w:rsid w:val="00E7548B"/>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83F39ED"/>
    <w:rsid w:val="0EFC079A"/>
    <w:rsid w:val="15EE2487"/>
    <w:rsid w:val="33C024F3"/>
    <w:rsid w:val="38573674"/>
    <w:rsid w:val="45E14D15"/>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9218</Words>
  <Characters>9578</Characters>
  <Lines>82</Lines>
  <Paragraphs>23</Paragraphs>
  <TotalTime>79</TotalTime>
  <ScaleCrop>false</ScaleCrop>
  <LinksUpToDate>false</LinksUpToDate>
  <CharactersWithSpaces>9809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2025-07-21T02:54:00Z</dcterms:created>
  <dc:creator>wzg</dc:creator>
  <cp:lastModifiedBy>yoyo</cp:lastModifiedBy>
  <cp:lastPrinted>2025-07-22T07:56:00Z</cp:lastPrinted>
  <dcterms:modified xsi:type="dcterms:W3CDTF">2025-07-22T08:32:45Z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