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C32A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湖北省博物馆大巴车</w:t>
      </w:r>
      <w:bookmarkStart w:id="2" w:name="_GoBack"/>
      <w:bookmarkEnd w:id="2"/>
      <w:r>
        <w:rPr>
          <w:rFonts w:hint="eastAsia"/>
          <w:color w:val="auto"/>
          <w:sz w:val="36"/>
          <w:szCs w:val="36"/>
        </w:rPr>
        <w:t>位检测显示及周界电子围栏维修升级改造谈判公告</w:t>
      </w:r>
    </w:p>
    <w:p w14:paraId="795F11ED">
      <w:pPr>
        <w:spacing w:line="36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大巴车位检测显示及周界电子围栏维修升级改造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 xml:space="preserve">大巴车位检测显示及周界电子围栏维修升级改造项目，预算金额 </w:t>
      </w:r>
      <w:r>
        <w:rPr>
          <w:color w:val="auto"/>
          <w:sz w:val="24"/>
          <w:szCs w:val="24"/>
        </w:rPr>
        <w:t>66600</w:t>
      </w:r>
      <w:r>
        <w:rPr>
          <w:rFonts w:hint="eastAsia"/>
          <w:color w:val="auto"/>
          <w:sz w:val="24"/>
          <w:szCs w:val="24"/>
        </w:rPr>
        <w:t>元。</w:t>
      </w:r>
    </w:p>
    <w:p w14:paraId="27D85BEE">
      <w:pPr>
        <w:numPr>
          <w:ilvl w:val="0"/>
          <w:numId w:val="1"/>
        </w:num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采购内容及要求：</w:t>
      </w:r>
      <w:r>
        <w:rPr>
          <w:rFonts w:hint="eastAsia"/>
          <w:color w:val="auto"/>
          <w:sz w:val="24"/>
          <w:szCs w:val="24"/>
        </w:rPr>
        <w:t>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16663833">
      <w:pPr>
        <w:numPr>
          <w:ilvl w:val="0"/>
          <w:numId w:val="2"/>
        </w:num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02BCDB02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6F016539">
      <w:pPr>
        <w:spacing w:line="36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76DC4DD8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参与大巴车位检测显示及周界电子围栏维修升级改造项目报名登记。</w:t>
      </w:r>
    </w:p>
    <w:p w14:paraId="07F40B7A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0ACC9F9">
      <w:pPr>
        <w:numPr>
          <w:ilvl w:val="0"/>
          <w:numId w:val="3"/>
        </w:num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6B4AEE0D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6E87AA4C">
      <w:pPr>
        <w:spacing w:line="36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8E265C0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60A41404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 w:cs="宋体"/>
          <w:color w:val="auto"/>
          <w:kern w:val="0"/>
          <w:sz w:val="24"/>
        </w:rPr>
        <w:t>张玉婷</w:t>
      </w:r>
    </w:p>
    <w:p w14:paraId="1CD2D091">
      <w:pPr>
        <w:spacing w:line="360" w:lineRule="atLeast"/>
        <w:rPr>
          <w:rFonts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color w:val="auto"/>
          <w:sz w:val="24"/>
          <w:szCs w:val="24"/>
        </w:rPr>
        <w:t>88992501</w:t>
      </w:r>
    </w:p>
    <w:p w14:paraId="7D76C338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6E829554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9222391">
      <w:pPr>
        <w:spacing w:line="360" w:lineRule="atLeast"/>
        <w:rPr>
          <w:color w:val="auto"/>
          <w:sz w:val="24"/>
          <w:szCs w:val="24"/>
        </w:rPr>
      </w:pPr>
    </w:p>
    <w:p w14:paraId="3A5D5F3A">
      <w:pPr>
        <w:spacing w:line="360" w:lineRule="atLeast"/>
        <w:rPr>
          <w:color w:val="auto"/>
          <w:sz w:val="24"/>
          <w:szCs w:val="24"/>
        </w:rPr>
      </w:pPr>
    </w:p>
    <w:p w14:paraId="6FA172BA">
      <w:pPr>
        <w:spacing w:line="360" w:lineRule="atLeast"/>
        <w:ind w:firstLine="6000" w:firstLineChars="25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5371DE2"/>
    <w:multiLevelType w:val="singleLevel"/>
    <w:tmpl w:val="65371DE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5371E9F"/>
    <w:multiLevelType w:val="singleLevel"/>
    <w:tmpl w:val="65371E9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9B"/>
    <w:rsid w:val="0004025B"/>
    <w:rsid w:val="00071F48"/>
    <w:rsid w:val="000B2F0C"/>
    <w:rsid w:val="000B3C8C"/>
    <w:rsid w:val="000E65F3"/>
    <w:rsid w:val="00145448"/>
    <w:rsid w:val="001533AC"/>
    <w:rsid w:val="0019131A"/>
    <w:rsid w:val="001956AD"/>
    <w:rsid w:val="001B5DE5"/>
    <w:rsid w:val="001E5853"/>
    <w:rsid w:val="00242CE2"/>
    <w:rsid w:val="00256D61"/>
    <w:rsid w:val="00265D71"/>
    <w:rsid w:val="00266016"/>
    <w:rsid w:val="00287BA2"/>
    <w:rsid w:val="002C1431"/>
    <w:rsid w:val="002C22C9"/>
    <w:rsid w:val="002C35C9"/>
    <w:rsid w:val="002C46B4"/>
    <w:rsid w:val="002D1D5C"/>
    <w:rsid w:val="002E01DA"/>
    <w:rsid w:val="002E1790"/>
    <w:rsid w:val="003025BC"/>
    <w:rsid w:val="003134E0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D7624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77BDE"/>
    <w:rsid w:val="006E09B2"/>
    <w:rsid w:val="006F4F29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A6188"/>
    <w:rsid w:val="008C1D1C"/>
    <w:rsid w:val="008E7071"/>
    <w:rsid w:val="009425C0"/>
    <w:rsid w:val="009511A8"/>
    <w:rsid w:val="009A7814"/>
    <w:rsid w:val="009B2C4D"/>
    <w:rsid w:val="009C02A9"/>
    <w:rsid w:val="00A20ECD"/>
    <w:rsid w:val="00A26196"/>
    <w:rsid w:val="00A26E7F"/>
    <w:rsid w:val="00A55EF9"/>
    <w:rsid w:val="00A70995"/>
    <w:rsid w:val="00A842F3"/>
    <w:rsid w:val="00AB0670"/>
    <w:rsid w:val="00AB48BA"/>
    <w:rsid w:val="00AC3EE0"/>
    <w:rsid w:val="00AC6036"/>
    <w:rsid w:val="00AE206A"/>
    <w:rsid w:val="00AE4029"/>
    <w:rsid w:val="00AF00EB"/>
    <w:rsid w:val="00AF1EEC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D6392"/>
    <w:rsid w:val="00BE1450"/>
    <w:rsid w:val="00C610C3"/>
    <w:rsid w:val="00C6265F"/>
    <w:rsid w:val="00C804E0"/>
    <w:rsid w:val="00C93B2B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C17D5"/>
    <w:rsid w:val="00FC2AFD"/>
    <w:rsid w:val="00FD5C02"/>
    <w:rsid w:val="069C16B8"/>
    <w:rsid w:val="09DF6D3E"/>
    <w:rsid w:val="0FB95727"/>
    <w:rsid w:val="1170576A"/>
    <w:rsid w:val="18D67D52"/>
    <w:rsid w:val="18DE5F8C"/>
    <w:rsid w:val="1BDB3CAB"/>
    <w:rsid w:val="2245026F"/>
    <w:rsid w:val="26613029"/>
    <w:rsid w:val="29FB372C"/>
    <w:rsid w:val="2B587EA2"/>
    <w:rsid w:val="2C380F7F"/>
    <w:rsid w:val="2EBA3CFB"/>
    <w:rsid w:val="30E9709E"/>
    <w:rsid w:val="350836FD"/>
    <w:rsid w:val="3624163E"/>
    <w:rsid w:val="394F65C0"/>
    <w:rsid w:val="3F7367C3"/>
    <w:rsid w:val="42255A37"/>
    <w:rsid w:val="56290D2D"/>
    <w:rsid w:val="58344261"/>
    <w:rsid w:val="5E9716B3"/>
    <w:rsid w:val="63321358"/>
    <w:rsid w:val="690F4E10"/>
    <w:rsid w:val="6A9F7D19"/>
    <w:rsid w:val="6E961F7F"/>
    <w:rsid w:val="771A375E"/>
    <w:rsid w:val="7C9D7651"/>
    <w:rsid w:val="7FDD0F12"/>
    <w:rsid w:val="EF7ED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689</Characters>
  <Lines>5</Lines>
  <Paragraphs>1</Paragraphs>
  <TotalTime>0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2024-12-26T05:26:00Z</dcterms:created>
  <dc:creator>Administrator</dc:creator>
  <cp:lastModifiedBy>yoyo</cp:lastModifiedBy>
  <dcterms:modified xsi:type="dcterms:W3CDTF">2025-05-13T07:10:52Z</dcterms:modified>
  <dc:title>湖北省文物考古研究所2017年购买图书资料项目政府采购询价公告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8599F9836A004BED92B4921D68E88949_12</vt:lpwstr>
  </property>
</Properties>
</file>