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2024年湖北省博物馆展柜气密性检测项目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2024年湖北省博物馆展柜气密性检测</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rPr>
        <w:t>7</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2024年湖北省博物馆展柜气密性检测项目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2024年湖北省博物馆展柜气密性检测项目</w:t>
      </w:r>
    </w:p>
    <w:p>
      <w:pPr>
        <w:spacing w:line="440" w:lineRule="exact"/>
        <w:ind w:firstLine="480" w:firstLineChars="200"/>
        <w:rPr>
          <w:bCs/>
          <w:color w:val="auto"/>
          <w:sz w:val="24"/>
        </w:rPr>
      </w:pPr>
      <w:r>
        <w:rPr>
          <w:bCs/>
          <w:color w:val="auto"/>
          <w:sz w:val="24"/>
        </w:rPr>
        <w:t>三、谈判内容：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876"/>
        <w:gridCol w:w="1802"/>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4" w:type="dxa"/>
            <w:shd w:val="clear" w:color="auto" w:fill="auto"/>
            <w:vAlign w:val="center"/>
          </w:tcPr>
          <w:p>
            <w:pPr>
              <w:jc w:val="center"/>
              <w:rPr>
                <w:rFonts w:ascii="宋体" w:hAnsi="宋体"/>
                <w:color w:val="auto"/>
                <w:sz w:val="24"/>
                <w:lang w:val="zh-CN"/>
              </w:rPr>
            </w:pPr>
            <w:r>
              <w:rPr>
                <w:rFonts w:hint="eastAsia" w:ascii="宋体" w:hAnsi="宋体"/>
                <w:color w:val="auto"/>
                <w:sz w:val="24"/>
                <w:lang w:val="zh-CN"/>
              </w:rPr>
              <w:t>序号</w:t>
            </w:r>
          </w:p>
        </w:tc>
        <w:tc>
          <w:tcPr>
            <w:tcW w:w="2876" w:type="dxa"/>
            <w:shd w:val="clear" w:color="auto" w:fill="auto"/>
            <w:vAlign w:val="center"/>
          </w:tcPr>
          <w:p>
            <w:pPr>
              <w:jc w:val="center"/>
              <w:rPr>
                <w:rFonts w:ascii="宋体" w:hAnsi="宋体"/>
                <w:color w:val="auto"/>
                <w:sz w:val="24"/>
                <w:lang w:val="zh-CN"/>
              </w:rPr>
            </w:pPr>
            <w:r>
              <w:rPr>
                <w:rFonts w:hint="eastAsia" w:ascii="宋体" w:hAnsi="宋体"/>
                <w:color w:val="auto"/>
                <w:sz w:val="24"/>
                <w:lang w:val="zh-CN"/>
              </w:rPr>
              <w:t>名称</w:t>
            </w:r>
          </w:p>
        </w:tc>
        <w:tc>
          <w:tcPr>
            <w:tcW w:w="1802" w:type="dxa"/>
            <w:shd w:val="clear" w:color="auto" w:fill="auto"/>
            <w:vAlign w:val="center"/>
          </w:tcPr>
          <w:p>
            <w:pPr>
              <w:jc w:val="center"/>
              <w:rPr>
                <w:rFonts w:ascii="宋体" w:hAnsi="宋体"/>
                <w:color w:val="auto"/>
                <w:sz w:val="24"/>
                <w:lang w:val="zh-CN"/>
              </w:rPr>
            </w:pPr>
            <w:r>
              <w:rPr>
                <w:rFonts w:hint="eastAsia" w:ascii="宋体" w:hAnsi="宋体"/>
                <w:color w:val="auto"/>
                <w:sz w:val="24"/>
                <w:lang w:val="zh-CN"/>
              </w:rPr>
              <w:t>数量</w:t>
            </w:r>
          </w:p>
        </w:tc>
        <w:tc>
          <w:tcPr>
            <w:tcW w:w="2349" w:type="dxa"/>
            <w:shd w:val="clear" w:color="auto" w:fill="auto"/>
            <w:vAlign w:val="center"/>
          </w:tcPr>
          <w:p>
            <w:pPr>
              <w:jc w:val="center"/>
              <w:rPr>
                <w:rFonts w:ascii="宋体" w:hAnsi="宋体"/>
                <w:color w:val="auto"/>
                <w:sz w:val="24"/>
                <w:lang w:val="zh-CN"/>
              </w:rPr>
            </w:pPr>
            <w:r>
              <w:rPr>
                <w:rFonts w:hint="eastAsia" w:ascii="宋体" w:hAnsi="宋体"/>
                <w:color w:val="auto"/>
                <w:sz w:val="24"/>
                <w:lang w:val="zh-CN"/>
              </w:rPr>
              <w:t>最高限价(元</w:t>
            </w:r>
            <w:r>
              <w:rPr>
                <w:rFonts w:ascii="宋体" w:hAnsi="宋体"/>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74" w:type="dxa"/>
            <w:shd w:val="clear" w:color="auto" w:fill="auto"/>
            <w:vAlign w:val="center"/>
          </w:tcPr>
          <w:p>
            <w:pPr>
              <w:jc w:val="center"/>
              <w:rPr>
                <w:rFonts w:ascii="宋体" w:hAnsi="宋体"/>
                <w:color w:val="auto"/>
                <w:sz w:val="24"/>
                <w:lang w:val="zh-CN"/>
              </w:rPr>
            </w:pPr>
            <w:r>
              <w:rPr>
                <w:rFonts w:ascii="宋体" w:hAnsi="宋体"/>
                <w:color w:val="auto"/>
                <w:sz w:val="24"/>
                <w:lang w:val="zh-CN"/>
              </w:rPr>
              <w:t>1</w:t>
            </w:r>
          </w:p>
        </w:tc>
        <w:tc>
          <w:tcPr>
            <w:tcW w:w="2876" w:type="dxa"/>
            <w:shd w:val="clear" w:color="auto" w:fill="auto"/>
            <w:vAlign w:val="center"/>
          </w:tcPr>
          <w:p>
            <w:pPr>
              <w:jc w:val="center"/>
              <w:rPr>
                <w:rFonts w:ascii="宋体" w:hAnsi="宋体"/>
                <w:color w:val="auto"/>
                <w:sz w:val="24"/>
              </w:rPr>
            </w:pPr>
            <w:r>
              <w:rPr>
                <w:rFonts w:hint="eastAsia" w:ascii="宋体" w:hAnsi="宋体"/>
                <w:color w:val="auto"/>
                <w:sz w:val="24"/>
                <w:lang w:val="zh-CN"/>
              </w:rPr>
              <w:t>湖北省博物馆展柜密封性测试项目</w:t>
            </w:r>
          </w:p>
        </w:tc>
        <w:tc>
          <w:tcPr>
            <w:tcW w:w="1802" w:type="dxa"/>
            <w:shd w:val="clear" w:color="auto" w:fill="auto"/>
            <w:vAlign w:val="center"/>
          </w:tcPr>
          <w:p>
            <w:pPr>
              <w:jc w:val="center"/>
              <w:rPr>
                <w:rFonts w:ascii="宋体" w:hAnsi="宋体"/>
                <w:color w:val="auto"/>
                <w:sz w:val="24"/>
                <w:lang w:val="zh-CN"/>
              </w:rPr>
            </w:pPr>
            <w:r>
              <w:rPr>
                <w:rFonts w:hint="eastAsia" w:ascii="宋体" w:hAnsi="宋体"/>
                <w:color w:val="auto"/>
                <w:sz w:val="24"/>
                <w:lang w:val="zh-CN"/>
              </w:rPr>
              <w:t>1项</w:t>
            </w:r>
          </w:p>
        </w:tc>
        <w:tc>
          <w:tcPr>
            <w:tcW w:w="2349" w:type="dxa"/>
            <w:shd w:val="clear" w:color="auto" w:fill="auto"/>
            <w:vAlign w:val="center"/>
          </w:tcPr>
          <w:p>
            <w:pPr>
              <w:jc w:val="center"/>
              <w:rPr>
                <w:rFonts w:ascii="宋体" w:hAnsi="宋体"/>
                <w:color w:val="auto"/>
                <w:sz w:val="24"/>
                <w:lang w:val="zh-CN"/>
              </w:rPr>
            </w:pPr>
            <w:r>
              <w:rPr>
                <w:rFonts w:hint="eastAsia" w:ascii="宋体" w:hAnsi="宋体"/>
                <w:color w:val="auto"/>
                <w:sz w:val="24"/>
                <w:lang w:val="zh-CN"/>
              </w:rPr>
              <w:t>50000.00</w:t>
            </w:r>
          </w:p>
        </w:tc>
      </w:tr>
    </w:tbl>
    <w:p>
      <w:pPr>
        <w:spacing w:line="440" w:lineRule="exact"/>
        <w:rPr>
          <w:bCs/>
          <w:color w:val="auto"/>
          <w:sz w:val="24"/>
        </w:rPr>
      </w:pPr>
    </w:p>
    <w:p>
      <w:pPr>
        <w:spacing w:line="440" w:lineRule="exact"/>
        <w:ind w:firstLine="480" w:firstLineChars="200"/>
        <w:rPr>
          <w:bCs/>
          <w:color w:val="auto"/>
          <w:sz w:val="24"/>
        </w:rPr>
      </w:pPr>
      <w:r>
        <w:rPr>
          <w:rFonts w:hint="eastAsia"/>
          <w:bCs/>
          <w:color w:val="auto"/>
          <w:sz w:val="24"/>
        </w:rPr>
        <w:t>备注：此项目服务包含人工费、材料费、税费等。</w:t>
      </w: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5    </w:t>
      </w:r>
      <w:r>
        <w:rPr>
          <w:rFonts w:hint="eastAsia"/>
          <w:bCs/>
          <w:color w:val="auto"/>
          <w:sz w:val="24"/>
        </w:rPr>
        <w:t xml:space="preserve"> 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17</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16</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2024年湖北省博物馆展柜气密性检测项目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2024年湖北省博物馆展柜气密性检测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pPr>
              <w:rPr>
                <w:color w:val="auto"/>
                <w:kern w:val="0"/>
                <w:sz w:val="24"/>
              </w:rPr>
            </w:pPr>
            <w:r>
              <w:rPr>
                <w:rFonts w:hint="eastAsia" w:cs="宋体"/>
                <w:color w:val="auto"/>
                <w:kern w:val="0"/>
                <w:sz w:val="24"/>
              </w:rPr>
              <w:t>联系人：张晓珑</w:t>
            </w:r>
          </w:p>
          <w:p>
            <w:pPr>
              <w:rPr>
                <w:color w:val="auto"/>
                <w:kern w:val="0"/>
                <w:sz w:val="24"/>
              </w:rPr>
            </w:pPr>
            <w:r>
              <w:rPr>
                <w:rFonts w:hint="eastAsia" w:cs="宋体"/>
                <w:color w:val="auto"/>
                <w:kern w:val="0"/>
                <w:sz w:val="24"/>
              </w:rPr>
              <w:t>联系方式：15926256123</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pStyle w:val="15"/>
              <w:spacing w:line="240" w:lineRule="auto"/>
              <w:rPr>
                <w:rFonts w:ascii="宋体" w:hAnsi="宋体" w:cs="宋体"/>
                <w:color w:val="auto"/>
              </w:rPr>
            </w:pPr>
            <w:r>
              <w:rPr>
                <w:rFonts w:hint="eastAsia" w:ascii="宋体" w:hAnsi="宋体" w:cs="宋体"/>
                <w:color w:val="auto"/>
              </w:rPr>
              <w:t>营业执照、组织机构代码证、税务登记证（或三证合一版营业执照）副本原件及复印件（加盖公章）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27"/>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0"/>
        <w:gridCol w:w="997"/>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6" w:type="dxa"/>
            <w:vAlign w:val="center"/>
          </w:tcPr>
          <w:p>
            <w:pPr>
              <w:rPr>
                <w:color w:val="auto"/>
                <w:sz w:val="24"/>
              </w:rPr>
            </w:pPr>
            <w:r>
              <w:rPr>
                <w:rFonts w:hint="eastAsia" w:ascii="宋体" w:hAnsi="宋体"/>
                <w:b/>
                <w:color w:val="auto"/>
                <w:sz w:val="24"/>
              </w:rPr>
              <w:t xml:space="preserve">  </w:t>
            </w:r>
            <w:r>
              <w:rPr>
                <w:rFonts w:hint="eastAsia"/>
                <w:color w:val="auto"/>
                <w:sz w:val="24"/>
              </w:rPr>
              <w:t>序号</w:t>
            </w:r>
          </w:p>
        </w:tc>
        <w:tc>
          <w:tcPr>
            <w:tcW w:w="1430" w:type="dxa"/>
            <w:vAlign w:val="center"/>
          </w:tcPr>
          <w:p>
            <w:pPr>
              <w:jc w:val="center"/>
              <w:rPr>
                <w:color w:val="auto"/>
                <w:sz w:val="24"/>
              </w:rPr>
            </w:pPr>
            <w:r>
              <w:rPr>
                <w:rFonts w:hint="eastAsia"/>
                <w:color w:val="auto"/>
                <w:sz w:val="24"/>
              </w:rPr>
              <w:t>设备名称</w:t>
            </w:r>
          </w:p>
        </w:tc>
        <w:tc>
          <w:tcPr>
            <w:tcW w:w="997" w:type="dxa"/>
            <w:vAlign w:val="center"/>
          </w:tcPr>
          <w:p>
            <w:pPr>
              <w:jc w:val="center"/>
              <w:rPr>
                <w:color w:val="auto"/>
                <w:sz w:val="24"/>
              </w:rPr>
            </w:pPr>
            <w:r>
              <w:rPr>
                <w:rFonts w:hint="eastAsia"/>
                <w:color w:val="auto"/>
                <w:sz w:val="24"/>
              </w:rPr>
              <w:t>数量</w:t>
            </w:r>
          </w:p>
        </w:tc>
        <w:tc>
          <w:tcPr>
            <w:tcW w:w="6208" w:type="dxa"/>
            <w:vAlign w:val="center"/>
          </w:tcPr>
          <w:p>
            <w:pPr>
              <w:jc w:val="center"/>
              <w:rPr>
                <w:color w:val="auto"/>
                <w:sz w:val="24"/>
              </w:rPr>
            </w:pPr>
            <w:r>
              <w:rPr>
                <w:rFonts w:hint="eastAsia"/>
                <w:color w:val="auto"/>
                <w:sz w:val="24"/>
              </w:rPr>
              <w:t>服务技术参数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56" w:type="dxa"/>
            <w:vAlign w:val="center"/>
          </w:tcPr>
          <w:p>
            <w:pPr>
              <w:jc w:val="center"/>
              <w:rPr>
                <w:color w:val="auto"/>
                <w:sz w:val="24"/>
              </w:rPr>
            </w:pPr>
            <w:r>
              <w:rPr>
                <w:rFonts w:hint="eastAsia" w:ascii="宋体" w:hAnsi="宋体"/>
                <w:color w:val="auto"/>
                <w:sz w:val="24"/>
              </w:rPr>
              <w:t>1</w:t>
            </w:r>
          </w:p>
        </w:tc>
        <w:tc>
          <w:tcPr>
            <w:tcW w:w="1430" w:type="dxa"/>
            <w:vAlign w:val="center"/>
          </w:tcPr>
          <w:p>
            <w:pPr>
              <w:widowControl/>
              <w:jc w:val="center"/>
              <w:rPr>
                <w:rFonts w:cs="宋体"/>
                <w:color w:val="auto"/>
                <w:kern w:val="0"/>
                <w:sz w:val="24"/>
              </w:rPr>
            </w:pPr>
            <w:r>
              <w:rPr>
                <w:rFonts w:hint="eastAsia" w:ascii="宋体" w:hAnsi="宋体" w:cs="宋体"/>
                <w:color w:val="auto"/>
                <w:kern w:val="0"/>
                <w:sz w:val="24"/>
              </w:rPr>
              <w:t>展柜密封性检测服务</w:t>
            </w:r>
          </w:p>
        </w:tc>
        <w:tc>
          <w:tcPr>
            <w:tcW w:w="997" w:type="dxa"/>
            <w:vAlign w:val="center"/>
          </w:tcPr>
          <w:p>
            <w:pPr>
              <w:jc w:val="left"/>
              <w:rPr>
                <w:rFonts w:ascii="宋体" w:hAnsi="宋体" w:cs="宋体"/>
                <w:color w:val="auto"/>
                <w:sz w:val="24"/>
              </w:rPr>
            </w:pPr>
            <w:r>
              <w:rPr>
                <w:rFonts w:hint="eastAsia" w:ascii="宋体" w:hAnsi="宋体" w:cs="宋体"/>
                <w:color w:val="auto"/>
                <w:sz w:val="24"/>
              </w:rPr>
              <w:t>25立方米</w:t>
            </w:r>
          </w:p>
        </w:tc>
        <w:tc>
          <w:tcPr>
            <w:tcW w:w="6208" w:type="dxa"/>
            <w:vAlign w:val="center"/>
          </w:tcPr>
          <w:p>
            <w:pPr>
              <w:spacing w:line="300" w:lineRule="exact"/>
              <w:jc w:val="left"/>
              <w:rPr>
                <w:rFonts w:ascii="宋体" w:hAnsi="宋体" w:cs="宋体"/>
                <w:color w:val="auto"/>
                <w:sz w:val="24"/>
              </w:rPr>
            </w:pPr>
            <w:r>
              <w:rPr>
                <w:rFonts w:hint="eastAsia" w:ascii="宋体" w:hAnsi="宋体" w:cs="宋体"/>
                <w:color w:val="auto"/>
                <w:sz w:val="24"/>
              </w:rPr>
              <w:t>展柜密封性检测方法需依据国标(</w:t>
            </w:r>
            <w:r>
              <w:rPr>
                <w:rFonts w:ascii="宋体" w:hAnsi="宋体" w:cs="宋体"/>
                <w:color w:val="auto"/>
                <w:sz w:val="24"/>
              </w:rPr>
              <w:t>GB/T 36110-2018)文物展柜密封性能及检测标准进行检测；</w:t>
            </w:r>
          </w:p>
        </w:tc>
      </w:tr>
    </w:tbl>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总体要求：</w:t>
      </w:r>
      <w:r>
        <w:rPr>
          <w:rFonts w:ascii="宋体" w:hAnsi="宋体"/>
          <w:color w:val="auto"/>
          <w:sz w:val="24"/>
          <w:szCs w:val="22"/>
        </w:rPr>
        <w:t xml:space="preserve"> </w:t>
      </w:r>
    </w:p>
    <w:p>
      <w:pPr>
        <w:spacing w:line="360" w:lineRule="auto"/>
        <w:ind w:firstLine="480" w:firstLineChars="200"/>
        <w:rPr>
          <w:rFonts w:ascii="宋体" w:hAnsi="宋体"/>
          <w:color w:val="auto"/>
          <w:sz w:val="24"/>
        </w:rPr>
      </w:pPr>
      <w:r>
        <w:rPr>
          <w:rFonts w:hint="eastAsia" w:ascii="宋体" w:hAnsi="宋体"/>
          <w:color w:val="auto"/>
          <w:sz w:val="24"/>
        </w:rPr>
        <w:t>（1）采用气体示踪法对25立方米的展柜进行密封性测试；</w:t>
      </w:r>
    </w:p>
    <w:p>
      <w:pPr>
        <w:spacing w:line="360" w:lineRule="auto"/>
        <w:ind w:firstLine="480" w:firstLineChars="200"/>
        <w:rPr>
          <w:rFonts w:ascii="宋体" w:hAnsi="宋体"/>
          <w:color w:val="auto"/>
          <w:sz w:val="24"/>
        </w:rPr>
      </w:pPr>
      <w:r>
        <w:rPr>
          <w:rFonts w:hint="eastAsia" w:ascii="宋体" w:hAnsi="宋体"/>
          <w:color w:val="auto"/>
          <w:sz w:val="24"/>
        </w:rPr>
        <w:t>（2）出具连续的测试数据及测试结论；</w:t>
      </w:r>
    </w:p>
    <w:p>
      <w:pPr>
        <w:spacing w:line="360" w:lineRule="auto"/>
        <w:ind w:firstLine="480" w:firstLineChars="200"/>
        <w:rPr>
          <w:rFonts w:hint="eastAsia" w:ascii="宋体" w:hAnsi="宋体"/>
          <w:color w:val="auto"/>
          <w:sz w:val="24"/>
        </w:rPr>
      </w:pPr>
      <w:r>
        <w:rPr>
          <w:rFonts w:hint="eastAsia" w:ascii="宋体" w:hAnsi="宋体"/>
          <w:color w:val="auto"/>
          <w:sz w:val="24"/>
        </w:rPr>
        <w:t>（3）对测试结果进行分析，并对其中密封性能不达标的展柜，提出改善展柜气密性相关措施的建议与办法。</w:t>
      </w: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2.1.1交货时间：合同签订之日起4个月内实施完毕。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2.1.4验收要求：所处理之服务，交付甲方后，经采购人验收签字认可。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2.2.1质保服务要求：成交供应商提供所投本单位生产产品2年的免费上门保修，终身维修。保修期自验收合格之日起计算。供应商在此项目后期的维护中，若出现系统故障，服务商应2小时内响应，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widowControl/>
        <w:jc w:val="left"/>
        <w:rPr>
          <w:rFonts w:ascii="宋体" w:hAnsi="宋体" w:cs="宋体"/>
          <w:caps/>
          <w:color w:val="auto"/>
          <w:sz w:val="24"/>
        </w:rPr>
      </w:pPr>
      <w:r>
        <w:rPr>
          <w:rFonts w:ascii="宋体" w:hAnsi="宋体" w:cs="宋体"/>
          <w:caps/>
          <w:color w:val="auto"/>
          <w:sz w:val="24"/>
        </w:rPr>
        <w:br w:type="page"/>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8"/>
        <w:tabs>
          <w:tab w:val="left" w:pos="1260"/>
        </w:tabs>
        <w:jc w:val="center"/>
        <w:rPr>
          <w:rFonts w:ascii="Times New Roman" w:hAnsi="Times New Roman" w:cs="Times New Roman"/>
          <w:bCs/>
          <w:color w:val="auto"/>
          <w:spacing w:val="100"/>
          <w:w w:val="110"/>
          <w:kern w:val="0"/>
          <w:sz w:val="52"/>
          <w:szCs w:val="52"/>
        </w:rPr>
      </w:pPr>
    </w:p>
    <w:p>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pPr>
        <w:pStyle w:val="18"/>
        <w:jc w:val="center"/>
        <w:rPr>
          <w:rFonts w:ascii="Times New Roman" w:hAnsi="Times New Roman" w:cs="Times New Roman"/>
          <w:color w:val="auto"/>
          <w:sz w:val="44"/>
        </w:rPr>
      </w:pPr>
    </w:p>
    <w:p>
      <w:pPr>
        <w:pStyle w:val="18"/>
        <w:jc w:val="center"/>
        <w:rPr>
          <w:rFonts w:ascii="Times New Roman" w:hAnsi="Times New Roman" w:cs="Times New Roman"/>
          <w:color w:val="auto"/>
          <w:sz w:val="44"/>
        </w:rPr>
      </w:pP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6"/>
        <w:spacing w:line="360" w:lineRule="auto"/>
        <w:ind w:firstLine="1280" w:firstLineChars="400"/>
        <w:rPr>
          <w:color w:val="auto"/>
          <w:szCs w:val="32"/>
          <w:u w:val="single"/>
        </w:rPr>
      </w:pPr>
      <w:r>
        <w:rPr>
          <w:color w:val="auto"/>
          <w:szCs w:val="32"/>
        </w:rPr>
        <w:t>项目名称：</w:t>
      </w: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8"/>
        <w:spacing w:line="500" w:lineRule="exact"/>
        <w:rPr>
          <w:rFonts w:ascii="Times New Roman" w:hAnsi="Times New Roman" w:cs="Times New Roman"/>
          <w:color w:val="auto"/>
          <w:sz w:val="24"/>
          <w:szCs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8"/>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8"/>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pPr>
              <w:rPr>
                <w:rFonts w:ascii="Calibri" w:hAnsi="Calibri"/>
                <w:color w:val="auto"/>
                <w:kern w:val="0"/>
                <w:sz w:val="24"/>
                <w:szCs w:val="20"/>
              </w:rPr>
            </w:pPr>
          </w:p>
        </w:tc>
        <w:tc>
          <w:tcPr>
            <w:tcW w:w="1265" w:type="dxa"/>
          </w:tcPr>
          <w:p>
            <w:pPr>
              <w:jc w:val="left"/>
              <w:rPr>
                <w:rFonts w:ascii="Calibri" w:hAnsi="Calibri"/>
                <w:color w:val="auto"/>
                <w:kern w:val="0"/>
                <w:sz w:val="24"/>
                <w:szCs w:val="20"/>
              </w:rPr>
            </w:pPr>
          </w:p>
        </w:tc>
        <w:tc>
          <w:tcPr>
            <w:tcW w:w="1096" w:type="dxa"/>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pPr>
              <w:rPr>
                <w:rFonts w:ascii="Calibri" w:hAnsi="Calibri"/>
                <w:color w:val="auto"/>
                <w:kern w:val="0"/>
                <w:sz w:val="24"/>
                <w:szCs w:val="20"/>
              </w:rPr>
            </w:pPr>
          </w:p>
        </w:tc>
        <w:tc>
          <w:tcPr>
            <w:tcW w:w="1265" w:type="dxa"/>
          </w:tcPr>
          <w:p>
            <w:pPr>
              <w:jc w:val="left"/>
              <w:rPr>
                <w:rFonts w:ascii="Calibri" w:hAnsi="Calibri"/>
                <w:color w:val="auto"/>
                <w:kern w:val="0"/>
                <w:sz w:val="24"/>
                <w:szCs w:val="20"/>
              </w:rPr>
            </w:pPr>
          </w:p>
        </w:tc>
        <w:tc>
          <w:tcPr>
            <w:tcW w:w="1096" w:type="dxa"/>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6"/>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8"/>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bookmarkStart w:id="0" w:name="_GoBack"/>
      <w:bookmarkEnd w:id="0"/>
      <w:r>
        <w:rPr>
          <w:rFonts w:hint="eastAsia"/>
          <w:bCs/>
          <w:color w:val="auto"/>
          <w:sz w:val="24"/>
        </w:rPr>
        <w:t>）</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521F"/>
    <w:rsid w:val="0018673E"/>
    <w:rsid w:val="00187A58"/>
    <w:rsid w:val="0019018A"/>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1923"/>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1A70"/>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08ED"/>
    <w:rsid w:val="00625ADB"/>
    <w:rsid w:val="00631884"/>
    <w:rsid w:val="00635655"/>
    <w:rsid w:val="00636196"/>
    <w:rsid w:val="00636576"/>
    <w:rsid w:val="00641CF1"/>
    <w:rsid w:val="00646836"/>
    <w:rsid w:val="00647BAC"/>
    <w:rsid w:val="00661A3B"/>
    <w:rsid w:val="006644FA"/>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F19"/>
    <w:rsid w:val="008338A4"/>
    <w:rsid w:val="00837418"/>
    <w:rsid w:val="00837E74"/>
    <w:rsid w:val="008433C2"/>
    <w:rsid w:val="00847324"/>
    <w:rsid w:val="00855EE4"/>
    <w:rsid w:val="0086300C"/>
    <w:rsid w:val="00872177"/>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1044"/>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1223"/>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3CDC"/>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33C024F3"/>
    <w:rsid w:val="38573674"/>
    <w:rsid w:val="41A23803"/>
    <w:rsid w:val="45622F74"/>
    <w:rsid w:val="60594642"/>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uiPriority w:val="0"/>
  </w:style>
  <w:style w:type="character" w:styleId="31">
    <w:name w:val="FollowedHyperlink"/>
    <w:uiPriority w:val="99"/>
    <w:rPr>
      <w:color w:val="800080"/>
      <w:u w:val="single"/>
    </w:rPr>
  </w:style>
  <w:style w:type="character" w:styleId="32">
    <w:name w:val="Hyperlink"/>
    <w:qFormat/>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uiPriority w:val="99"/>
    <w:rPr>
      <w:rFonts w:ascii="Times New Roman" w:hAnsi="Times New Roman" w:eastAsia="宋体" w:cs="Times New Roman"/>
      <w:sz w:val="18"/>
      <w:szCs w:val="18"/>
    </w:rPr>
  </w:style>
  <w:style w:type="character" w:customStyle="1" w:styleId="84">
    <w:name w:val="纯文本 字符"/>
    <w:basedOn w:val="29"/>
    <w:link w:val="18"/>
    <w:uiPriority w:val="0"/>
    <w:rPr>
      <w:rFonts w:ascii="宋体" w:hAnsi="Courier New" w:eastAsia="宋体" w:cs="Courier New"/>
      <w:szCs w:val="21"/>
    </w:rPr>
  </w:style>
  <w:style w:type="character" w:customStyle="1" w:styleId="85">
    <w:name w:val="正文文本缩进 字符"/>
    <w:basedOn w:val="29"/>
    <w:link w:val="16"/>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uiPriority w:val="0"/>
    <w:rPr>
      <w:rFonts w:ascii="Calibri" w:hAnsi="Calibri" w:eastAsia="宋体" w:cs="Times New Roman"/>
      <w:b/>
      <w:bCs/>
      <w:sz w:val="32"/>
      <w:szCs w:val="32"/>
    </w:rPr>
  </w:style>
  <w:style w:type="character" w:customStyle="1" w:styleId="90">
    <w:name w:val="标题 4 字符"/>
    <w:basedOn w:val="29"/>
    <w:link w:val="5"/>
    <w:uiPriority w:val="0"/>
    <w:rPr>
      <w:rFonts w:ascii="Cambria" w:hAnsi="Cambria" w:eastAsia="宋体" w:cs="Times New Roman"/>
      <w:b/>
      <w:bCs/>
      <w:sz w:val="28"/>
      <w:szCs w:val="28"/>
    </w:rPr>
  </w:style>
  <w:style w:type="character" w:customStyle="1" w:styleId="91">
    <w:name w:val="标题 5 字符"/>
    <w:basedOn w:val="29"/>
    <w:link w:val="6"/>
    <w:uiPriority w:val="0"/>
    <w:rPr>
      <w:rFonts w:ascii="Times New Roman" w:hAnsi="Times New Roman" w:eastAsia="宋体" w:cs="Times New Roman"/>
      <w:b/>
      <w:bCs/>
      <w:kern w:val="0"/>
      <w:sz w:val="28"/>
      <w:szCs w:val="28"/>
    </w:rPr>
  </w:style>
  <w:style w:type="character" w:customStyle="1" w:styleId="92">
    <w:name w:val="标题 6 字符"/>
    <w:basedOn w:val="29"/>
    <w:link w:val="7"/>
    <w:uiPriority w:val="0"/>
    <w:rPr>
      <w:rFonts w:ascii="Arial" w:hAnsi="Arial" w:eastAsia="黑体" w:cs="Times New Roman"/>
      <w:b/>
      <w:bCs/>
      <w:kern w:val="0"/>
      <w:sz w:val="24"/>
      <w:szCs w:val="24"/>
    </w:rPr>
  </w:style>
  <w:style w:type="character" w:customStyle="1" w:styleId="93">
    <w:name w:val="标题 7 字符"/>
    <w:basedOn w:val="29"/>
    <w:link w:val="8"/>
    <w:uiPriority w:val="0"/>
    <w:rPr>
      <w:rFonts w:ascii="Times New Roman" w:hAnsi="Times New Roman" w:eastAsia="宋体" w:cs="Times New Roman"/>
      <w:b/>
      <w:bCs/>
      <w:kern w:val="0"/>
      <w:sz w:val="24"/>
      <w:szCs w:val="24"/>
    </w:rPr>
  </w:style>
  <w:style w:type="character" w:customStyle="1" w:styleId="94">
    <w:name w:val="标题 8 字符"/>
    <w:basedOn w:val="29"/>
    <w:link w:val="9"/>
    <w:uiPriority w:val="0"/>
    <w:rPr>
      <w:rFonts w:ascii="Arial" w:hAnsi="Arial" w:eastAsia="黑体" w:cs="Times New Roman"/>
      <w:kern w:val="0"/>
      <w:sz w:val="24"/>
      <w:szCs w:val="24"/>
    </w:rPr>
  </w:style>
  <w:style w:type="character" w:customStyle="1" w:styleId="95">
    <w:name w:val="标题 9 字符"/>
    <w:basedOn w:val="29"/>
    <w:link w:val="10"/>
    <w:uiPriority w:val="0"/>
    <w:rPr>
      <w:rFonts w:ascii="Arial" w:hAnsi="Arial" w:eastAsia="黑体" w:cs="Times New Roman"/>
      <w:kern w:val="0"/>
      <w:szCs w:val="21"/>
    </w:rPr>
  </w:style>
  <w:style w:type="character" w:customStyle="1" w:styleId="96">
    <w:name w:val="文档结构图 字符"/>
    <w:basedOn w:val="29"/>
    <w:link w:val="13"/>
    <w:semiHidden/>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uiPriority w:val="0"/>
    <w:rPr>
      <w:rFonts w:ascii="Times New Roman" w:hAnsi="Times New Roman" w:eastAsia="宋体" w:cs="Times New Roman"/>
      <w:sz w:val="28"/>
      <w:szCs w:val="24"/>
    </w:rPr>
  </w:style>
  <w:style w:type="character" w:customStyle="1" w:styleId="101">
    <w:name w:val="正文文本 字符"/>
    <w:basedOn w:val="29"/>
    <w:link w:val="15"/>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uiPriority w:val="0"/>
    <w:rPr>
      <w:rFonts w:ascii="Times New Roman" w:hAnsi="Times New Roman" w:eastAsia="宋体" w:cs="Times New Roman"/>
      <w:sz w:val="16"/>
      <w:szCs w:val="16"/>
    </w:rPr>
  </w:style>
  <w:style w:type="character" w:customStyle="1" w:styleId="104">
    <w:name w:val="标题 字符"/>
    <w:basedOn w:val="29"/>
    <w:link w:val="25"/>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字符"/>
    <w:basedOn w:val="29"/>
    <w:link w:val="21"/>
    <w:uiPriority w:val="0"/>
    <w:rPr>
      <w:rFonts w:ascii="Times New Roman" w:hAnsi="Times New Roman" w:eastAsia="宋体" w:cs="Times New Roman"/>
      <w:sz w:val="18"/>
      <w:szCs w:val="18"/>
    </w:rPr>
  </w:style>
  <w:style w:type="character" w:customStyle="1" w:styleId="107">
    <w:name w:val="批注主题 字符"/>
    <w:basedOn w:val="97"/>
    <w:link w:val="26"/>
    <w:semiHidden/>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9">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8432</Words>
  <Characters>8811</Characters>
  <Lines>72</Lines>
  <Paragraphs>20</Paragraphs>
  <TotalTime>431</TotalTime>
  <ScaleCrop>false</ScaleCrop>
  <LinksUpToDate>false</LinksUpToDate>
  <CharactersWithSpaces>9075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2024-07-16T06:53:03Z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0ABEC207E2114A34A880CCD31290A154_12</vt:lpwstr>
  </property>
</Properties>
</file>