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eastAsia="宋体"/>
          <w:sz w:val="36"/>
          <w:szCs w:val="36"/>
          <w:lang w:val="en-US" w:eastAsia="zh-CN"/>
        </w:rPr>
        <w:t>湖北省博物馆援疆《百年巨匠》展文物往返运输布撤展项目</w:t>
      </w:r>
      <w:r>
        <w:rPr>
          <w:rFonts w:hint="eastAsia"/>
          <w:sz w:val="36"/>
          <w:szCs w:val="36"/>
        </w:rPr>
        <w:t>采购谈判公告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2021年版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号），</w:t>
      </w:r>
      <w:r>
        <w:rPr>
          <w:rFonts w:hint="eastAsia" w:eastAsia="宋体"/>
          <w:sz w:val="24"/>
          <w:szCs w:val="24"/>
          <w:lang w:val="en-US" w:eastAsia="zh-CN"/>
        </w:rPr>
        <w:t>湖北省博物馆援疆《百年巨匠》展文物往返运输布撤展</w:t>
      </w:r>
      <w:r>
        <w:rPr>
          <w:rFonts w:hint="eastAsia" w:eastAsia="宋体"/>
          <w:sz w:val="24"/>
          <w:szCs w:val="24"/>
        </w:rPr>
        <w:t>项目</w:t>
      </w:r>
      <w:r>
        <w:rPr>
          <w:rFonts w:hint="eastAsia"/>
          <w:sz w:val="24"/>
          <w:szCs w:val="24"/>
        </w:rPr>
        <w:t>所需服务进行竞争性谈判采购。欢迎供应商前来投标。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湖北省博物馆援疆《百年巨匠》展文物往返运输布撤展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二、采购内容及要</w:t>
      </w:r>
      <w:r>
        <w:rPr>
          <w:rFonts w:hint="eastAsia"/>
          <w:color w:val="auto"/>
          <w:sz w:val="24"/>
          <w:szCs w:val="24"/>
        </w:rPr>
        <w:t>求：详见谈判文件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（1）供应商应具备《政府采购法》第二十二条规定的条件；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（2）在中国工商行政管理机关注册登记取得营业执照，具有独立法人资格，具有独立承担民事责任能力。营业执照经营范围内有与展览相关服务内容。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）业绩要求：</w:t>
      </w:r>
      <w:r>
        <w:rPr>
          <w:rFonts w:hint="eastAsia"/>
          <w:sz w:val="24"/>
          <w:szCs w:val="24"/>
          <w:lang w:val="en-US" w:eastAsia="zh-CN"/>
        </w:rPr>
        <w:t>2021年至今独立完成省市级博物馆文物布撤展项目六项，并提供相关合同影印本。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）设备要求：具备专业的文物包装材料、操作人员和工具，以及符合运输要求的减震车辆。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）安全要求：针对展览运输出具有效合理的运输安全方案。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湖北省博物馆援疆《百年巨匠》展文物往返运输布撤展</w:t>
      </w:r>
      <w:r>
        <w:rPr>
          <w:rFonts w:hint="eastAsia"/>
          <w:sz w:val="24"/>
          <w:szCs w:val="24"/>
        </w:rPr>
        <w:t>项目报名登记。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  <w:bookmarkStart w:id="2" w:name="_GoBack"/>
      <w:bookmarkEnd w:id="2"/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程陶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  <w:lang w:val="en-US" w:eastAsia="zh-CN"/>
        </w:rPr>
        <w:t>18086035013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2ED1C6E"/>
    <w:rsid w:val="069C16B8"/>
    <w:rsid w:val="09DF6D3E"/>
    <w:rsid w:val="0FB95727"/>
    <w:rsid w:val="18D67D52"/>
    <w:rsid w:val="18DE5F8C"/>
    <w:rsid w:val="1BDB3CAB"/>
    <w:rsid w:val="2099334C"/>
    <w:rsid w:val="21773DEE"/>
    <w:rsid w:val="26613029"/>
    <w:rsid w:val="29FB372C"/>
    <w:rsid w:val="2C380F7F"/>
    <w:rsid w:val="30E9709E"/>
    <w:rsid w:val="350836FD"/>
    <w:rsid w:val="3624163E"/>
    <w:rsid w:val="394F65C0"/>
    <w:rsid w:val="395E22C3"/>
    <w:rsid w:val="3F7367C3"/>
    <w:rsid w:val="42255A37"/>
    <w:rsid w:val="4ACF1010"/>
    <w:rsid w:val="56290D2D"/>
    <w:rsid w:val="582338DE"/>
    <w:rsid w:val="5E9716B3"/>
    <w:rsid w:val="63321358"/>
    <w:rsid w:val="690F4E10"/>
    <w:rsid w:val="6A2A072D"/>
    <w:rsid w:val="7C9D7651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autoRedefine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2024-03-29T07:22:00Z</cp:lastPrinted>
  <dcterms:modified xsi:type="dcterms:W3CDTF">2024-04-01T02:11:04Z</dcterms:modified>
  <dc:title>湖北省文物考古研究所2017年购买图书资料项目政府采购询价公告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6BB153BA7D8C4A7ABA708F9B53BD4081_12</vt:lpwstr>
  </property>
</Properties>
</file>