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bookmarkEnd w:id="0"/>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非文物类物品</w:t>
      </w:r>
      <w:r>
        <w:rPr>
          <w:rFonts w:hint="eastAsia"/>
          <w:bCs/>
          <w:color w:val="auto"/>
          <w:sz w:val="32"/>
          <w:szCs w:val="32"/>
        </w:rPr>
        <w:t>搬运</w:t>
      </w:r>
      <w:r>
        <w:rPr>
          <w:rFonts w:hint="eastAsia"/>
          <w:bCs/>
          <w:color w:val="auto"/>
          <w:sz w:val="32"/>
          <w:szCs w:val="32"/>
          <w:lang w:val="en-US" w:eastAsia="zh-CN"/>
        </w:rPr>
        <w:t>(第二次)</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2024年</w:t>
      </w:r>
      <w:r>
        <w:rPr>
          <w:rFonts w:hint="eastAsia"/>
          <w:bCs/>
          <w:color w:val="auto"/>
          <w:sz w:val="32"/>
          <w:szCs w:val="32"/>
        </w:rPr>
        <w:t>湖北省博物馆馆内搬运工作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非文物类物品</w:t>
      </w:r>
      <w:r>
        <w:rPr>
          <w:rFonts w:hint="eastAsia"/>
          <w:bCs/>
          <w:color w:val="auto"/>
          <w:sz w:val="24"/>
          <w:u w:val="single"/>
        </w:rPr>
        <w:t>搬运</w:t>
      </w:r>
      <w:r>
        <w:rPr>
          <w:rFonts w:hint="eastAsia"/>
          <w:bCs/>
          <w:color w:val="auto"/>
          <w:sz w:val="24"/>
          <w:u w:val="single"/>
          <w:lang w:eastAsia="zh-CN"/>
        </w:rPr>
        <w:t>（第二次）</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非文物类物品</w:t>
      </w:r>
      <w:r>
        <w:rPr>
          <w:rFonts w:hint="eastAsia"/>
          <w:bCs/>
          <w:color w:val="auto"/>
          <w:sz w:val="24"/>
        </w:rPr>
        <w:t>搬运</w:t>
      </w:r>
      <w:r>
        <w:rPr>
          <w:rFonts w:hint="eastAsia"/>
          <w:bCs/>
          <w:color w:val="auto"/>
          <w:sz w:val="24"/>
          <w:lang w:eastAsia="zh-CN"/>
        </w:rPr>
        <w:t>（第二次）</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57"/>
        <w:gridCol w:w="676"/>
        <w:gridCol w:w="936"/>
        <w:gridCol w:w="676"/>
        <w:gridCol w:w="962"/>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504"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项目名称</w:t>
            </w:r>
          </w:p>
        </w:tc>
        <w:tc>
          <w:tcPr>
            <w:tcW w:w="1157"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eastAsia="宋体" w:cs="黑体"/>
                <w:color w:val="auto"/>
                <w:kern w:val="2"/>
                <w:sz w:val="22"/>
                <w:szCs w:val="20"/>
                <w:lang w:val="en-US" w:eastAsia="zh-CN" w:bidi="ar-SA"/>
              </w:rPr>
              <w:t>参数或指标需求</w:t>
            </w:r>
          </w:p>
        </w:tc>
        <w:tc>
          <w:tcPr>
            <w:tcW w:w="676"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预计工时</w:t>
            </w:r>
          </w:p>
        </w:tc>
        <w:tc>
          <w:tcPr>
            <w:tcW w:w="936" w:type="dxa"/>
            <w:vAlign w:val="center"/>
          </w:tcPr>
          <w:p>
            <w:pPr>
              <w:jc w:val="center"/>
              <w:rPr>
                <w:rFonts w:hint="default" w:ascii="Calibri" w:hAnsi="Calibri"/>
                <w:color w:val="auto"/>
                <w:sz w:val="22"/>
                <w:szCs w:val="21"/>
                <w:highlight w:val="yellow"/>
                <w:lang w:val="en-US" w:eastAsia="zh-CN"/>
              </w:rPr>
            </w:pPr>
            <w:r>
              <w:rPr>
                <w:rFonts w:hint="eastAsia" w:ascii="Calibri" w:hAnsi="Calibri" w:eastAsia="宋体" w:cs="黑体"/>
                <w:color w:val="auto"/>
                <w:kern w:val="2"/>
                <w:sz w:val="22"/>
                <w:szCs w:val="20"/>
                <w:lang w:val="en-US" w:eastAsia="zh-CN" w:bidi="ar-SA"/>
              </w:rPr>
              <w:t>工时累积量</w:t>
            </w:r>
          </w:p>
        </w:tc>
        <w:tc>
          <w:tcPr>
            <w:tcW w:w="676" w:type="dxa"/>
            <w:vAlign w:val="center"/>
          </w:tcPr>
          <w:p>
            <w:pPr>
              <w:jc w:val="center"/>
              <w:rPr>
                <w:rFonts w:hint="default" w:ascii="Calibri" w:hAnsi="Calibri"/>
                <w:color w:val="auto"/>
                <w:sz w:val="22"/>
                <w:szCs w:val="21"/>
                <w:highlight w:val="yellow"/>
                <w:lang w:val="en-US" w:eastAsia="zh-CN"/>
              </w:rPr>
            </w:pPr>
            <w:r>
              <w:rPr>
                <w:rFonts w:hint="eastAsia" w:ascii="Calibri" w:hAnsi="Calibri" w:eastAsia="宋体" w:cs="黑体"/>
                <w:color w:val="auto"/>
                <w:kern w:val="2"/>
                <w:sz w:val="22"/>
                <w:szCs w:val="20"/>
                <w:lang w:val="en-US" w:eastAsia="zh-CN" w:bidi="ar-SA"/>
              </w:rPr>
              <w:t>工时</w:t>
            </w:r>
            <w:r>
              <w:rPr>
                <w:rFonts w:hint="eastAsia" w:ascii="Calibri" w:hAnsi="Calibri" w:cs="黑体"/>
                <w:color w:val="auto"/>
                <w:kern w:val="2"/>
                <w:sz w:val="22"/>
                <w:szCs w:val="20"/>
                <w:lang w:val="en-US" w:eastAsia="zh-CN" w:bidi="ar-SA"/>
              </w:rPr>
              <w:t>单价</w:t>
            </w:r>
          </w:p>
        </w:tc>
        <w:tc>
          <w:tcPr>
            <w:tcW w:w="962"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单项合计</w:t>
            </w:r>
          </w:p>
        </w:tc>
        <w:tc>
          <w:tcPr>
            <w:tcW w:w="2611" w:type="dxa"/>
            <w:vAlign w:val="center"/>
          </w:tcPr>
          <w:p>
            <w:pPr>
              <w:jc w:val="center"/>
              <w:rPr>
                <w:rFonts w:hint="eastAsia"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504"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湖北省博物馆2024年搬运费</w:t>
            </w:r>
          </w:p>
        </w:tc>
        <w:tc>
          <w:tcPr>
            <w:tcW w:w="1157"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具有搬运</w:t>
            </w:r>
            <w:r>
              <w:rPr>
                <w:rFonts w:hint="eastAsia" w:ascii="Calibri" w:hAnsi="Calibri" w:eastAsia="宋体" w:cs="黑体"/>
                <w:color w:val="auto"/>
                <w:kern w:val="2"/>
                <w:sz w:val="22"/>
                <w:szCs w:val="20"/>
                <w:lang w:val="en-US" w:eastAsia="zh-CN" w:bidi="ar-SA"/>
              </w:rPr>
              <w:t>相关工作</w:t>
            </w:r>
            <w:r>
              <w:rPr>
                <w:rFonts w:hint="eastAsia" w:ascii="Calibri" w:hAnsi="Calibri" w:cs="黑体"/>
                <w:color w:val="auto"/>
                <w:kern w:val="2"/>
                <w:sz w:val="22"/>
                <w:szCs w:val="20"/>
                <w:lang w:val="en-US" w:eastAsia="zh-CN" w:bidi="ar-SA"/>
              </w:rPr>
              <w:t>经验</w:t>
            </w:r>
          </w:p>
        </w:tc>
        <w:tc>
          <w:tcPr>
            <w:tcW w:w="676"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olor w:val="auto"/>
                <w:sz w:val="22"/>
                <w:szCs w:val="21"/>
                <w:highlight w:val="none"/>
                <w:lang w:val="en-US" w:eastAsia="zh-CN"/>
              </w:rPr>
              <w:t>8小时</w:t>
            </w:r>
          </w:p>
        </w:tc>
        <w:tc>
          <w:tcPr>
            <w:tcW w:w="936" w:type="dxa"/>
            <w:vAlign w:val="center"/>
          </w:tcPr>
          <w:p>
            <w:pPr>
              <w:jc w:val="center"/>
              <w:rPr>
                <w:rFonts w:hint="default" w:ascii="Calibri" w:hAnsi="Calibri"/>
                <w:color w:val="auto"/>
                <w:sz w:val="22"/>
                <w:szCs w:val="21"/>
                <w:highlight w:val="yellow"/>
                <w:lang w:val="en-US" w:eastAsia="zh-CN"/>
              </w:rPr>
            </w:pPr>
            <w:r>
              <w:rPr>
                <w:rFonts w:hint="eastAsia" w:ascii="Calibri" w:hAnsi="Calibri" w:cs="黑体"/>
                <w:color w:val="auto"/>
                <w:kern w:val="2"/>
                <w:sz w:val="22"/>
                <w:szCs w:val="20"/>
                <w:lang w:val="en-US" w:eastAsia="zh-CN" w:bidi="ar-SA"/>
              </w:rPr>
              <w:t>937.5</w:t>
            </w:r>
          </w:p>
        </w:tc>
        <w:tc>
          <w:tcPr>
            <w:tcW w:w="676" w:type="dxa"/>
            <w:vAlign w:val="center"/>
          </w:tcPr>
          <w:p>
            <w:pPr>
              <w:jc w:val="center"/>
              <w:rPr>
                <w:rFonts w:hint="default" w:ascii="Calibri" w:hAnsi="Calibri"/>
                <w:color w:val="auto"/>
                <w:sz w:val="22"/>
                <w:szCs w:val="21"/>
                <w:highlight w:val="yellow"/>
                <w:lang w:val="en-US" w:eastAsia="zh-CN"/>
              </w:rPr>
            </w:pPr>
            <w:r>
              <w:rPr>
                <w:rFonts w:hint="eastAsia" w:ascii="Calibri" w:hAnsi="Calibri"/>
                <w:color w:val="auto"/>
                <w:sz w:val="22"/>
                <w:szCs w:val="21"/>
                <w:highlight w:val="none"/>
                <w:lang w:val="en-US" w:eastAsia="zh-CN"/>
              </w:rPr>
              <w:t>20</w:t>
            </w:r>
          </w:p>
        </w:tc>
        <w:tc>
          <w:tcPr>
            <w:tcW w:w="962" w:type="dxa"/>
            <w:vAlign w:val="center"/>
          </w:tcPr>
          <w:p>
            <w:pPr>
              <w:jc w:val="center"/>
              <w:rPr>
                <w:rFonts w:hint="default"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150000</w:t>
            </w:r>
          </w:p>
        </w:tc>
        <w:tc>
          <w:tcPr>
            <w:tcW w:w="2611" w:type="dxa"/>
            <w:vAlign w:val="center"/>
          </w:tcPr>
          <w:p>
            <w:pPr>
              <w:jc w:val="center"/>
              <w:rPr>
                <w:rFonts w:hint="default" w:ascii="Calibri" w:hAnsi="Calibri" w:cs="黑体"/>
                <w:color w:val="auto"/>
                <w:kern w:val="2"/>
                <w:sz w:val="22"/>
                <w:szCs w:val="20"/>
                <w:lang w:val="en-US" w:eastAsia="zh-CN" w:bidi="ar-SA"/>
              </w:rPr>
            </w:pPr>
            <w:r>
              <w:rPr>
                <w:rFonts w:hint="eastAsia" w:ascii="Calibri" w:hAnsi="Calibri"/>
                <w:color w:val="auto"/>
                <w:lang w:val="en-US" w:eastAsia="zh-CN"/>
              </w:rPr>
              <w:t>该项目为2024年馆内搬运，服务期为12个月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1504" w:type="dxa"/>
            <w:vAlign w:val="center"/>
          </w:tcPr>
          <w:p>
            <w:pPr>
              <w:jc w:val="center"/>
              <w:rPr>
                <w:rFonts w:hint="default"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总计</w:t>
            </w:r>
          </w:p>
        </w:tc>
        <w:tc>
          <w:tcPr>
            <w:tcW w:w="4407" w:type="dxa"/>
            <w:gridSpan w:val="5"/>
            <w:vAlign w:val="center"/>
          </w:tcPr>
          <w:p>
            <w:pPr>
              <w:jc w:val="center"/>
              <w:rPr>
                <w:rFonts w:hint="default"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150000元（以上价格为含税价）</w:t>
            </w:r>
          </w:p>
        </w:tc>
        <w:tc>
          <w:tcPr>
            <w:tcW w:w="2611" w:type="dxa"/>
            <w:vAlign w:val="center"/>
          </w:tcPr>
          <w:p>
            <w:pPr>
              <w:jc w:val="center"/>
              <w:rPr>
                <w:rFonts w:hint="eastAsia" w:ascii="Calibri" w:hAnsi="Calibri" w:cs="黑体"/>
                <w:color w:val="auto"/>
                <w:kern w:val="2"/>
                <w:sz w:val="22"/>
                <w:szCs w:val="20"/>
                <w:lang w:val="en-US" w:eastAsia="zh-CN" w:bidi="ar-SA"/>
              </w:rPr>
            </w:pP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150000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1</w:t>
      </w:r>
      <w:r>
        <w:rPr>
          <w:rFonts w:hint="eastAsia" w:cs="宋体"/>
          <w:color w:val="auto"/>
          <w:sz w:val="24"/>
        </w:rPr>
        <w:t>月</w:t>
      </w:r>
      <w:r>
        <w:rPr>
          <w:rFonts w:hint="eastAsia"/>
          <w:color w:val="auto"/>
          <w:sz w:val="24"/>
          <w:lang w:val="en-US" w:eastAsia="zh-CN"/>
        </w:rPr>
        <w:t>30</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ind w:firstLine="6240" w:firstLineChars="2600"/>
        <w:outlineLvl w:val="0"/>
        <w:rPr>
          <w:color w:val="auto"/>
          <w:sz w:val="24"/>
        </w:rPr>
      </w:pPr>
      <w:r>
        <w:rPr>
          <w:rFonts w:hint="eastAsia" w:ascii="宋体" w:hAnsi="宋体" w:cs="宋体"/>
          <w:color w:val="auto"/>
          <w:kern w:val="0"/>
          <w:sz w:val="24"/>
        </w:rPr>
        <w:t xml:space="preserve">                                                     </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eastAsia="zh-CN"/>
              </w:rPr>
              <w:t>非文物类物品</w:t>
            </w:r>
            <w:r>
              <w:rPr>
                <w:rFonts w:hint="eastAsia"/>
                <w:bCs/>
                <w:color w:val="auto"/>
                <w:kern w:val="0"/>
                <w:sz w:val="24"/>
              </w:rPr>
              <w:t>搬运项目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湖北省博物馆馆内搬运工作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150000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应具备安全生产许可证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w:t>
            </w:r>
            <w:r>
              <w:rPr>
                <w:rFonts w:hint="eastAsia" w:cs="宋体"/>
                <w:color w:val="auto"/>
                <w:kern w:val="0"/>
                <w:sz w:val="24"/>
                <w:lang w:val="en-US" w:eastAsia="zh-CN"/>
              </w:rPr>
              <w:t>30</w:t>
            </w:r>
            <w:r>
              <w:rPr>
                <w:rFonts w:hint="eastAsia" w:cs="宋体"/>
                <w:color w:val="auto"/>
                <w:kern w:val="0"/>
                <w:sz w:val="24"/>
              </w:rPr>
              <w:t>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成交供应商在收到成交通知书后，三十日内与采购人签订搬运服务合同。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57"/>
        <w:gridCol w:w="676"/>
        <w:gridCol w:w="936"/>
        <w:gridCol w:w="676"/>
        <w:gridCol w:w="962"/>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504"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项目名称</w:t>
            </w:r>
          </w:p>
        </w:tc>
        <w:tc>
          <w:tcPr>
            <w:tcW w:w="1157"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eastAsia="宋体" w:cs="黑体"/>
                <w:color w:val="auto"/>
                <w:kern w:val="2"/>
                <w:sz w:val="22"/>
                <w:szCs w:val="20"/>
                <w:lang w:val="en-US" w:eastAsia="zh-CN" w:bidi="ar-SA"/>
              </w:rPr>
              <w:t>参数或指标需求</w:t>
            </w:r>
          </w:p>
        </w:tc>
        <w:tc>
          <w:tcPr>
            <w:tcW w:w="676"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预计工时</w:t>
            </w:r>
          </w:p>
        </w:tc>
        <w:tc>
          <w:tcPr>
            <w:tcW w:w="936" w:type="dxa"/>
            <w:vAlign w:val="center"/>
          </w:tcPr>
          <w:p>
            <w:pPr>
              <w:jc w:val="center"/>
              <w:rPr>
                <w:rFonts w:hint="default" w:ascii="Calibri" w:hAnsi="Calibri"/>
                <w:color w:val="auto"/>
                <w:sz w:val="22"/>
                <w:szCs w:val="21"/>
                <w:highlight w:val="yellow"/>
                <w:lang w:val="en-US" w:eastAsia="zh-CN"/>
              </w:rPr>
            </w:pPr>
            <w:r>
              <w:rPr>
                <w:rFonts w:hint="eastAsia" w:ascii="Calibri" w:hAnsi="Calibri" w:eastAsia="宋体" w:cs="黑体"/>
                <w:color w:val="auto"/>
                <w:kern w:val="2"/>
                <w:sz w:val="22"/>
                <w:szCs w:val="20"/>
                <w:lang w:val="en-US" w:eastAsia="zh-CN" w:bidi="ar-SA"/>
              </w:rPr>
              <w:t>工时累积量</w:t>
            </w:r>
          </w:p>
        </w:tc>
        <w:tc>
          <w:tcPr>
            <w:tcW w:w="676" w:type="dxa"/>
            <w:vAlign w:val="center"/>
          </w:tcPr>
          <w:p>
            <w:pPr>
              <w:jc w:val="center"/>
              <w:rPr>
                <w:rFonts w:hint="default" w:ascii="Calibri" w:hAnsi="Calibri"/>
                <w:color w:val="auto"/>
                <w:sz w:val="22"/>
                <w:szCs w:val="21"/>
                <w:highlight w:val="yellow"/>
                <w:lang w:val="en-US" w:eastAsia="zh-CN"/>
              </w:rPr>
            </w:pPr>
            <w:r>
              <w:rPr>
                <w:rFonts w:hint="eastAsia" w:ascii="Calibri" w:hAnsi="Calibri" w:eastAsia="宋体" w:cs="黑体"/>
                <w:color w:val="auto"/>
                <w:kern w:val="2"/>
                <w:sz w:val="22"/>
                <w:szCs w:val="20"/>
                <w:lang w:val="en-US" w:eastAsia="zh-CN" w:bidi="ar-SA"/>
              </w:rPr>
              <w:t>工时</w:t>
            </w:r>
            <w:r>
              <w:rPr>
                <w:rFonts w:hint="eastAsia" w:ascii="Calibri" w:hAnsi="Calibri" w:cs="黑体"/>
                <w:color w:val="auto"/>
                <w:kern w:val="2"/>
                <w:sz w:val="22"/>
                <w:szCs w:val="20"/>
                <w:lang w:val="en-US" w:eastAsia="zh-CN" w:bidi="ar-SA"/>
              </w:rPr>
              <w:t>单价</w:t>
            </w:r>
          </w:p>
        </w:tc>
        <w:tc>
          <w:tcPr>
            <w:tcW w:w="962"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单项合计</w:t>
            </w:r>
          </w:p>
        </w:tc>
        <w:tc>
          <w:tcPr>
            <w:tcW w:w="2611" w:type="dxa"/>
            <w:vAlign w:val="center"/>
          </w:tcPr>
          <w:p>
            <w:pPr>
              <w:jc w:val="center"/>
              <w:rPr>
                <w:rFonts w:hint="eastAsia"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504"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湖北省博物馆2024年搬运费</w:t>
            </w:r>
          </w:p>
        </w:tc>
        <w:tc>
          <w:tcPr>
            <w:tcW w:w="1157"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s="黑体"/>
                <w:color w:val="auto"/>
                <w:kern w:val="2"/>
                <w:sz w:val="22"/>
                <w:szCs w:val="20"/>
                <w:lang w:val="en-US" w:eastAsia="zh-CN" w:bidi="ar-SA"/>
              </w:rPr>
              <w:t>具有搬运</w:t>
            </w:r>
            <w:r>
              <w:rPr>
                <w:rFonts w:hint="eastAsia" w:ascii="Calibri" w:hAnsi="Calibri" w:eastAsia="宋体" w:cs="黑体"/>
                <w:color w:val="auto"/>
                <w:kern w:val="2"/>
                <w:sz w:val="22"/>
                <w:szCs w:val="20"/>
                <w:lang w:val="en-US" w:eastAsia="zh-CN" w:bidi="ar-SA"/>
              </w:rPr>
              <w:t>相关工作</w:t>
            </w:r>
            <w:r>
              <w:rPr>
                <w:rFonts w:hint="eastAsia" w:ascii="Calibri" w:hAnsi="Calibri" w:cs="黑体"/>
                <w:color w:val="auto"/>
                <w:kern w:val="2"/>
                <w:sz w:val="22"/>
                <w:szCs w:val="20"/>
                <w:lang w:val="en-US" w:eastAsia="zh-CN" w:bidi="ar-SA"/>
              </w:rPr>
              <w:t>经验</w:t>
            </w:r>
          </w:p>
        </w:tc>
        <w:tc>
          <w:tcPr>
            <w:tcW w:w="676" w:type="dxa"/>
            <w:vAlign w:val="center"/>
          </w:tcPr>
          <w:p>
            <w:pPr>
              <w:jc w:val="center"/>
              <w:rPr>
                <w:rFonts w:hint="default" w:ascii="Calibri" w:hAnsi="Calibri" w:eastAsia="宋体" w:cs="黑体"/>
                <w:color w:val="auto"/>
                <w:kern w:val="2"/>
                <w:sz w:val="22"/>
                <w:szCs w:val="20"/>
                <w:lang w:val="en-US" w:eastAsia="zh-CN" w:bidi="ar-SA"/>
              </w:rPr>
            </w:pPr>
            <w:r>
              <w:rPr>
                <w:rFonts w:hint="eastAsia" w:ascii="Calibri" w:hAnsi="Calibri"/>
                <w:color w:val="auto"/>
                <w:sz w:val="22"/>
                <w:szCs w:val="21"/>
                <w:highlight w:val="none"/>
                <w:lang w:val="en-US" w:eastAsia="zh-CN"/>
              </w:rPr>
              <w:t>8小时</w:t>
            </w:r>
          </w:p>
        </w:tc>
        <w:tc>
          <w:tcPr>
            <w:tcW w:w="936" w:type="dxa"/>
            <w:vAlign w:val="center"/>
          </w:tcPr>
          <w:p>
            <w:pPr>
              <w:jc w:val="center"/>
              <w:rPr>
                <w:rFonts w:hint="default" w:ascii="Calibri" w:hAnsi="Calibri"/>
                <w:color w:val="auto"/>
                <w:sz w:val="22"/>
                <w:szCs w:val="21"/>
                <w:highlight w:val="yellow"/>
                <w:lang w:val="en-US" w:eastAsia="zh-CN"/>
              </w:rPr>
            </w:pPr>
            <w:r>
              <w:rPr>
                <w:rFonts w:hint="eastAsia" w:ascii="Calibri" w:hAnsi="Calibri" w:cs="黑体"/>
                <w:color w:val="auto"/>
                <w:kern w:val="2"/>
                <w:sz w:val="22"/>
                <w:szCs w:val="20"/>
                <w:lang w:val="en-US" w:eastAsia="zh-CN" w:bidi="ar-SA"/>
              </w:rPr>
              <w:t>937.5</w:t>
            </w:r>
          </w:p>
        </w:tc>
        <w:tc>
          <w:tcPr>
            <w:tcW w:w="676" w:type="dxa"/>
            <w:vAlign w:val="center"/>
          </w:tcPr>
          <w:p>
            <w:pPr>
              <w:jc w:val="center"/>
              <w:rPr>
                <w:rFonts w:hint="default" w:ascii="Calibri" w:hAnsi="Calibri"/>
                <w:color w:val="auto"/>
                <w:sz w:val="22"/>
                <w:szCs w:val="21"/>
                <w:highlight w:val="yellow"/>
                <w:lang w:val="en-US" w:eastAsia="zh-CN"/>
              </w:rPr>
            </w:pPr>
            <w:r>
              <w:rPr>
                <w:rFonts w:hint="eastAsia" w:ascii="Calibri" w:hAnsi="Calibri"/>
                <w:color w:val="auto"/>
                <w:sz w:val="22"/>
                <w:szCs w:val="21"/>
                <w:highlight w:val="none"/>
                <w:lang w:val="en-US" w:eastAsia="zh-CN"/>
              </w:rPr>
              <w:t>20</w:t>
            </w:r>
          </w:p>
        </w:tc>
        <w:tc>
          <w:tcPr>
            <w:tcW w:w="962" w:type="dxa"/>
            <w:vAlign w:val="center"/>
          </w:tcPr>
          <w:p>
            <w:pPr>
              <w:jc w:val="center"/>
              <w:rPr>
                <w:rFonts w:hint="default"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150000</w:t>
            </w:r>
          </w:p>
        </w:tc>
        <w:tc>
          <w:tcPr>
            <w:tcW w:w="2611" w:type="dxa"/>
            <w:vAlign w:val="center"/>
          </w:tcPr>
          <w:p>
            <w:pPr>
              <w:jc w:val="center"/>
              <w:rPr>
                <w:rFonts w:hint="default" w:ascii="Calibri" w:hAnsi="Calibri" w:cs="黑体"/>
                <w:color w:val="auto"/>
                <w:kern w:val="2"/>
                <w:sz w:val="22"/>
                <w:szCs w:val="20"/>
                <w:lang w:val="en-US" w:eastAsia="zh-CN" w:bidi="ar-SA"/>
              </w:rPr>
            </w:pPr>
            <w:r>
              <w:rPr>
                <w:rFonts w:hint="eastAsia" w:ascii="Calibri" w:hAnsi="Calibri"/>
                <w:color w:val="auto"/>
                <w:lang w:val="en-US" w:eastAsia="zh-CN"/>
              </w:rPr>
              <w:t>该项目为2024年馆内搬运，服务期为12个月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1504" w:type="dxa"/>
            <w:vAlign w:val="center"/>
          </w:tcPr>
          <w:p>
            <w:pPr>
              <w:jc w:val="center"/>
              <w:rPr>
                <w:rFonts w:hint="default"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总计</w:t>
            </w:r>
          </w:p>
        </w:tc>
        <w:tc>
          <w:tcPr>
            <w:tcW w:w="4407" w:type="dxa"/>
            <w:gridSpan w:val="5"/>
            <w:vAlign w:val="center"/>
          </w:tcPr>
          <w:p>
            <w:pPr>
              <w:jc w:val="center"/>
              <w:rPr>
                <w:rFonts w:hint="default" w:ascii="Calibri" w:hAnsi="Calibri" w:cs="黑体"/>
                <w:color w:val="auto"/>
                <w:kern w:val="2"/>
                <w:sz w:val="22"/>
                <w:szCs w:val="20"/>
                <w:lang w:val="en-US" w:eastAsia="zh-CN" w:bidi="ar-SA"/>
              </w:rPr>
            </w:pPr>
            <w:r>
              <w:rPr>
                <w:rFonts w:hint="eastAsia" w:ascii="Calibri" w:hAnsi="Calibri" w:cs="黑体"/>
                <w:color w:val="auto"/>
                <w:kern w:val="2"/>
                <w:sz w:val="22"/>
                <w:szCs w:val="20"/>
                <w:lang w:val="en-US" w:eastAsia="zh-CN" w:bidi="ar-SA"/>
              </w:rPr>
              <w:t>150000元（以上价格为含税价）</w:t>
            </w:r>
          </w:p>
        </w:tc>
        <w:tc>
          <w:tcPr>
            <w:tcW w:w="2611" w:type="dxa"/>
            <w:vAlign w:val="center"/>
          </w:tcPr>
          <w:p>
            <w:pPr>
              <w:jc w:val="center"/>
              <w:rPr>
                <w:rFonts w:hint="eastAsia" w:ascii="Calibri" w:hAnsi="Calibri" w:cs="黑体"/>
                <w:color w:val="auto"/>
                <w:kern w:val="2"/>
                <w:sz w:val="22"/>
                <w:szCs w:val="20"/>
                <w:lang w:val="en-US" w:eastAsia="zh-CN" w:bidi="ar-SA"/>
              </w:rPr>
            </w:pP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所有搬运货物要在规定时间内运输完毕。</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严禁损坏或遗失所搬运物品，不得违反规定往非规定地点搬运物品。</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搬运车装运量应以车辆的额定荷载和有效容积为限，不得超重、超高运输。</w:t>
      </w:r>
    </w:p>
    <w:p>
      <w:pPr>
        <w:numPr>
          <w:ilvl w:val="0"/>
          <w:numId w:val="3"/>
        </w:numPr>
        <w:spacing w:line="440" w:lineRule="exact"/>
        <w:rPr>
          <w:rFonts w:ascii="宋体" w:hAnsi="宋体"/>
          <w:color w:val="auto"/>
          <w:sz w:val="24"/>
          <w:szCs w:val="22"/>
        </w:rPr>
      </w:pPr>
      <w:r>
        <w:rPr>
          <w:rFonts w:hint="eastAsia" w:ascii="宋体" w:hAnsi="宋体"/>
          <w:caps/>
          <w:color w:val="auto"/>
          <w:sz w:val="24"/>
          <w:lang w:val="en-US" w:eastAsia="zh-CN"/>
        </w:rPr>
        <w:t>以上用车、用工据实经工程造价审计结算，12个月总结算额不超中标总金额。</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2.1.1交货时间：合同签订之日起365个日历天内实施完毕。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val="en-US" w:eastAsia="zh-CN"/>
        </w:rPr>
        <w:t>搬运</w:t>
      </w:r>
      <w:r>
        <w:rPr>
          <w:rFonts w:hint="eastAsia" w:ascii="宋体" w:hAnsi="宋体"/>
          <w:color w:val="auto"/>
          <w:sz w:val="24"/>
          <w:szCs w:val="22"/>
        </w:rPr>
        <w:t>项目竣工后，经采购人验收签字认可。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付款方式：用车、用工据实经工程造价审计结算，供应商认可审计结算结果</w:t>
      </w:r>
      <w:r>
        <w:rPr>
          <w:rFonts w:hint="eastAsia" w:ascii="宋体" w:hAnsi="宋体" w:cs="Times New Roman"/>
          <w:color w:val="auto"/>
          <w:kern w:val="2"/>
          <w:sz w:val="24"/>
          <w:szCs w:val="22"/>
          <w:lang w:val="en-US" w:eastAsia="zh-CN" w:bidi="ar-SA"/>
        </w:rPr>
        <w:t>，在合同期满后按审计金额支付款项，结算额不得超过合同金额</w:t>
      </w:r>
      <w:r>
        <w:rPr>
          <w:rFonts w:hint="eastAsia" w:ascii="宋体" w:hAnsi="宋体" w:eastAsia="宋体" w:cs="Times New Roman"/>
          <w:color w:val="auto"/>
          <w:kern w:val="2"/>
          <w:sz w:val="24"/>
          <w:szCs w:val="22"/>
          <w:lang w:val="en-US" w:eastAsia="zh-CN" w:bidi="ar-SA"/>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2.2.1服务要求：成交服务商提供所投本单位1年的搬运服务。服务商在此项目后期的服务中，若出现货物需要搬运，服务商应1小时内响应，1小时内到场搬运完货物，保证工作正常进行。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2.2.2其他服务要求：服务商须提供所投提供服务机构情况，包括地址、联系方式及搬运人员数量等。提供服务厂家完整的随机资料，包括完整的搬运标准手册等。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E5YTcxYzllNDU5NWIyMDNiNTRjMGMwMThlODQ0ZWM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4FD5"/>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73E22"/>
    <w:rsid w:val="00F8404C"/>
    <w:rsid w:val="00F85CA6"/>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226055"/>
    <w:rsid w:val="04DB7BEF"/>
    <w:rsid w:val="0700063B"/>
    <w:rsid w:val="07393273"/>
    <w:rsid w:val="07D124CE"/>
    <w:rsid w:val="08DA62A9"/>
    <w:rsid w:val="0913387A"/>
    <w:rsid w:val="09D26BC8"/>
    <w:rsid w:val="0A9D4CAC"/>
    <w:rsid w:val="0C8255EE"/>
    <w:rsid w:val="0D1901EE"/>
    <w:rsid w:val="0F1C09DF"/>
    <w:rsid w:val="10586EB9"/>
    <w:rsid w:val="106E529C"/>
    <w:rsid w:val="10FD66D2"/>
    <w:rsid w:val="11967E7A"/>
    <w:rsid w:val="125176AF"/>
    <w:rsid w:val="12A91E39"/>
    <w:rsid w:val="132B161A"/>
    <w:rsid w:val="133E3233"/>
    <w:rsid w:val="14BB617E"/>
    <w:rsid w:val="155142DC"/>
    <w:rsid w:val="173B16C8"/>
    <w:rsid w:val="17B01841"/>
    <w:rsid w:val="185D02E7"/>
    <w:rsid w:val="19332873"/>
    <w:rsid w:val="1A294B9B"/>
    <w:rsid w:val="1AA23125"/>
    <w:rsid w:val="1C7D6C65"/>
    <w:rsid w:val="1CA40F8A"/>
    <w:rsid w:val="1D165C2D"/>
    <w:rsid w:val="1D67578F"/>
    <w:rsid w:val="1DC0735E"/>
    <w:rsid w:val="1F273759"/>
    <w:rsid w:val="1F401032"/>
    <w:rsid w:val="20CA31BA"/>
    <w:rsid w:val="25361E42"/>
    <w:rsid w:val="255149FF"/>
    <w:rsid w:val="25F62C4D"/>
    <w:rsid w:val="273274A4"/>
    <w:rsid w:val="278B3A77"/>
    <w:rsid w:val="28403BE4"/>
    <w:rsid w:val="28CD1B66"/>
    <w:rsid w:val="28CF031E"/>
    <w:rsid w:val="2A1B0B32"/>
    <w:rsid w:val="2A8A1893"/>
    <w:rsid w:val="2AF21386"/>
    <w:rsid w:val="2B0D4D76"/>
    <w:rsid w:val="2B510D71"/>
    <w:rsid w:val="2C2530AC"/>
    <w:rsid w:val="2D3227BF"/>
    <w:rsid w:val="2E533D90"/>
    <w:rsid w:val="2EB07F7C"/>
    <w:rsid w:val="2F1F48ED"/>
    <w:rsid w:val="2F9A55C6"/>
    <w:rsid w:val="2FE16093"/>
    <w:rsid w:val="301179E0"/>
    <w:rsid w:val="306A31B9"/>
    <w:rsid w:val="31172B5C"/>
    <w:rsid w:val="332B7927"/>
    <w:rsid w:val="33682E05"/>
    <w:rsid w:val="338828D9"/>
    <w:rsid w:val="34A864D7"/>
    <w:rsid w:val="34C27DF5"/>
    <w:rsid w:val="38464BFE"/>
    <w:rsid w:val="38AC6F70"/>
    <w:rsid w:val="3A700350"/>
    <w:rsid w:val="3BC12009"/>
    <w:rsid w:val="3BD410D5"/>
    <w:rsid w:val="3BE03CEA"/>
    <w:rsid w:val="3BE0447C"/>
    <w:rsid w:val="3BF859E1"/>
    <w:rsid w:val="3CF42AF8"/>
    <w:rsid w:val="3D50055B"/>
    <w:rsid w:val="3FBD4460"/>
    <w:rsid w:val="404E51C0"/>
    <w:rsid w:val="418663AF"/>
    <w:rsid w:val="41877BA5"/>
    <w:rsid w:val="41C07F18"/>
    <w:rsid w:val="42433829"/>
    <w:rsid w:val="42DD13E6"/>
    <w:rsid w:val="42F52A14"/>
    <w:rsid w:val="45134543"/>
    <w:rsid w:val="455E056E"/>
    <w:rsid w:val="45A17BBD"/>
    <w:rsid w:val="4814454F"/>
    <w:rsid w:val="48E8072E"/>
    <w:rsid w:val="4A7F5A23"/>
    <w:rsid w:val="4BA12165"/>
    <w:rsid w:val="4BEB1510"/>
    <w:rsid w:val="4C6725B0"/>
    <w:rsid w:val="4C750127"/>
    <w:rsid w:val="4CEE471B"/>
    <w:rsid w:val="4D4004D3"/>
    <w:rsid w:val="4DF57970"/>
    <w:rsid w:val="4E71186B"/>
    <w:rsid w:val="4E770F33"/>
    <w:rsid w:val="4EB70ABF"/>
    <w:rsid w:val="4F083E80"/>
    <w:rsid w:val="507F09A9"/>
    <w:rsid w:val="51894733"/>
    <w:rsid w:val="51987AEC"/>
    <w:rsid w:val="54501CDF"/>
    <w:rsid w:val="547774F5"/>
    <w:rsid w:val="55F63289"/>
    <w:rsid w:val="571F6DB9"/>
    <w:rsid w:val="57372CE0"/>
    <w:rsid w:val="586059FC"/>
    <w:rsid w:val="596D24AD"/>
    <w:rsid w:val="5ABA4FFA"/>
    <w:rsid w:val="5CA93C41"/>
    <w:rsid w:val="5DF53BF6"/>
    <w:rsid w:val="5EBA4132"/>
    <w:rsid w:val="600A6E4D"/>
    <w:rsid w:val="604C74E6"/>
    <w:rsid w:val="606C1145"/>
    <w:rsid w:val="615474CF"/>
    <w:rsid w:val="62020085"/>
    <w:rsid w:val="635D4EE9"/>
    <w:rsid w:val="64773F46"/>
    <w:rsid w:val="655D7BC8"/>
    <w:rsid w:val="66A052DD"/>
    <w:rsid w:val="66ED55F3"/>
    <w:rsid w:val="67092F20"/>
    <w:rsid w:val="67DE2609"/>
    <w:rsid w:val="68550240"/>
    <w:rsid w:val="6957025A"/>
    <w:rsid w:val="6AA0506B"/>
    <w:rsid w:val="6AAE34BA"/>
    <w:rsid w:val="6B4704F4"/>
    <w:rsid w:val="6BC84C25"/>
    <w:rsid w:val="6C645BE9"/>
    <w:rsid w:val="6E9375F9"/>
    <w:rsid w:val="6EA02088"/>
    <w:rsid w:val="6EC954CC"/>
    <w:rsid w:val="6F063F60"/>
    <w:rsid w:val="6F764F0F"/>
    <w:rsid w:val="71980CE3"/>
    <w:rsid w:val="72FC35F8"/>
    <w:rsid w:val="734279DC"/>
    <w:rsid w:val="74210CA6"/>
    <w:rsid w:val="743433DD"/>
    <w:rsid w:val="744D7F25"/>
    <w:rsid w:val="74716835"/>
    <w:rsid w:val="75301EB1"/>
    <w:rsid w:val="75884695"/>
    <w:rsid w:val="77DB3B01"/>
    <w:rsid w:val="78976537"/>
    <w:rsid w:val="789F23C3"/>
    <w:rsid w:val="78D62D50"/>
    <w:rsid w:val="792E3DC0"/>
    <w:rsid w:val="79E17CE7"/>
    <w:rsid w:val="7A7727F0"/>
    <w:rsid w:val="7B691391"/>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8459</Words>
  <Characters>8828</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2021-03-29T03:37:00Z</cp:lastPrinted>
  <dcterms:modified xsi:type="dcterms:W3CDTF">2024-01-29T05:13:33Z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AE8D736C1EA04294B60FF531B1F3514C_13</vt:lpwstr>
  </property>
</Properties>
</file>