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left="958" w:leftChars="342"/>
        <w:rPr>
          <w:bCs/>
          <w:color w:val="auto"/>
          <w:sz w:val="32"/>
          <w:szCs w:val="32"/>
        </w:rPr>
      </w:pP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湖北省博物馆搬运项目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2024年湖北省博物馆馆内搬运工作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湖北省博物馆搬运项目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湖北省博物馆搬运项目</w:t>
      </w:r>
    </w:p>
    <w:p>
      <w:pPr>
        <w:spacing w:line="440" w:lineRule="exact"/>
        <w:ind w:firstLine="480" w:firstLineChars="200"/>
        <w:rPr>
          <w:bCs/>
          <w:color w:val="auto"/>
          <w:sz w:val="24"/>
        </w:rPr>
      </w:pPr>
      <w:r>
        <w:rPr>
          <w:bCs/>
          <w:color w:val="auto"/>
          <w:sz w:val="24"/>
        </w:rPr>
        <w:t>三、谈判内容：</w:t>
      </w:r>
    </w:p>
    <w:tbl>
      <w:tblPr>
        <w:tblStyle w:val="33"/>
        <w:tblW w:w="8956" w:type="dxa"/>
        <w:jc w:val="center"/>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801"/>
        <w:gridCol w:w="1203"/>
        <w:gridCol w:w="923"/>
        <w:gridCol w:w="1219"/>
        <w:gridCol w:w="11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318" w:type="dxa"/>
            <w:vAlign w:val="center"/>
          </w:tcPr>
          <w:p>
            <w:pPr>
              <w:jc w:val="center"/>
              <w:rPr>
                <w:rFonts w:ascii="Calibri" w:hAnsi="Calibri" w:cs="黑体"/>
                <w:color w:val="auto"/>
                <w:sz w:val="22"/>
                <w:szCs w:val="20"/>
              </w:rPr>
            </w:pPr>
            <w:r>
              <w:rPr>
                <w:rFonts w:hint="eastAsia" w:ascii="Calibri" w:hAnsi="Calibri" w:cs="黑体"/>
                <w:color w:val="auto"/>
                <w:sz w:val="22"/>
                <w:szCs w:val="20"/>
              </w:rPr>
              <w:t>项目名称</w:t>
            </w:r>
          </w:p>
        </w:tc>
        <w:tc>
          <w:tcPr>
            <w:tcW w:w="1801" w:type="dxa"/>
            <w:vAlign w:val="center"/>
          </w:tcPr>
          <w:p>
            <w:pPr>
              <w:jc w:val="center"/>
              <w:rPr>
                <w:rFonts w:ascii="Calibri" w:hAnsi="Calibri" w:cs="黑体"/>
                <w:color w:val="auto"/>
                <w:sz w:val="22"/>
                <w:szCs w:val="20"/>
              </w:rPr>
            </w:pPr>
            <w:r>
              <w:rPr>
                <w:rFonts w:hint="eastAsia" w:ascii="Calibri" w:hAnsi="Calibri" w:cs="黑体"/>
                <w:color w:val="auto"/>
                <w:sz w:val="22"/>
                <w:szCs w:val="20"/>
              </w:rPr>
              <w:t>参数或指标需求</w:t>
            </w:r>
          </w:p>
        </w:tc>
        <w:tc>
          <w:tcPr>
            <w:tcW w:w="1203" w:type="dxa"/>
            <w:vAlign w:val="center"/>
          </w:tcPr>
          <w:p>
            <w:pPr>
              <w:jc w:val="center"/>
              <w:rPr>
                <w:rFonts w:ascii="Calibri" w:hAnsi="Calibri" w:cs="黑体"/>
                <w:color w:val="auto"/>
                <w:sz w:val="22"/>
                <w:szCs w:val="20"/>
              </w:rPr>
            </w:pPr>
            <w:r>
              <w:rPr>
                <w:rFonts w:hint="eastAsia" w:ascii="Calibri" w:hAnsi="Calibri" w:cs="黑体"/>
                <w:color w:val="auto"/>
                <w:sz w:val="22"/>
                <w:szCs w:val="20"/>
              </w:rPr>
              <w:t>预计工时</w:t>
            </w:r>
          </w:p>
        </w:tc>
        <w:tc>
          <w:tcPr>
            <w:tcW w:w="923" w:type="dxa"/>
            <w:vAlign w:val="center"/>
          </w:tcPr>
          <w:p>
            <w:pPr>
              <w:jc w:val="center"/>
              <w:rPr>
                <w:rFonts w:ascii="Calibri" w:hAnsi="Calibri"/>
                <w:color w:val="auto"/>
                <w:sz w:val="22"/>
                <w:szCs w:val="21"/>
                <w:highlight w:val="yellow"/>
              </w:rPr>
            </w:pPr>
            <w:r>
              <w:rPr>
                <w:rFonts w:hint="eastAsia" w:ascii="Calibri" w:hAnsi="Calibri" w:cs="黑体"/>
                <w:color w:val="auto"/>
                <w:sz w:val="22"/>
                <w:szCs w:val="20"/>
              </w:rPr>
              <w:t>工时累积量</w:t>
            </w:r>
          </w:p>
        </w:tc>
        <w:tc>
          <w:tcPr>
            <w:tcW w:w="1219" w:type="dxa"/>
            <w:vAlign w:val="center"/>
          </w:tcPr>
          <w:p>
            <w:pPr>
              <w:jc w:val="center"/>
              <w:rPr>
                <w:rFonts w:ascii="Calibri" w:hAnsi="Calibri"/>
                <w:color w:val="auto"/>
                <w:sz w:val="22"/>
                <w:szCs w:val="21"/>
                <w:highlight w:val="yellow"/>
              </w:rPr>
            </w:pPr>
            <w:r>
              <w:rPr>
                <w:rFonts w:hint="eastAsia" w:ascii="Calibri" w:hAnsi="Calibri" w:cs="黑体"/>
                <w:color w:val="auto"/>
                <w:sz w:val="22"/>
                <w:szCs w:val="20"/>
              </w:rPr>
              <w:t>工时单价</w:t>
            </w:r>
          </w:p>
        </w:tc>
        <w:tc>
          <w:tcPr>
            <w:tcW w:w="1191" w:type="dxa"/>
            <w:vAlign w:val="center"/>
          </w:tcPr>
          <w:p>
            <w:pPr>
              <w:jc w:val="center"/>
              <w:rPr>
                <w:rFonts w:ascii="Calibri" w:hAnsi="Calibri" w:cs="黑体"/>
                <w:color w:val="auto"/>
                <w:sz w:val="22"/>
                <w:szCs w:val="20"/>
              </w:rPr>
            </w:pPr>
            <w:r>
              <w:rPr>
                <w:rFonts w:hint="eastAsia" w:ascii="Calibri" w:hAnsi="Calibri" w:cs="黑体"/>
                <w:color w:val="auto"/>
                <w:sz w:val="22"/>
                <w:szCs w:val="20"/>
              </w:rPr>
              <w:t>单项合计</w:t>
            </w:r>
          </w:p>
        </w:tc>
        <w:tc>
          <w:tcPr>
            <w:tcW w:w="1301" w:type="dxa"/>
            <w:vAlign w:val="top"/>
          </w:tcPr>
          <w:p>
            <w:pPr>
              <w:tabs>
                <w:tab w:val="left" w:pos="301"/>
                <w:tab w:val="center" w:pos="542"/>
              </w:tabs>
              <w:jc w:val="center"/>
              <w:rPr>
                <w:rFonts w:ascii="Calibri" w:hAnsi="Calibri" w:cs="黑体"/>
                <w:color w:val="auto"/>
                <w:sz w:val="22"/>
                <w:szCs w:val="20"/>
              </w:rPr>
            </w:pPr>
          </w:p>
          <w:p>
            <w:pPr>
              <w:tabs>
                <w:tab w:val="left" w:pos="301"/>
                <w:tab w:val="center" w:pos="542"/>
              </w:tabs>
              <w:jc w:val="center"/>
              <w:rPr>
                <w:rFonts w:ascii="Calibri" w:hAnsi="Calibri" w:cs="黑体"/>
                <w:color w:val="auto"/>
                <w:sz w:val="22"/>
                <w:szCs w:val="20"/>
              </w:rPr>
            </w:pPr>
            <w:r>
              <w:rPr>
                <w:rFonts w:hint="eastAsia" w:ascii="Calibri" w:hAnsi="Calibri" w:cs="黑体"/>
                <w:color w:val="auto"/>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318" w:type="dxa"/>
            <w:vAlign w:val="center"/>
          </w:tcPr>
          <w:p>
            <w:pPr>
              <w:jc w:val="center"/>
              <w:rPr>
                <w:rFonts w:ascii="Calibri" w:hAnsi="Calibri" w:cs="黑体"/>
                <w:color w:val="auto"/>
                <w:sz w:val="22"/>
                <w:szCs w:val="20"/>
              </w:rPr>
            </w:pPr>
            <w:r>
              <w:rPr>
                <w:rFonts w:hint="eastAsia" w:ascii="Calibri" w:hAnsi="Calibri" w:cs="黑体"/>
                <w:color w:val="auto"/>
                <w:sz w:val="22"/>
                <w:szCs w:val="20"/>
              </w:rPr>
              <w:t>湖北省博物馆2024年搬运费</w:t>
            </w:r>
          </w:p>
        </w:tc>
        <w:tc>
          <w:tcPr>
            <w:tcW w:w="1801" w:type="dxa"/>
            <w:vAlign w:val="center"/>
          </w:tcPr>
          <w:p>
            <w:pPr>
              <w:jc w:val="center"/>
              <w:rPr>
                <w:rFonts w:ascii="Calibri" w:hAnsi="Calibri" w:cs="黑体"/>
                <w:color w:val="auto"/>
                <w:sz w:val="22"/>
                <w:szCs w:val="20"/>
              </w:rPr>
            </w:pPr>
            <w:r>
              <w:rPr>
                <w:rFonts w:hint="eastAsia" w:ascii="Calibri" w:hAnsi="Calibri" w:cs="黑体"/>
                <w:color w:val="auto"/>
                <w:sz w:val="22"/>
                <w:szCs w:val="20"/>
              </w:rPr>
              <w:t>具有搬运相关工作经验</w:t>
            </w:r>
          </w:p>
        </w:tc>
        <w:tc>
          <w:tcPr>
            <w:tcW w:w="1203" w:type="dxa"/>
            <w:vAlign w:val="center"/>
          </w:tcPr>
          <w:p>
            <w:pPr>
              <w:jc w:val="center"/>
              <w:rPr>
                <w:rFonts w:ascii="Calibri" w:hAnsi="Calibri" w:cs="黑体"/>
                <w:color w:val="auto"/>
                <w:sz w:val="22"/>
                <w:szCs w:val="20"/>
              </w:rPr>
            </w:pPr>
            <w:r>
              <w:rPr>
                <w:rFonts w:hint="eastAsia" w:ascii="Calibri" w:hAnsi="Calibri" w:cs="黑体"/>
                <w:color w:val="auto"/>
                <w:sz w:val="22"/>
                <w:szCs w:val="20"/>
              </w:rPr>
              <w:t>8小时</w:t>
            </w:r>
          </w:p>
        </w:tc>
        <w:tc>
          <w:tcPr>
            <w:tcW w:w="923" w:type="dxa"/>
            <w:vAlign w:val="center"/>
          </w:tcPr>
          <w:p>
            <w:pPr>
              <w:jc w:val="center"/>
              <w:rPr>
                <w:rFonts w:ascii="Calibri" w:hAnsi="Calibri"/>
                <w:color w:val="auto"/>
                <w:sz w:val="22"/>
                <w:szCs w:val="21"/>
                <w:highlight w:val="yellow"/>
              </w:rPr>
            </w:pPr>
            <w:r>
              <w:rPr>
                <w:rFonts w:hint="eastAsia" w:ascii="Calibri" w:hAnsi="Calibri" w:cs="黑体"/>
                <w:color w:val="auto"/>
                <w:sz w:val="22"/>
                <w:szCs w:val="20"/>
              </w:rPr>
              <w:t>937.5工时</w:t>
            </w:r>
          </w:p>
        </w:tc>
        <w:tc>
          <w:tcPr>
            <w:tcW w:w="1219" w:type="dxa"/>
            <w:vAlign w:val="center"/>
          </w:tcPr>
          <w:p>
            <w:pPr>
              <w:jc w:val="center"/>
              <w:rPr>
                <w:rFonts w:ascii="Calibri" w:hAnsi="Calibri"/>
                <w:color w:val="auto"/>
                <w:sz w:val="22"/>
                <w:szCs w:val="21"/>
                <w:highlight w:val="yellow"/>
              </w:rPr>
            </w:pPr>
            <w:r>
              <w:rPr>
                <w:rFonts w:hint="eastAsia" w:ascii="Calibri" w:hAnsi="Calibri"/>
                <w:color w:val="auto"/>
                <w:sz w:val="22"/>
                <w:szCs w:val="21"/>
              </w:rPr>
              <w:t>20</w:t>
            </w:r>
          </w:p>
        </w:tc>
        <w:tc>
          <w:tcPr>
            <w:tcW w:w="1191" w:type="dxa"/>
            <w:vAlign w:val="center"/>
          </w:tcPr>
          <w:p>
            <w:pPr>
              <w:jc w:val="center"/>
              <w:rPr>
                <w:rFonts w:ascii="Calibri" w:hAnsi="Calibri" w:cs="黑体"/>
                <w:color w:val="auto"/>
                <w:sz w:val="22"/>
                <w:szCs w:val="20"/>
              </w:rPr>
            </w:pPr>
            <w:r>
              <w:rPr>
                <w:rFonts w:hint="eastAsia" w:ascii="Calibri" w:hAnsi="Calibri" w:cs="黑体"/>
                <w:color w:val="auto"/>
                <w:sz w:val="22"/>
                <w:szCs w:val="20"/>
              </w:rPr>
              <w:t>150000</w:t>
            </w:r>
          </w:p>
        </w:tc>
        <w:tc>
          <w:tcPr>
            <w:tcW w:w="1301" w:type="dxa"/>
            <w:vAlign w:val="top"/>
          </w:tcPr>
          <w:p>
            <w:pPr>
              <w:jc w:val="center"/>
              <w:rPr>
                <w:rFonts w:ascii="Calibri" w:hAnsi="Calibri" w:cs="黑体"/>
                <w:color w:val="auto"/>
                <w:sz w:val="22"/>
                <w:szCs w:val="20"/>
              </w:rPr>
            </w:pPr>
            <w:r>
              <w:rPr>
                <w:rFonts w:hint="eastAsia" w:ascii="Calibri" w:hAnsi="Calibri" w:cs="黑体"/>
                <w:color w:val="auto"/>
                <w:sz w:val="22"/>
                <w:szCs w:val="20"/>
              </w:rPr>
              <w:t>该项目为2024年馆内搬运，服务期为12个月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318" w:type="dxa"/>
            <w:vAlign w:val="center"/>
          </w:tcPr>
          <w:p>
            <w:pPr>
              <w:jc w:val="center"/>
              <w:rPr>
                <w:rFonts w:ascii="Calibri" w:hAnsi="Calibri" w:cs="黑体"/>
                <w:color w:val="auto"/>
                <w:sz w:val="22"/>
                <w:szCs w:val="20"/>
              </w:rPr>
            </w:pPr>
            <w:r>
              <w:rPr>
                <w:rFonts w:hint="eastAsia" w:ascii="Calibri" w:hAnsi="Calibri" w:cs="黑体"/>
                <w:color w:val="auto"/>
                <w:sz w:val="22"/>
                <w:szCs w:val="20"/>
              </w:rPr>
              <w:t>总计</w:t>
            </w:r>
          </w:p>
        </w:tc>
        <w:tc>
          <w:tcPr>
            <w:tcW w:w="6337" w:type="dxa"/>
            <w:gridSpan w:val="5"/>
            <w:vAlign w:val="center"/>
          </w:tcPr>
          <w:p>
            <w:pPr>
              <w:jc w:val="center"/>
              <w:rPr>
                <w:rFonts w:ascii="Calibri" w:hAnsi="Calibri" w:cs="黑体"/>
                <w:color w:val="auto"/>
                <w:sz w:val="22"/>
                <w:szCs w:val="20"/>
              </w:rPr>
            </w:pPr>
            <w:r>
              <w:rPr>
                <w:rFonts w:hint="eastAsia" w:ascii="Calibri" w:hAnsi="Calibri" w:cs="黑体"/>
                <w:color w:val="auto"/>
                <w:sz w:val="22"/>
                <w:szCs w:val="20"/>
              </w:rPr>
              <w:t>150000元（以上价格为含税价）</w:t>
            </w:r>
          </w:p>
        </w:tc>
        <w:tc>
          <w:tcPr>
            <w:tcW w:w="1301" w:type="dxa"/>
            <w:vAlign w:val="top"/>
          </w:tcPr>
          <w:p>
            <w:pPr>
              <w:jc w:val="center"/>
              <w:rPr>
                <w:rFonts w:ascii="Calibri" w:hAnsi="Calibri" w:cs="黑体"/>
                <w:color w:val="auto"/>
                <w:sz w:val="22"/>
                <w:szCs w:val="20"/>
              </w:rPr>
            </w:pP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150000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olor w:val="auto"/>
          <w:sz w:val="24"/>
          <w:lang w:val="en-US" w:eastAsia="zh-CN"/>
        </w:rPr>
        <w:t>1</w:t>
      </w:r>
      <w:r>
        <w:rPr>
          <w:rFonts w:hint="eastAsia" w:cs="宋体"/>
          <w:color w:val="auto"/>
          <w:sz w:val="24"/>
        </w:rPr>
        <w:t>月</w:t>
      </w:r>
      <w:r>
        <w:rPr>
          <w:rFonts w:hint="eastAsia"/>
          <w:color w:val="auto"/>
          <w:sz w:val="24"/>
          <w:lang w:val="en-US" w:eastAsia="zh-CN"/>
        </w:rPr>
        <w:t>23</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24</w:t>
      </w:r>
      <w:r>
        <w:rPr>
          <w:color w:val="auto"/>
          <w:sz w:val="24"/>
        </w:rPr>
        <w:t>年</w:t>
      </w:r>
      <w:r>
        <w:rPr>
          <w:rFonts w:hint="eastAsia"/>
          <w:color w:val="auto"/>
          <w:sz w:val="24"/>
        </w:rPr>
        <w:t xml:space="preserve"> 1</w:t>
      </w:r>
      <w:r>
        <w:rPr>
          <w:color w:val="auto"/>
          <w:sz w:val="24"/>
        </w:rPr>
        <w:t>月</w:t>
      </w:r>
      <w:r>
        <w:rPr>
          <w:rFonts w:hint="eastAsia"/>
          <w:color w:val="auto"/>
          <w:sz w:val="24"/>
          <w:lang w:val="en-US" w:eastAsia="zh-CN"/>
        </w:rPr>
        <w:t>22</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湖北省博物馆搬运项目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湖北省博物馆馆内搬运工作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谈判之日起30个日历日内保持有效。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成交供应商在收到成交通知书后，三十日内与采购人签订搬运服务合同。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3"/>
        <w:tblW w:w="8956" w:type="dxa"/>
        <w:jc w:val="center"/>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801"/>
        <w:gridCol w:w="1203"/>
        <w:gridCol w:w="923"/>
        <w:gridCol w:w="1219"/>
        <w:gridCol w:w="11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318" w:type="dxa"/>
            <w:vAlign w:val="center"/>
          </w:tcPr>
          <w:p>
            <w:pPr>
              <w:jc w:val="center"/>
              <w:rPr>
                <w:rFonts w:ascii="Calibri" w:hAnsi="Calibri" w:cs="黑体"/>
                <w:color w:val="auto"/>
                <w:sz w:val="22"/>
                <w:szCs w:val="20"/>
              </w:rPr>
            </w:pPr>
            <w:r>
              <w:rPr>
                <w:rFonts w:hint="eastAsia" w:ascii="Calibri" w:hAnsi="Calibri" w:cs="黑体"/>
                <w:color w:val="auto"/>
                <w:sz w:val="22"/>
                <w:szCs w:val="20"/>
              </w:rPr>
              <w:t>项目名称</w:t>
            </w:r>
          </w:p>
        </w:tc>
        <w:tc>
          <w:tcPr>
            <w:tcW w:w="1801" w:type="dxa"/>
            <w:vAlign w:val="center"/>
          </w:tcPr>
          <w:p>
            <w:pPr>
              <w:jc w:val="center"/>
              <w:rPr>
                <w:rFonts w:ascii="Calibri" w:hAnsi="Calibri" w:cs="黑体"/>
                <w:color w:val="auto"/>
                <w:sz w:val="22"/>
                <w:szCs w:val="20"/>
              </w:rPr>
            </w:pPr>
            <w:r>
              <w:rPr>
                <w:rFonts w:hint="eastAsia" w:ascii="Calibri" w:hAnsi="Calibri" w:cs="黑体"/>
                <w:color w:val="auto"/>
                <w:sz w:val="22"/>
                <w:szCs w:val="20"/>
              </w:rPr>
              <w:t>参数或指标需求</w:t>
            </w:r>
          </w:p>
        </w:tc>
        <w:tc>
          <w:tcPr>
            <w:tcW w:w="1203" w:type="dxa"/>
            <w:vAlign w:val="center"/>
          </w:tcPr>
          <w:p>
            <w:pPr>
              <w:jc w:val="center"/>
              <w:rPr>
                <w:rFonts w:ascii="Calibri" w:hAnsi="Calibri" w:cs="黑体"/>
                <w:color w:val="auto"/>
                <w:sz w:val="22"/>
                <w:szCs w:val="20"/>
              </w:rPr>
            </w:pPr>
            <w:r>
              <w:rPr>
                <w:rFonts w:hint="eastAsia" w:ascii="Calibri" w:hAnsi="Calibri" w:cs="黑体"/>
                <w:color w:val="auto"/>
                <w:sz w:val="22"/>
                <w:szCs w:val="20"/>
              </w:rPr>
              <w:t>预计工时</w:t>
            </w:r>
          </w:p>
        </w:tc>
        <w:tc>
          <w:tcPr>
            <w:tcW w:w="923" w:type="dxa"/>
            <w:vAlign w:val="center"/>
          </w:tcPr>
          <w:p>
            <w:pPr>
              <w:jc w:val="center"/>
              <w:rPr>
                <w:rFonts w:ascii="Calibri" w:hAnsi="Calibri"/>
                <w:color w:val="auto"/>
                <w:sz w:val="22"/>
                <w:szCs w:val="21"/>
                <w:highlight w:val="yellow"/>
              </w:rPr>
            </w:pPr>
            <w:r>
              <w:rPr>
                <w:rFonts w:hint="eastAsia" w:ascii="Calibri" w:hAnsi="Calibri" w:cs="黑体"/>
                <w:color w:val="auto"/>
                <w:sz w:val="22"/>
                <w:szCs w:val="20"/>
              </w:rPr>
              <w:t>工时累积量</w:t>
            </w:r>
          </w:p>
        </w:tc>
        <w:tc>
          <w:tcPr>
            <w:tcW w:w="1219" w:type="dxa"/>
            <w:vAlign w:val="center"/>
          </w:tcPr>
          <w:p>
            <w:pPr>
              <w:jc w:val="center"/>
              <w:rPr>
                <w:rFonts w:ascii="Calibri" w:hAnsi="Calibri"/>
                <w:color w:val="auto"/>
                <w:sz w:val="22"/>
                <w:szCs w:val="21"/>
                <w:highlight w:val="yellow"/>
              </w:rPr>
            </w:pPr>
            <w:r>
              <w:rPr>
                <w:rFonts w:hint="eastAsia" w:ascii="Calibri" w:hAnsi="Calibri" w:cs="黑体"/>
                <w:color w:val="auto"/>
                <w:sz w:val="22"/>
                <w:szCs w:val="20"/>
              </w:rPr>
              <w:t>工时单价</w:t>
            </w:r>
          </w:p>
        </w:tc>
        <w:tc>
          <w:tcPr>
            <w:tcW w:w="1191" w:type="dxa"/>
            <w:vAlign w:val="center"/>
          </w:tcPr>
          <w:p>
            <w:pPr>
              <w:jc w:val="center"/>
              <w:rPr>
                <w:rFonts w:ascii="Calibri" w:hAnsi="Calibri" w:cs="黑体"/>
                <w:color w:val="auto"/>
                <w:sz w:val="22"/>
                <w:szCs w:val="20"/>
              </w:rPr>
            </w:pPr>
            <w:r>
              <w:rPr>
                <w:rFonts w:hint="eastAsia" w:ascii="Calibri" w:hAnsi="Calibri" w:cs="黑体"/>
                <w:color w:val="auto"/>
                <w:sz w:val="22"/>
                <w:szCs w:val="20"/>
              </w:rPr>
              <w:t>单项合计</w:t>
            </w:r>
          </w:p>
        </w:tc>
        <w:tc>
          <w:tcPr>
            <w:tcW w:w="1301" w:type="dxa"/>
            <w:vAlign w:val="top"/>
          </w:tcPr>
          <w:p>
            <w:pPr>
              <w:tabs>
                <w:tab w:val="left" w:pos="301"/>
                <w:tab w:val="center" w:pos="542"/>
              </w:tabs>
              <w:jc w:val="center"/>
              <w:rPr>
                <w:rFonts w:ascii="Calibri" w:hAnsi="Calibri" w:cs="黑体"/>
                <w:color w:val="auto"/>
                <w:sz w:val="22"/>
                <w:szCs w:val="20"/>
              </w:rPr>
            </w:pPr>
          </w:p>
          <w:p>
            <w:pPr>
              <w:tabs>
                <w:tab w:val="left" w:pos="301"/>
                <w:tab w:val="center" w:pos="542"/>
              </w:tabs>
              <w:jc w:val="center"/>
              <w:rPr>
                <w:rFonts w:ascii="Calibri" w:hAnsi="Calibri" w:cs="黑体"/>
                <w:color w:val="auto"/>
                <w:sz w:val="22"/>
                <w:szCs w:val="20"/>
              </w:rPr>
            </w:pPr>
            <w:r>
              <w:rPr>
                <w:rFonts w:hint="eastAsia" w:ascii="Calibri" w:hAnsi="Calibri" w:cs="黑体"/>
                <w:color w:val="auto"/>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318" w:type="dxa"/>
            <w:vAlign w:val="center"/>
          </w:tcPr>
          <w:p>
            <w:pPr>
              <w:jc w:val="center"/>
              <w:rPr>
                <w:rFonts w:ascii="Calibri" w:hAnsi="Calibri" w:cs="黑体"/>
                <w:color w:val="auto"/>
                <w:sz w:val="22"/>
                <w:szCs w:val="20"/>
              </w:rPr>
            </w:pPr>
            <w:r>
              <w:rPr>
                <w:rFonts w:hint="eastAsia" w:ascii="Calibri" w:hAnsi="Calibri" w:cs="黑体"/>
                <w:color w:val="auto"/>
                <w:sz w:val="22"/>
                <w:szCs w:val="20"/>
              </w:rPr>
              <w:t>湖北省博物馆2024年搬运费</w:t>
            </w:r>
          </w:p>
        </w:tc>
        <w:tc>
          <w:tcPr>
            <w:tcW w:w="1801" w:type="dxa"/>
            <w:vAlign w:val="center"/>
          </w:tcPr>
          <w:p>
            <w:pPr>
              <w:jc w:val="center"/>
              <w:rPr>
                <w:rFonts w:ascii="Calibri" w:hAnsi="Calibri" w:cs="黑体"/>
                <w:color w:val="auto"/>
                <w:sz w:val="22"/>
                <w:szCs w:val="20"/>
              </w:rPr>
            </w:pPr>
            <w:r>
              <w:rPr>
                <w:rFonts w:hint="eastAsia" w:ascii="Calibri" w:hAnsi="Calibri" w:cs="黑体"/>
                <w:color w:val="auto"/>
                <w:sz w:val="22"/>
                <w:szCs w:val="20"/>
              </w:rPr>
              <w:t>具有搬运相关工作经验</w:t>
            </w:r>
          </w:p>
        </w:tc>
        <w:tc>
          <w:tcPr>
            <w:tcW w:w="1203" w:type="dxa"/>
            <w:vAlign w:val="center"/>
          </w:tcPr>
          <w:p>
            <w:pPr>
              <w:jc w:val="center"/>
              <w:rPr>
                <w:rFonts w:ascii="Calibri" w:hAnsi="Calibri" w:cs="黑体"/>
                <w:color w:val="auto"/>
                <w:sz w:val="22"/>
                <w:szCs w:val="20"/>
              </w:rPr>
            </w:pPr>
            <w:r>
              <w:rPr>
                <w:rFonts w:hint="eastAsia" w:ascii="Calibri" w:hAnsi="Calibri" w:cs="黑体"/>
                <w:color w:val="auto"/>
                <w:sz w:val="22"/>
                <w:szCs w:val="20"/>
              </w:rPr>
              <w:t>8小时</w:t>
            </w:r>
          </w:p>
        </w:tc>
        <w:tc>
          <w:tcPr>
            <w:tcW w:w="923" w:type="dxa"/>
            <w:vAlign w:val="center"/>
          </w:tcPr>
          <w:p>
            <w:pPr>
              <w:jc w:val="center"/>
              <w:rPr>
                <w:rFonts w:ascii="Calibri" w:hAnsi="Calibri"/>
                <w:color w:val="auto"/>
                <w:sz w:val="22"/>
                <w:szCs w:val="21"/>
                <w:highlight w:val="yellow"/>
              </w:rPr>
            </w:pPr>
            <w:r>
              <w:rPr>
                <w:rFonts w:hint="eastAsia" w:ascii="Calibri" w:hAnsi="Calibri" w:cs="黑体"/>
                <w:color w:val="auto"/>
                <w:sz w:val="22"/>
                <w:szCs w:val="20"/>
              </w:rPr>
              <w:t>937.5工时</w:t>
            </w:r>
          </w:p>
        </w:tc>
        <w:tc>
          <w:tcPr>
            <w:tcW w:w="1219" w:type="dxa"/>
            <w:vAlign w:val="center"/>
          </w:tcPr>
          <w:p>
            <w:pPr>
              <w:jc w:val="center"/>
              <w:rPr>
                <w:rFonts w:ascii="Calibri" w:hAnsi="Calibri"/>
                <w:color w:val="auto"/>
                <w:sz w:val="22"/>
                <w:szCs w:val="21"/>
                <w:highlight w:val="yellow"/>
              </w:rPr>
            </w:pPr>
            <w:r>
              <w:rPr>
                <w:rFonts w:hint="eastAsia" w:ascii="Calibri" w:hAnsi="Calibri"/>
                <w:color w:val="auto"/>
                <w:sz w:val="22"/>
                <w:szCs w:val="21"/>
              </w:rPr>
              <w:t>20</w:t>
            </w:r>
          </w:p>
        </w:tc>
        <w:tc>
          <w:tcPr>
            <w:tcW w:w="1191" w:type="dxa"/>
            <w:vAlign w:val="center"/>
          </w:tcPr>
          <w:p>
            <w:pPr>
              <w:jc w:val="center"/>
              <w:rPr>
                <w:rFonts w:ascii="Calibri" w:hAnsi="Calibri" w:cs="黑体"/>
                <w:color w:val="auto"/>
                <w:sz w:val="22"/>
                <w:szCs w:val="20"/>
              </w:rPr>
            </w:pPr>
            <w:r>
              <w:rPr>
                <w:rFonts w:hint="eastAsia" w:ascii="Calibri" w:hAnsi="Calibri" w:cs="黑体"/>
                <w:color w:val="auto"/>
                <w:sz w:val="22"/>
                <w:szCs w:val="20"/>
              </w:rPr>
              <w:t>150000</w:t>
            </w:r>
          </w:p>
        </w:tc>
        <w:tc>
          <w:tcPr>
            <w:tcW w:w="1301" w:type="dxa"/>
            <w:vAlign w:val="top"/>
          </w:tcPr>
          <w:p>
            <w:pPr>
              <w:jc w:val="center"/>
              <w:rPr>
                <w:rFonts w:ascii="Calibri" w:hAnsi="Calibri" w:cs="黑体"/>
                <w:color w:val="auto"/>
                <w:sz w:val="22"/>
                <w:szCs w:val="20"/>
              </w:rPr>
            </w:pPr>
            <w:r>
              <w:rPr>
                <w:rFonts w:hint="eastAsia" w:ascii="Calibri" w:hAnsi="Calibri" w:cs="黑体"/>
                <w:color w:val="auto"/>
                <w:sz w:val="22"/>
                <w:szCs w:val="20"/>
              </w:rPr>
              <w:t>该项目为2024年馆内搬运，服务期为12个月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318" w:type="dxa"/>
            <w:vAlign w:val="center"/>
          </w:tcPr>
          <w:p>
            <w:pPr>
              <w:jc w:val="center"/>
              <w:rPr>
                <w:rFonts w:ascii="Calibri" w:hAnsi="Calibri" w:cs="黑体"/>
                <w:color w:val="auto"/>
                <w:sz w:val="22"/>
                <w:szCs w:val="20"/>
              </w:rPr>
            </w:pPr>
            <w:r>
              <w:rPr>
                <w:rFonts w:hint="eastAsia" w:ascii="Calibri" w:hAnsi="Calibri" w:cs="黑体"/>
                <w:color w:val="auto"/>
                <w:sz w:val="22"/>
                <w:szCs w:val="20"/>
              </w:rPr>
              <w:t>总计</w:t>
            </w:r>
          </w:p>
        </w:tc>
        <w:tc>
          <w:tcPr>
            <w:tcW w:w="6337" w:type="dxa"/>
            <w:gridSpan w:val="5"/>
            <w:vAlign w:val="center"/>
          </w:tcPr>
          <w:p>
            <w:pPr>
              <w:jc w:val="center"/>
              <w:rPr>
                <w:rFonts w:ascii="Calibri" w:hAnsi="Calibri" w:cs="黑体"/>
                <w:color w:val="auto"/>
                <w:sz w:val="22"/>
                <w:szCs w:val="20"/>
              </w:rPr>
            </w:pPr>
            <w:r>
              <w:rPr>
                <w:rFonts w:hint="eastAsia" w:ascii="Calibri" w:hAnsi="Calibri" w:cs="黑体"/>
                <w:color w:val="auto"/>
                <w:sz w:val="22"/>
                <w:szCs w:val="20"/>
              </w:rPr>
              <w:t>150000元（以上价格为含税价）</w:t>
            </w:r>
          </w:p>
        </w:tc>
        <w:tc>
          <w:tcPr>
            <w:tcW w:w="1301" w:type="dxa"/>
            <w:vAlign w:val="top"/>
          </w:tcPr>
          <w:p>
            <w:pPr>
              <w:jc w:val="center"/>
              <w:rPr>
                <w:rFonts w:ascii="Calibri" w:hAnsi="Calibri" w:cs="黑体"/>
                <w:color w:val="auto"/>
                <w:sz w:val="22"/>
                <w:szCs w:val="20"/>
              </w:rPr>
            </w:pP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所有搬运货物要在规定时间内运输完毕。</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严禁损坏或遗失所搬运物品，不得违反规定往非规定地点搬运物品。</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搬运车装运量应以车辆的额定荷载和有效容积为限，不得超重、超高运输。</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2.1.1交货时间：合同签订之日起365个日历天内实施完毕。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2.1.4验收要求：搬运项目竣工后，经采购人验收签字认可。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pStyle w:val="12"/>
        <w:spacing w:line="440" w:lineRule="exact"/>
        <w:ind w:left="240" w:hanging="240" w:hangingChars="100"/>
        <w:rPr>
          <w:rFonts w:ascii="宋体" w:hAnsi="宋体"/>
          <w:color w:val="auto"/>
          <w:sz w:val="24"/>
        </w:rPr>
      </w:pPr>
      <w:r>
        <w:rPr>
          <w:rFonts w:hint="eastAsia" w:ascii="宋体" w:hAnsi="宋体"/>
          <w:color w:val="auto"/>
          <w:sz w:val="24"/>
        </w:rPr>
        <w:t>2.1.7</w:t>
      </w:r>
      <w:r>
        <w:rPr>
          <w:rFonts w:hint="eastAsia" w:ascii="宋体" w:hAnsi="宋体" w:cs="Times New Roman"/>
          <w:color w:val="auto"/>
          <w:sz w:val="24"/>
        </w:rPr>
        <w:t>付款方式：合同期满后按派工单据实结算，结算额不得超过合同金额。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2.2.1服务要求：成交服务商提供所投本单位1年的搬运服务。服务商在此项目后期的服务中，若出现货物需要搬运，服务商应1小时内响应，1小时内到场搬运完货物，保证工作正常进行。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2.2.2其他服务要求：服务商须提供所投提供服务机构情况，包括地址、联系方式及搬运人员数量等。提供服务厂家完整的随机资料，包括完整的搬运标准手册等。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bookmarkStart w:id="0" w:name="_GoBack"/>
      <w:bookmarkEnd w:id="0"/>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45599622">
    <w:nsid w:val="D94B6F86"/>
    <w:multiLevelType w:val="singleLevel"/>
    <w:tmpl w:val="D94B6F86"/>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2F5"/>
    <w:rsid w:val="00367552"/>
    <w:rsid w:val="00370D67"/>
    <w:rsid w:val="003778E0"/>
    <w:rsid w:val="00387D9A"/>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1EA7"/>
    <w:rsid w:val="00776770"/>
    <w:rsid w:val="00784E0E"/>
    <w:rsid w:val="00786F69"/>
    <w:rsid w:val="0079176F"/>
    <w:rsid w:val="007A0A46"/>
    <w:rsid w:val="007A4516"/>
    <w:rsid w:val="007A75D0"/>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42FE"/>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523CF"/>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94FD5"/>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85CA6"/>
    <w:rsid w:val="00F92593"/>
    <w:rsid w:val="00F93F9A"/>
    <w:rsid w:val="00F968C6"/>
    <w:rsid w:val="00FA0EC8"/>
    <w:rsid w:val="00FC1453"/>
    <w:rsid w:val="00FC268F"/>
    <w:rsid w:val="00FD0892"/>
    <w:rsid w:val="00FD58F6"/>
    <w:rsid w:val="00FE026B"/>
    <w:rsid w:val="00FE5A8A"/>
    <w:rsid w:val="00FE6C0D"/>
    <w:rsid w:val="00FF0CBB"/>
    <w:rsid w:val="00FF1DE8"/>
    <w:rsid w:val="00FF6097"/>
    <w:rsid w:val="01773B5E"/>
    <w:rsid w:val="018D3F4D"/>
    <w:rsid w:val="01C66C3B"/>
    <w:rsid w:val="03612DA3"/>
    <w:rsid w:val="04226055"/>
    <w:rsid w:val="04DB7BEF"/>
    <w:rsid w:val="0700063B"/>
    <w:rsid w:val="07393273"/>
    <w:rsid w:val="07D124CE"/>
    <w:rsid w:val="08DA62A9"/>
    <w:rsid w:val="0913387A"/>
    <w:rsid w:val="09D26BC8"/>
    <w:rsid w:val="0A9D4CAC"/>
    <w:rsid w:val="0C8255EE"/>
    <w:rsid w:val="0D1901EE"/>
    <w:rsid w:val="0F1C09DF"/>
    <w:rsid w:val="10586EB9"/>
    <w:rsid w:val="106E529C"/>
    <w:rsid w:val="10FD66D2"/>
    <w:rsid w:val="11967E7A"/>
    <w:rsid w:val="125176AF"/>
    <w:rsid w:val="12A91E39"/>
    <w:rsid w:val="132B161A"/>
    <w:rsid w:val="133E3233"/>
    <w:rsid w:val="14BB617E"/>
    <w:rsid w:val="155142DC"/>
    <w:rsid w:val="16563130"/>
    <w:rsid w:val="173B16C8"/>
    <w:rsid w:val="17B01841"/>
    <w:rsid w:val="17B27180"/>
    <w:rsid w:val="185D02E7"/>
    <w:rsid w:val="19332873"/>
    <w:rsid w:val="1A294B9B"/>
    <w:rsid w:val="1AA23125"/>
    <w:rsid w:val="1C7D6C65"/>
    <w:rsid w:val="1CA40F8A"/>
    <w:rsid w:val="1D165C2D"/>
    <w:rsid w:val="1D67578F"/>
    <w:rsid w:val="1DC0735E"/>
    <w:rsid w:val="1F273759"/>
    <w:rsid w:val="1F401032"/>
    <w:rsid w:val="20CA31BA"/>
    <w:rsid w:val="25361E42"/>
    <w:rsid w:val="255149FF"/>
    <w:rsid w:val="25F62C4D"/>
    <w:rsid w:val="273274A4"/>
    <w:rsid w:val="273B50FE"/>
    <w:rsid w:val="278B3A77"/>
    <w:rsid w:val="28403BE4"/>
    <w:rsid w:val="28CD1B66"/>
    <w:rsid w:val="28CF031E"/>
    <w:rsid w:val="2A1B0B32"/>
    <w:rsid w:val="2A8A1893"/>
    <w:rsid w:val="2AF21386"/>
    <w:rsid w:val="2B0D4D76"/>
    <w:rsid w:val="2B510D71"/>
    <w:rsid w:val="2C2530AC"/>
    <w:rsid w:val="2D3227BF"/>
    <w:rsid w:val="2E533D90"/>
    <w:rsid w:val="2EB07F7C"/>
    <w:rsid w:val="2F1F48ED"/>
    <w:rsid w:val="2F9A55C6"/>
    <w:rsid w:val="2FE16093"/>
    <w:rsid w:val="301179E0"/>
    <w:rsid w:val="306A31B9"/>
    <w:rsid w:val="31172B5C"/>
    <w:rsid w:val="332B7927"/>
    <w:rsid w:val="33682E05"/>
    <w:rsid w:val="338828D9"/>
    <w:rsid w:val="34A864D7"/>
    <w:rsid w:val="34C27DF5"/>
    <w:rsid w:val="38464BFE"/>
    <w:rsid w:val="38AC6F70"/>
    <w:rsid w:val="3A700350"/>
    <w:rsid w:val="3BC12009"/>
    <w:rsid w:val="3BD410D5"/>
    <w:rsid w:val="3BE03CEA"/>
    <w:rsid w:val="3BE0447C"/>
    <w:rsid w:val="3BF859E1"/>
    <w:rsid w:val="3CF42AF8"/>
    <w:rsid w:val="3D50055B"/>
    <w:rsid w:val="3FBD4460"/>
    <w:rsid w:val="404E51C0"/>
    <w:rsid w:val="418663AF"/>
    <w:rsid w:val="41877BA5"/>
    <w:rsid w:val="41C07F18"/>
    <w:rsid w:val="42433829"/>
    <w:rsid w:val="42DD13E6"/>
    <w:rsid w:val="42F52A14"/>
    <w:rsid w:val="45134543"/>
    <w:rsid w:val="455E056E"/>
    <w:rsid w:val="45A17BBD"/>
    <w:rsid w:val="4814454F"/>
    <w:rsid w:val="48E8072E"/>
    <w:rsid w:val="4A7F5A23"/>
    <w:rsid w:val="4BA12165"/>
    <w:rsid w:val="4BEB1510"/>
    <w:rsid w:val="4C6725B0"/>
    <w:rsid w:val="4C750127"/>
    <w:rsid w:val="4CEE471B"/>
    <w:rsid w:val="4D4004D3"/>
    <w:rsid w:val="4DF57970"/>
    <w:rsid w:val="4E71186B"/>
    <w:rsid w:val="4E770F33"/>
    <w:rsid w:val="4EB70ABF"/>
    <w:rsid w:val="4F083E80"/>
    <w:rsid w:val="507F09A9"/>
    <w:rsid w:val="51894733"/>
    <w:rsid w:val="51987AEC"/>
    <w:rsid w:val="54501CDF"/>
    <w:rsid w:val="547774F5"/>
    <w:rsid w:val="55F63289"/>
    <w:rsid w:val="571F6DB9"/>
    <w:rsid w:val="57372CE0"/>
    <w:rsid w:val="586059FC"/>
    <w:rsid w:val="59195DB2"/>
    <w:rsid w:val="596D24AD"/>
    <w:rsid w:val="5ABA4FFA"/>
    <w:rsid w:val="5CA93C41"/>
    <w:rsid w:val="5DF53BF6"/>
    <w:rsid w:val="5EBA4132"/>
    <w:rsid w:val="600A6E4D"/>
    <w:rsid w:val="604C74E6"/>
    <w:rsid w:val="606C1145"/>
    <w:rsid w:val="615474CF"/>
    <w:rsid w:val="62020085"/>
    <w:rsid w:val="635D4EE9"/>
    <w:rsid w:val="64773F46"/>
    <w:rsid w:val="655D7BC8"/>
    <w:rsid w:val="66A052DD"/>
    <w:rsid w:val="66ED55F3"/>
    <w:rsid w:val="67092F20"/>
    <w:rsid w:val="67DE2609"/>
    <w:rsid w:val="68550240"/>
    <w:rsid w:val="6957025A"/>
    <w:rsid w:val="6AA0506B"/>
    <w:rsid w:val="6AAE34BA"/>
    <w:rsid w:val="6B4704F4"/>
    <w:rsid w:val="6BC84C25"/>
    <w:rsid w:val="6C645BE9"/>
    <w:rsid w:val="6EA02088"/>
    <w:rsid w:val="6EC954CC"/>
    <w:rsid w:val="6F063F60"/>
    <w:rsid w:val="6F764F0F"/>
    <w:rsid w:val="71980CE3"/>
    <w:rsid w:val="734279DC"/>
    <w:rsid w:val="74210CA6"/>
    <w:rsid w:val="743433DD"/>
    <w:rsid w:val="744D7F25"/>
    <w:rsid w:val="74716835"/>
    <w:rsid w:val="75301EB1"/>
    <w:rsid w:val="75884695"/>
    <w:rsid w:val="77DB3B01"/>
    <w:rsid w:val="78976537"/>
    <w:rsid w:val="789F23C3"/>
    <w:rsid w:val="78D62D50"/>
    <w:rsid w:val="792E3DC0"/>
    <w:rsid w:val="79E17CE7"/>
    <w:rsid w:val="7A7727F0"/>
    <w:rsid w:val="7B691391"/>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1486</Words>
  <Characters>8473</Characters>
  <Lines>70</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2021-03-29T03:37:00Z</cp:lastPrinted>
  <dcterms:modified xsi:type="dcterms:W3CDTF">2024-01-22T02:22:35Z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EEF83F7A346741A8BE7F4AEC4D8AECF5</vt:lpwstr>
  </property>
</Properties>
</file>