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w w:val="66"/>
          <w:sz w:val="120"/>
          <w:szCs w:val="120"/>
        </w:rPr>
      </w:pPr>
      <w:r>
        <w:rPr>
          <w:rFonts w:hint="eastAsia" w:asciiTheme="minorEastAsia" w:hAnsiTheme="minorEastAsia" w:eastAsiaTheme="minorEastAsia" w:cstheme="minorEastAsia"/>
          <w:w w:val="66"/>
          <w:sz w:val="120"/>
          <w:szCs w:val="120"/>
        </w:rPr>
        <w:t>竞争性谈判文件</w:t>
      </w:r>
    </w:p>
    <w:p>
      <w:pPr>
        <w:jc w:val="center"/>
        <w:rPr>
          <w:rFonts w:asciiTheme="minorEastAsia" w:hAnsiTheme="minorEastAsia" w:eastAsiaTheme="minorEastAsia" w:cstheme="minorEastAsia"/>
          <w:sz w:val="44"/>
        </w:rPr>
      </w:pPr>
    </w:p>
    <w:p>
      <w:pPr>
        <w:jc w:val="center"/>
        <w:rPr>
          <w:rFonts w:asciiTheme="minorEastAsia" w:hAnsiTheme="minorEastAsia" w:eastAsiaTheme="minorEastAsia" w:cstheme="minorEastAsia"/>
          <w:sz w:val="44"/>
        </w:rPr>
      </w:pPr>
    </w:p>
    <w:p>
      <w:pPr>
        <w:ind w:firstLine="1440" w:firstLineChars="400"/>
        <w:rPr>
          <w:rFonts w:asciiTheme="minorEastAsia" w:hAnsiTheme="minorEastAsia" w:eastAsiaTheme="minorEastAsia" w:cstheme="minorEastAsia"/>
          <w:sz w:val="36"/>
        </w:rPr>
      </w:pPr>
    </w:p>
    <w:p>
      <w:pPr>
        <w:spacing w:line="480" w:lineRule="auto"/>
        <w:ind w:left="958" w:leftChars="34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w:t>
      </w:r>
      <w:bookmarkStart w:id="0" w:name="_Hlk154136899"/>
      <w:r>
        <w:rPr>
          <w:rFonts w:hint="eastAsia" w:asciiTheme="minorEastAsia" w:hAnsiTheme="minorEastAsia" w:eastAsiaTheme="minorEastAsia" w:cstheme="minorEastAsia"/>
          <w:sz w:val="32"/>
          <w:szCs w:val="32"/>
        </w:rPr>
        <w:t>湖北考古博物馆</w:t>
      </w:r>
      <w:r>
        <w:rPr>
          <w:rFonts w:hint="eastAsia" w:asciiTheme="minorEastAsia" w:hAnsiTheme="minorEastAsia" w:eastAsiaTheme="minorEastAsia" w:cstheme="minorEastAsia"/>
          <w:sz w:val="32"/>
          <w:szCs w:val="32"/>
          <w:lang w:val="en-US" w:eastAsia="zh-CN"/>
        </w:rPr>
        <w:t>厕所维修</w:t>
      </w:r>
      <w:r>
        <w:rPr>
          <w:rFonts w:hint="eastAsia" w:asciiTheme="minorEastAsia" w:hAnsiTheme="minorEastAsia" w:eastAsiaTheme="minorEastAsia" w:cstheme="minorEastAsia"/>
          <w:sz w:val="32"/>
          <w:szCs w:val="32"/>
        </w:rPr>
        <w:t>服务采购项目</w:t>
      </w:r>
      <w:bookmarkEnd w:id="0"/>
    </w:p>
    <w:p>
      <w:pPr>
        <w:spacing w:line="480" w:lineRule="auto"/>
        <w:ind w:left="958" w:leftChars="342"/>
        <w:rPr>
          <w:rFonts w:asciiTheme="minorEastAsia" w:hAnsiTheme="minorEastAsia" w:eastAsiaTheme="minorEastAsia" w:cstheme="minorEastAsia"/>
          <w:sz w:val="32"/>
          <w:szCs w:val="32"/>
          <w:highlight w:val="red"/>
        </w:rPr>
      </w:pPr>
      <w:r>
        <w:rPr>
          <w:rFonts w:hint="eastAsia" w:asciiTheme="minorEastAsia" w:hAnsiTheme="minorEastAsia" w:eastAsiaTheme="minorEastAsia" w:cstheme="minorEastAsia"/>
          <w:sz w:val="32"/>
          <w:szCs w:val="32"/>
        </w:rPr>
        <w:t>谈判内容：</w:t>
      </w:r>
      <w:r>
        <w:rPr>
          <w:rFonts w:hint="eastAsia" w:asciiTheme="minorEastAsia" w:hAnsiTheme="minorEastAsia" w:eastAsiaTheme="minorEastAsia" w:cstheme="minorEastAsia"/>
          <w:sz w:val="32"/>
          <w:szCs w:val="32"/>
          <w:lang w:val="en-US" w:eastAsia="zh-CN"/>
        </w:rPr>
        <w:t>厕所维修</w:t>
      </w:r>
      <w:r>
        <w:rPr>
          <w:rFonts w:hint="eastAsia" w:asciiTheme="minorEastAsia" w:hAnsiTheme="minorEastAsia" w:eastAsiaTheme="minorEastAsia" w:cstheme="minorEastAsia"/>
          <w:sz w:val="32"/>
          <w:szCs w:val="32"/>
        </w:rPr>
        <w:t>服务</w:t>
      </w:r>
    </w:p>
    <w:p>
      <w:pPr>
        <w:tabs>
          <w:tab w:val="left" w:pos="2625"/>
        </w:tabs>
        <w:spacing w:line="480" w:lineRule="auto"/>
        <w:jc w:val="center"/>
        <w:rPr>
          <w:rFonts w:asciiTheme="minorEastAsia" w:hAnsiTheme="minorEastAsia" w:eastAsiaTheme="minorEastAsia" w:cstheme="minorEastAsia"/>
          <w:sz w:val="32"/>
          <w:highlight w:val="red"/>
        </w:rPr>
      </w:pPr>
    </w:p>
    <w:p>
      <w:pPr>
        <w:tabs>
          <w:tab w:val="left" w:pos="2625"/>
        </w:tabs>
        <w:spacing w:line="520" w:lineRule="exact"/>
        <w:jc w:val="center"/>
        <w:rPr>
          <w:rFonts w:asciiTheme="minorEastAsia" w:hAnsiTheme="minorEastAsia" w:eastAsiaTheme="minorEastAsia" w:cstheme="minorEastAsia"/>
          <w:sz w:val="32"/>
        </w:rPr>
      </w:pPr>
    </w:p>
    <w:p>
      <w:pPr>
        <w:tabs>
          <w:tab w:val="left" w:pos="2625"/>
        </w:tabs>
        <w:spacing w:line="520" w:lineRule="exact"/>
        <w:jc w:val="center"/>
        <w:rPr>
          <w:rFonts w:asciiTheme="minorEastAsia" w:hAnsiTheme="minorEastAsia" w:eastAsiaTheme="minorEastAsia" w:cstheme="minorEastAsia"/>
          <w:sz w:val="32"/>
        </w:rPr>
      </w:pPr>
    </w:p>
    <w:p>
      <w:pPr>
        <w:tabs>
          <w:tab w:val="left" w:pos="2625"/>
        </w:tabs>
        <w:spacing w:line="520" w:lineRule="exact"/>
        <w:jc w:val="center"/>
        <w:rPr>
          <w:rFonts w:asciiTheme="minorEastAsia" w:hAnsiTheme="minorEastAsia" w:eastAsiaTheme="minorEastAsia" w:cstheme="minorEastAsia"/>
          <w:sz w:val="36"/>
        </w:rPr>
      </w:pPr>
    </w:p>
    <w:p>
      <w:pPr>
        <w:tabs>
          <w:tab w:val="left" w:pos="2625"/>
        </w:tabs>
        <w:spacing w:line="520" w:lineRule="exact"/>
        <w:jc w:val="center"/>
        <w:rPr>
          <w:rFonts w:asciiTheme="minorEastAsia" w:hAnsiTheme="minorEastAsia" w:eastAsiaTheme="minorEastAsia" w:cstheme="minorEastAsia"/>
          <w:sz w:val="36"/>
        </w:rPr>
      </w:pPr>
    </w:p>
    <w:p>
      <w:pPr>
        <w:tabs>
          <w:tab w:val="left" w:pos="2625"/>
        </w:tabs>
        <w:spacing w:line="520" w:lineRule="exact"/>
        <w:rPr>
          <w:rFonts w:asciiTheme="minorEastAsia" w:hAnsiTheme="minorEastAsia" w:eastAsiaTheme="minorEastAsia" w:cstheme="minorEastAsia"/>
          <w:sz w:val="36"/>
          <w:highlight w:val="red"/>
        </w:rPr>
      </w:pPr>
    </w:p>
    <w:p>
      <w:pPr>
        <w:spacing w:line="52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湖北省文物考古研究院</w:t>
      </w:r>
    </w:p>
    <w:p>
      <w:pPr>
        <w:spacing w:line="520" w:lineRule="exact"/>
        <w:jc w:val="center"/>
        <w:rPr>
          <w:rFonts w:asciiTheme="minorEastAsia" w:hAnsiTheme="minorEastAsia" w:eastAsiaTheme="minorEastAsia" w:cstheme="minorEastAsia"/>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年1月</w:t>
      </w:r>
    </w:p>
    <w:p>
      <w:pPr>
        <w:jc w:val="center"/>
        <w:rPr>
          <w:rFonts w:asciiTheme="minorEastAsia" w:hAnsiTheme="minorEastAsia" w:eastAsiaTheme="minorEastAsia" w:cstheme="minorEastAsia"/>
          <w:sz w:val="36"/>
          <w:szCs w:val="36"/>
        </w:rPr>
      </w:pPr>
    </w:p>
    <w:p>
      <w:p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目  录</w:t>
      </w:r>
    </w:p>
    <w:p>
      <w:pPr>
        <w:rPr>
          <w:rFonts w:asciiTheme="minorEastAsia" w:hAnsiTheme="minorEastAsia" w:eastAsiaTheme="minorEastAsia" w:cstheme="minorEastAsia"/>
          <w:sz w:val="44"/>
          <w:szCs w:val="44"/>
        </w:rPr>
      </w:pP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第一章  谈判邀请函</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第二章  谈判须知</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第三章  采购货物（服务）技术规格、参数及要求</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rPr>
        <w:t>第四章  合同书（格式）</w:t>
      </w:r>
    </w:p>
    <w:p>
      <w:pPr>
        <w:spacing w:line="480" w:lineRule="auto"/>
        <w:rPr>
          <w:rFonts w:asciiTheme="minorEastAsia" w:hAnsiTheme="minorEastAsia" w:eastAsiaTheme="minorEastAsia" w:cstheme="minorEastAsia"/>
        </w:rPr>
        <w:sectPr>
          <w:headerReference r:id="rId5"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rPr>
        <w:t>第五章  响应文件格式</w:t>
      </w:r>
    </w:p>
    <w:p>
      <w:pPr>
        <w:spacing w:line="5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第一章  谈判邀请函</w:t>
      </w:r>
    </w:p>
    <w:p>
      <w:pPr>
        <w:spacing w:line="500" w:lineRule="exact"/>
        <w:rPr>
          <w:rFonts w:asciiTheme="minorEastAsia" w:hAnsiTheme="minorEastAsia" w:eastAsiaTheme="minorEastAsia" w:cstheme="minorEastAsia"/>
          <w:sz w:val="24"/>
        </w:rPr>
      </w:pP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受邀请供应商：</w:t>
      </w:r>
    </w:p>
    <w:p>
      <w:pPr>
        <w:spacing w:line="44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谈判小组确定你公司为（湖北考古博物馆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服务采购项目）的谈判供应商，现邀请你公司参加谈判。</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一、项目编号：</w:t>
      </w:r>
    </w:p>
    <w:p>
      <w:pPr>
        <w:spacing w:line="440" w:lineRule="exact"/>
        <w:ind w:left="476" w:left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二、项目名称：湖北考古博物馆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服务采购项目</w:t>
      </w:r>
    </w:p>
    <w:p>
      <w:pPr>
        <w:spacing w:line="440" w:lineRule="exact"/>
        <w:ind w:left="476" w:left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三、谈判内容：</w:t>
      </w:r>
    </w:p>
    <w:p>
      <w:pPr>
        <w:spacing w:line="440" w:lineRule="exact"/>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因</w:t>
      </w:r>
      <w:r>
        <w:rPr>
          <w:rFonts w:hint="eastAsia" w:asciiTheme="minorEastAsia" w:hAnsiTheme="minorEastAsia" w:eastAsiaTheme="minorEastAsia" w:cstheme="minorEastAsia"/>
          <w:sz w:val="24"/>
        </w:rPr>
        <w:t>考古博物馆</w:t>
      </w:r>
      <w:r>
        <w:rPr>
          <w:rFonts w:hint="eastAsia" w:asciiTheme="minorEastAsia" w:hAnsiTheme="minorEastAsia" w:eastAsiaTheme="minorEastAsia" w:cstheme="minorEastAsia"/>
          <w:sz w:val="24"/>
          <w:lang w:val="en-US" w:eastAsia="zh-CN"/>
        </w:rPr>
        <w:t>整理楼一楼和四合院会议室、接待室的8间厕所</w:t>
      </w:r>
      <w:r>
        <w:rPr>
          <w:rFonts w:hint="eastAsia" w:asciiTheme="minorEastAsia" w:hAnsiTheme="minorEastAsia" w:eastAsiaTheme="minorEastAsia" w:cstheme="minorEastAsia"/>
          <w:sz w:val="24"/>
        </w:rPr>
        <w:t>设施落后，不利于老年人及残障人士使用，</w:t>
      </w:r>
      <w:r>
        <w:rPr>
          <w:rFonts w:hint="eastAsia" w:asciiTheme="minorEastAsia" w:hAnsiTheme="minorEastAsia" w:eastAsiaTheme="minorEastAsia" w:cstheme="minorEastAsia"/>
          <w:sz w:val="24"/>
          <w:lang w:val="en-US" w:eastAsia="zh-CN"/>
        </w:rPr>
        <w:t>需</w:t>
      </w:r>
      <w:r>
        <w:rPr>
          <w:rFonts w:hint="eastAsia" w:asciiTheme="minorEastAsia" w:hAnsiTheme="minorEastAsia" w:eastAsiaTheme="minorEastAsia" w:cstheme="minorEastAsia"/>
          <w:sz w:val="24"/>
        </w:rPr>
        <w:t>在现有基础上</w:t>
      </w:r>
      <w:r>
        <w:rPr>
          <w:rFonts w:hint="eastAsia" w:asciiTheme="minorEastAsia" w:hAnsiTheme="minorEastAsia" w:eastAsiaTheme="minorEastAsia" w:cstheme="minorEastAsia"/>
          <w:sz w:val="24"/>
          <w:lang w:val="en-US" w:eastAsia="zh-CN"/>
        </w:rPr>
        <w:t>依据相关技术标准对8间厕所</w:t>
      </w:r>
      <w:r>
        <w:rPr>
          <w:rFonts w:hint="eastAsia" w:asciiTheme="minorEastAsia" w:hAnsiTheme="minorEastAsia" w:eastAsiaTheme="minorEastAsia" w:cstheme="minorEastAsia"/>
          <w:sz w:val="24"/>
        </w:rPr>
        <w:t>进行</w:t>
      </w:r>
      <w:r>
        <w:rPr>
          <w:rFonts w:hint="eastAsia" w:asciiTheme="minorEastAsia" w:hAnsiTheme="minorEastAsia" w:eastAsiaTheme="minorEastAsia" w:cstheme="minorEastAsia"/>
          <w:sz w:val="24"/>
          <w:lang w:val="en-US" w:eastAsia="zh-CN"/>
        </w:rPr>
        <w:t>维修，拟将8套现有蹲坑改为坐式马桶（相关面积80㎡，施工需拆除原瓷砖及隔断。拟铺设防滑瓷砖，铺设防滑地垫）、加装30组无障碍设施（扶手、安全抓手等）、22套脚踏冲水器、30个厕所挂钩。</w:t>
      </w:r>
    </w:p>
    <w:p>
      <w:pPr>
        <w:spacing w:line="440" w:lineRule="exact"/>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维修方案工程量如下：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801"/>
        <w:gridCol w:w="2489"/>
        <w:gridCol w:w="1128"/>
        <w:gridCol w:w="904"/>
        <w:gridCol w:w="69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序号</w:t>
            </w:r>
          </w:p>
        </w:tc>
        <w:tc>
          <w:tcPr>
            <w:tcW w:w="1801"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项目名称</w:t>
            </w:r>
          </w:p>
        </w:tc>
        <w:tc>
          <w:tcPr>
            <w:tcW w:w="2489"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项目特征描述</w:t>
            </w:r>
          </w:p>
        </w:tc>
        <w:tc>
          <w:tcPr>
            <w:tcW w:w="1128"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计量单位</w:t>
            </w:r>
          </w:p>
        </w:tc>
        <w:tc>
          <w:tcPr>
            <w:tcW w:w="904"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工程量</w:t>
            </w:r>
          </w:p>
        </w:tc>
        <w:tc>
          <w:tcPr>
            <w:tcW w:w="1512" w:type="dxa"/>
            <w:gridSpan w:val="2"/>
            <w:vAlign w:val="top"/>
          </w:tcPr>
          <w:p>
            <w:pPr>
              <w:spacing w:line="480" w:lineRule="auto"/>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Merge w:val="continue"/>
            <w:vAlign w:val="top"/>
          </w:tcPr>
          <w:p>
            <w:pPr>
              <w:spacing w:line="480" w:lineRule="auto"/>
              <w:rPr>
                <w:rFonts w:hint="eastAsia" w:ascii="宋体" w:hAnsi="宋体" w:eastAsia="宋体"/>
                <w:sz w:val="24"/>
                <w:szCs w:val="24"/>
              </w:rPr>
            </w:pPr>
          </w:p>
        </w:tc>
        <w:tc>
          <w:tcPr>
            <w:tcW w:w="1801" w:type="dxa"/>
            <w:vMerge w:val="continue"/>
            <w:vAlign w:val="top"/>
          </w:tcPr>
          <w:p>
            <w:pPr>
              <w:spacing w:line="480" w:lineRule="auto"/>
              <w:rPr>
                <w:rFonts w:hint="eastAsia" w:ascii="宋体" w:hAnsi="宋体" w:eastAsia="宋体"/>
                <w:sz w:val="24"/>
                <w:szCs w:val="24"/>
              </w:rPr>
            </w:pPr>
          </w:p>
        </w:tc>
        <w:tc>
          <w:tcPr>
            <w:tcW w:w="2489" w:type="dxa"/>
            <w:vMerge w:val="continue"/>
            <w:vAlign w:val="top"/>
          </w:tcPr>
          <w:p>
            <w:pPr>
              <w:spacing w:line="480" w:lineRule="auto"/>
              <w:rPr>
                <w:rFonts w:hint="eastAsia" w:ascii="宋体" w:hAnsi="宋体" w:eastAsia="宋体"/>
                <w:sz w:val="24"/>
                <w:szCs w:val="24"/>
              </w:rPr>
            </w:pPr>
          </w:p>
        </w:tc>
        <w:tc>
          <w:tcPr>
            <w:tcW w:w="1128" w:type="dxa"/>
            <w:vMerge w:val="continue"/>
            <w:vAlign w:val="top"/>
          </w:tcPr>
          <w:p>
            <w:pPr>
              <w:spacing w:line="480" w:lineRule="auto"/>
              <w:rPr>
                <w:rFonts w:hint="eastAsia" w:ascii="宋体" w:hAnsi="宋体" w:eastAsia="宋体"/>
                <w:sz w:val="24"/>
                <w:szCs w:val="24"/>
              </w:rPr>
            </w:pPr>
          </w:p>
        </w:tc>
        <w:tc>
          <w:tcPr>
            <w:tcW w:w="904" w:type="dxa"/>
            <w:vMerge w:val="continue"/>
            <w:vAlign w:val="top"/>
          </w:tcPr>
          <w:p>
            <w:pPr>
              <w:spacing w:line="480" w:lineRule="auto"/>
              <w:rPr>
                <w:rFonts w:hint="eastAsia" w:ascii="宋体" w:hAnsi="宋体" w:eastAsia="宋体"/>
                <w:sz w:val="24"/>
                <w:szCs w:val="24"/>
              </w:rPr>
            </w:pPr>
          </w:p>
        </w:tc>
        <w:tc>
          <w:tcPr>
            <w:tcW w:w="696" w:type="dxa"/>
            <w:vAlign w:val="top"/>
          </w:tcPr>
          <w:p>
            <w:pPr>
              <w:spacing w:line="480" w:lineRule="auto"/>
              <w:rPr>
                <w:rFonts w:hint="eastAsia" w:ascii="宋体" w:hAnsi="宋体" w:eastAsia="宋体"/>
                <w:sz w:val="24"/>
                <w:szCs w:val="24"/>
              </w:rPr>
            </w:pPr>
            <w:r>
              <w:rPr>
                <w:rFonts w:hint="eastAsia" w:ascii="宋体" w:hAnsi="宋体" w:eastAsia="宋体"/>
                <w:sz w:val="24"/>
                <w:szCs w:val="24"/>
              </w:rPr>
              <w:t>单价</w:t>
            </w:r>
          </w:p>
        </w:tc>
        <w:tc>
          <w:tcPr>
            <w:tcW w:w="816" w:type="dxa"/>
            <w:vAlign w:val="top"/>
          </w:tcPr>
          <w:p>
            <w:pPr>
              <w:spacing w:line="480" w:lineRule="auto"/>
              <w:rPr>
                <w:rFonts w:hint="eastAsia" w:ascii="宋体" w:hAnsi="宋体" w:eastAsia="宋体"/>
                <w:sz w:val="24"/>
                <w:szCs w:val="24"/>
              </w:rPr>
            </w:pPr>
            <w:r>
              <w:rPr>
                <w:rFonts w:hint="eastAsia" w:ascii="宋体" w:hAnsi="宋体" w:eastAsia="宋体"/>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eastAsia" w:ascii="宋体" w:hAnsi="宋体" w:eastAsia="宋体"/>
                <w:sz w:val="24"/>
                <w:szCs w:val="24"/>
              </w:rPr>
            </w:pPr>
            <w:r>
              <w:rPr>
                <w:rFonts w:hint="eastAsia" w:ascii="宋体" w:hAnsi="宋体" w:eastAsia="宋体"/>
                <w:sz w:val="24"/>
                <w:szCs w:val="24"/>
              </w:rPr>
              <w:t>1</w:t>
            </w:r>
          </w:p>
        </w:tc>
        <w:tc>
          <w:tcPr>
            <w:tcW w:w="1801" w:type="dxa"/>
            <w:vAlign w:val="top"/>
          </w:tcPr>
          <w:p>
            <w:pPr>
              <w:spacing w:line="480" w:lineRule="auto"/>
              <w:rPr>
                <w:rFonts w:hint="eastAsia" w:ascii="宋体" w:hAnsi="宋体" w:eastAsia="宋体"/>
                <w:sz w:val="24"/>
                <w:szCs w:val="24"/>
              </w:rPr>
            </w:pPr>
            <w:r>
              <w:rPr>
                <w:rFonts w:hint="eastAsia" w:ascii="宋体" w:hAnsi="宋体" w:eastAsia="宋体"/>
                <w:sz w:val="24"/>
                <w:szCs w:val="24"/>
              </w:rPr>
              <w:t>坐式马桶</w:t>
            </w:r>
          </w:p>
        </w:tc>
        <w:tc>
          <w:tcPr>
            <w:tcW w:w="2489" w:type="dxa"/>
            <w:vAlign w:val="top"/>
          </w:tcPr>
          <w:p>
            <w:pPr>
              <w:spacing w:line="480" w:lineRule="auto"/>
              <w:rPr>
                <w:rFonts w:hint="eastAsia" w:ascii="宋体" w:hAnsi="宋体" w:eastAsia="宋体"/>
                <w:sz w:val="24"/>
                <w:szCs w:val="24"/>
              </w:rPr>
            </w:pPr>
            <w:r>
              <w:rPr>
                <w:rFonts w:hint="eastAsia" w:ascii="宋体" w:hAnsi="宋体" w:eastAsia="宋体"/>
                <w:sz w:val="24"/>
                <w:szCs w:val="24"/>
              </w:rPr>
              <w:t>老年人及无障碍厕位</w:t>
            </w:r>
          </w:p>
        </w:tc>
        <w:tc>
          <w:tcPr>
            <w:tcW w:w="1128" w:type="dxa"/>
            <w:vAlign w:val="top"/>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904" w:type="dxa"/>
            <w:vAlign w:val="top"/>
          </w:tcPr>
          <w:p>
            <w:pPr>
              <w:spacing w:line="480" w:lineRule="auto"/>
              <w:rPr>
                <w:rFonts w:hint="eastAsia" w:ascii="宋体" w:hAnsi="宋体" w:eastAsia="宋体"/>
                <w:sz w:val="24"/>
                <w:szCs w:val="24"/>
              </w:rPr>
            </w:pPr>
            <w:r>
              <w:rPr>
                <w:rFonts w:hint="eastAsia" w:ascii="宋体" w:hAnsi="宋体" w:eastAsia="宋体"/>
                <w:sz w:val="24"/>
                <w:szCs w:val="24"/>
              </w:rPr>
              <w:t>8</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950</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eastAsia" w:ascii="宋体" w:hAnsi="宋体" w:eastAsia="宋体"/>
                <w:sz w:val="24"/>
                <w:szCs w:val="24"/>
              </w:rPr>
            </w:pPr>
            <w:r>
              <w:rPr>
                <w:rFonts w:hint="eastAsia" w:ascii="宋体" w:hAnsi="宋体" w:eastAsia="宋体"/>
                <w:sz w:val="24"/>
                <w:szCs w:val="24"/>
              </w:rPr>
              <w:t>2</w:t>
            </w:r>
          </w:p>
        </w:tc>
        <w:tc>
          <w:tcPr>
            <w:tcW w:w="1801" w:type="dxa"/>
            <w:vAlign w:val="top"/>
          </w:tcPr>
          <w:p>
            <w:pPr>
              <w:spacing w:line="480" w:lineRule="auto"/>
              <w:rPr>
                <w:rFonts w:hint="eastAsia" w:ascii="宋体" w:hAnsi="宋体" w:eastAsia="宋体"/>
                <w:sz w:val="24"/>
                <w:szCs w:val="24"/>
              </w:rPr>
            </w:pPr>
            <w:r>
              <w:rPr>
                <w:rFonts w:hint="eastAsia" w:ascii="宋体" w:hAnsi="宋体" w:eastAsia="宋体"/>
                <w:sz w:val="24"/>
                <w:szCs w:val="24"/>
              </w:rPr>
              <w:t>厕所无障碍设施</w:t>
            </w:r>
          </w:p>
        </w:tc>
        <w:tc>
          <w:tcPr>
            <w:tcW w:w="2489" w:type="dxa"/>
            <w:vAlign w:val="top"/>
          </w:tcPr>
          <w:p>
            <w:pPr>
              <w:spacing w:line="480" w:lineRule="auto"/>
              <w:rPr>
                <w:rFonts w:hint="eastAsia" w:ascii="宋体" w:hAnsi="宋体" w:eastAsia="宋体"/>
                <w:sz w:val="24"/>
                <w:szCs w:val="24"/>
              </w:rPr>
            </w:pPr>
            <w:r>
              <w:rPr>
                <w:rFonts w:hint="eastAsia" w:ascii="宋体" w:hAnsi="宋体" w:eastAsia="宋体"/>
                <w:sz w:val="24"/>
                <w:szCs w:val="24"/>
              </w:rPr>
              <w:t>蹲位扶手、安全抓手等</w:t>
            </w:r>
          </w:p>
        </w:tc>
        <w:tc>
          <w:tcPr>
            <w:tcW w:w="1128" w:type="dxa"/>
            <w:vAlign w:val="top"/>
          </w:tcPr>
          <w:p>
            <w:pPr>
              <w:spacing w:line="480" w:lineRule="auto"/>
              <w:rPr>
                <w:rFonts w:hint="eastAsia" w:ascii="宋体" w:hAnsi="宋体" w:eastAsia="宋体"/>
                <w:sz w:val="24"/>
                <w:szCs w:val="24"/>
              </w:rPr>
            </w:pPr>
            <w:r>
              <w:rPr>
                <w:rFonts w:hint="eastAsia" w:ascii="宋体" w:hAnsi="宋体" w:eastAsia="宋体"/>
                <w:sz w:val="24"/>
                <w:szCs w:val="24"/>
              </w:rPr>
              <w:t>组</w:t>
            </w:r>
          </w:p>
        </w:tc>
        <w:tc>
          <w:tcPr>
            <w:tcW w:w="904" w:type="dxa"/>
            <w:vAlign w:val="top"/>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330</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eastAsia" w:ascii="宋体" w:hAnsi="宋体" w:eastAsia="宋体"/>
                <w:sz w:val="24"/>
                <w:szCs w:val="24"/>
              </w:rPr>
            </w:pPr>
            <w:r>
              <w:rPr>
                <w:rFonts w:hint="eastAsia" w:ascii="宋体" w:hAnsi="宋体" w:eastAsia="宋体"/>
                <w:sz w:val="24"/>
                <w:szCs w:val="24"/>
              </w:rPr>
              <w:t>3</w:t>
            </w:r>
          </w:p>
        </w:tc>
        <w:tc>
          <w:tcPr>
            <w:tcW w:w="1801" w:type="dxa"/>
            <w:vAlign w:val="top"/>
          </w:tcPr>
          <w:p>
            <w:pPr>
              <w:spacing w:line="480" w:lineRule="auto"/>
              <w:rPr>
                <w:rFonts w:hint="eastAsia" w:ascii="宋体" w:hAnsi="宋体" w:eastAsia="宋体"/>
                <w:sz w:val="24"/>
                <w:szCs w:val="24"/>
              </w:rPr>
            </w:pPr>
            <w:r>
              <w:rPr>
                <w:rFonts w:hint="eastAsia" w:ascii="宋体" w:hAnsi="宋体" w:eastAsia="宋体"/>
                <w:sz w:val="24"/>
                <w:szCs w:val="24"/>
              </w:rPr>
              <w:t>脚踏冲水器</w:t>
            </w:r>
          </w:p>
        </w:tc>
        <w:tc>
          <w:tcPr>
            <w:tcW w:w="2489"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全铜阀</w:t>
            </w:r>
          </w:p>
        </w:tc>
        <w:tc>
          <w:tcPr>
            <w:tcW w:w="1128" w:type="dxa"/>
            <w:vAlign w:val="top"/>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904" w:type="dxa"/>
            <w:vAlign w:val="top"/>
          </w:tcPr>
          <w:p>
            <w:pPr>
              <w:spacing w:line="480" w:lineRule="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250</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eastAsia" w:ascii="宋体" w:hAnsi="宋体" w:eastAsia="宋体"/>
                <w:sz w:val="24"/>
                <w:szCs w:val="24"/>
              </w:rPr>
            </w:pPr>
            <w:r>
              <w:rPr>
                <w:rFonts w:hint="eastAsia" w:ascii="宋体" w:hAnsi="宋体" w:eastAsia="宋体"/>
                <w:sz w:val="24"/>
                <w:szCs w:val="24"/>
              </w:rPr>
              <w:t>4</w:t>
            </w:r>
          </w:p>
        </w:tc>
        <w:tc>
          <w:tcPr>
            <w:tcW w:w="1801" w:type="dxa"/>
            <w:vAlign w:val="top"/>
          </w:tcPr>
          <w:p>
            <w:pPr>
              <w:spacing w:line="480" w:lineRule="auto"/>
              <w:rPr>
                <w:rFonts w:hint="eastAsia" w:ascii="宋体" w:hAnsi="宋体" w:eastAsia="宋体"/>
                <w:sz w:val="24"/>
                <w:szCs w:val="24"/>
              </w:rPr>
            </w:pPr>
            <w:r>
              <w:rPr>
                <w:rFonts w:hint="eastAsia" w:ascii="宋体" w:hAnsi="宋体" w:eastAsia="宋体"/>
                <w:sz w:val="24"/>
                <w:szCs w:val="24"/>
              </w:rPr>
              <w:t>厕所挂钩</w:t>
            </w:r>
          </w:p>
        </w:tc>
        <w:tc>
          <w:tcPr>
            <w:tcW w:w="2489"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不锈钢挂钩</w:t>
            </w:r>
          </w:p>
        </w:tc>
        <w:tc>
          <w:tcPr>
            <w:tcW w:w="1128" w:type="dxa"/>
            <w:vAlign w:val="top"/>
          </w:tcPr>
          <w:p>
            <w:pPr>
              <w:spacing w:line="480" w:lineRule="auto"/>
              <w:rPr>
                <w:rFonts w:hint="eastAsia" w:ascii="宋体" w:hAnsi="宋体" w:eastAsia="宋体"/>
                <w:sz w:val="24"/>
                <w:szCs w:val="24"/>
              </w:rPr>
            </w:pPr>
            <w:r>
              <w:rPr>
                <w:rFonts w:hint="eastAsia" w:ascii="宋体" w:hAnsi="宋体" w:eastAsia="宋体"/>
                <w:sz w:val="24"/>
                <w:szCs w:val="24"/>
              </w:rPr>
              <w:t>个</w:t>
            </w:r>
          </w:p>
        </w:tc>
        <w:tc>
          <w:tcPr>
            <w:tcW w:w="904" w:type="dxa"/>
            <w:vAlign w:val="top"/>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30</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eastAsia" w:ascii="宋体" w:hAnsi="宋体" w:eastAsia="宋体"/>
                <w:sz w:val="24"/>
                <w:szCs w:val="24"/>
              </w:rPr>
            </w:pPr>
            <w:r>
              <w:rPr>
                <w:rFonts w:hint="eastAsia" w:ascii="宋体" w:hAnsi="宋体" w:eastAsia="宋体"/>
                <w:sz w:val="24"/>
                <w:szCs w:val="24"/>
              </w:rPr>
              <w:t>5</w:t>
            </w:r>
          </w:p>
        </w:tc>
        <w:tc>
          <w:tcPr>
            <w:tcW w:w="1801" w:type="dxa"/>
            <w:vAlign w:val="top"/>
          </w:tcPr>
          <w:p>
            <w:pPr>
              <w:spacing w:line="480" w:lineRule="auto"/>
              <w:rPr>
                <w:rFonts w:hint="eastAsia" w:ascii="宋体" w:hAnsi="宋体" w:eastAsia="宋体"/>
                <w:sz w:val="24"/>
                <w:szCs w:val="24"/>
              </w:rPr>
            </w:pPr>
            <w:r>
              <w:rPr>
                <w:rFonts w:hint="eastAsia" w:ascii="宋体" w:hAnsi="宋体" w:eastAsia="宋体"/>
                <w:sz w:val="24"/>
                <w:szCs w:val="24"/>
              </w:rPr>
              <w:t>厕所瓷砖</w:t>
            </w:r>
          </w:p>
        </w:tc>
        <w:tc>
          <w:tcPr>
            <w:tcW w:w="2489" w:type="dxa"/>
            <w:vAlign w:val="top"/>
          </w:tcPr>
          <w:p>
            <w:pPr>
              <w:spacing w:line="480" w:lineRule="auto"/>
              <w:rPr>
                <w:rFonts w:hint="eastAsia" w:ascii="宋体" w:hAnsi="宋体" w:eastAsia="宋体"/>
                <w:sz w:val="24"/>
                <w:szCs w:val="24"/>
              </w:rPr>
            </w:pPr>
            <w:r>
              <w:rPr>
                <w:rFonts w:hint="eastAsia" w:ascii="宋体" w:hAnsi="宋体" w:eastAsia="宋体"/>
                <w:sz w:val="24"/>
                <w:szCs w:val="24"/>
              </w:rPr>
              <w:t>防滑地面</w:t>
            </w:r>
          </w:p>
        </w:tc>
        <w:tc>
          <w:tcPr>
            <w:tcW w:w="1128" w:type="dxa"/>
            <w:vAlign w:val="top"/>
          </w:tcPr>
          <w:p>
            <w:pPr>
              <w:spacing w:line="480" w:lineRule="auto"/>
              <w:rPr>
                <w:rFonts w:hint="eastAsia" w:ascii="宋体" w:hAnsi="宋体" w:eastAsia="宋体"/>
                <w:sz w:val="24"/>
                <w:szCs w:val="24"/>
              </w:rPr>
            </w:pPr>
            <w:r>
              <w:rPr>
                <w:rFonts w:hint="eastAsia" w:ascii="宋体" w:hAnsi="宋体" w:eastAsia="宋体"/>
                <w:sz w:val="24"/>
                <w:szCs w:val="24"/>
              </w:rPr>
              <w:t>㎡</w:t>
            </w:r>
          </w:p>
        </w:tc>
        <w:tc>
          <w:tcPr>
            <w:tcW w:w="904"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80</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205</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6</w:t>
            </w:r>
          </w:p>
        </w:tc>
        <w:tc>
          <w:tcPr>
            <w:tcW w:w="1801"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隔断</w:t>
            </w:r>
          </w:p>
        </w:tc>
        <w:tc>
          <w:tcPr>
            <w:tcW w:w="2489"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蹲坑之间隔断和门</w:t>
            </w:r>
          </w:p>
        </w:tc>
        <w:tc>
          <w:tcPr>
            <w:tcW w:w="1128"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个</w:t>
            </w:r>
          </w:p>
        </w:tc>
        <w:tc>
          <w:tcPr>
            <w:tcW w:w="904"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24</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600</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7</w:t>
            </w:r>
          </w:p>
        </w:tc>
        <w:tc>
          <w:tcPr>
            <w:tcW w:w="1801"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地垫</w:t>
            </w:r>
          </w:p>
        </w:tc>
        <w:tc>
          <w:tcPr>
            <w:tcW w:w="2489"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防滑地垫</w:t>
            </w:r>
          </w:p>
        </w:tc>
        <w:tc>
          <w:tcPr>
            <w:tcW w:w="1128"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rPr>
              <w:t>㎡</w:t>
            </w:r>
          </w:p>
        </w:tc>
        <w:tc>
          <w:tcPr>
            <w:tcW w:w="904"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20</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65</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8</w:t>
            </w:r>
          </w:p>
        </w:tc>
        <w:tc>
          <w:tcPr>
            <w:tcW w:w="1801" w:type="dxa"/>
            <w:vAlign w:val="top"/>
          </w:tcPr>
          <w:p>
            <w:pPr>
              <w:spacing w:line="480" w:lineRule="auto"/>
              <w:rPr>
                <w:rFonts w:hint="eastAsia" w:ascii="宋体" w:hAnsi="宋体" w:eastAsia="宋体"/>
                <w:sz w:val="24"/>
                <w:szCs w:val="24"/>
                <w:lang w:eastAsia="zh-CN"/>
              </w:rPr>
            </w:pPr>
            <w:r>
              <w:rPr>
                <w:rFonts w:hint="eastAsia" w:ascii="宋体" w:hAnsi="宋体" w:eastAsia="宋体"/>
                <w:sz w:val="24"/>
                <w:szCs w:val="24"/>
                <w:lang w:eastAsia="zh-CN"/>
              </w:rPr>
              <w:t>人工费</w:t>
            </w:r>
          </w:p>
        </w:tc>
        <w:tc>
          <w:tcPr>
            <w:tcW w:w="2489" w:type="dxa"/>
            <w:vAlign w:val="top"/>
          </w:tcPr>
          <w:p>
            <w:pPr>
              <w:spacing w:line="480" w:lineRule="auto"/>
              <w:rPr>
                <w:rFonts w:hint="eastAsia" w:ascii="宋体" w:hAnsi="宋体" w:eastAsia="宋体"/>
                <w:sz w:val="24"/>
                <w:szCs w:val="24"/>
              </w:rPr>
            </w:pPr>
          </w:p>
        </w:tc>
        <w:tc>
          <w:tcPr>
            <w:tcW w:w="1128"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日/人次</w:t>
            </w:r>
          </w:p>
        </w:tc>
        <w:tc>
          <w:tcPr>
            <w:tcW w:w="904"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25</w:t>
            </w:r>
          </w:p>
        </w:tc>
        <w:tc>
          <w:tcPr>
            <w:tcW w:w="69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400</w:t>
            </w: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top"/>
          </w:tcPr>
          <w:p>
            <w:pPr>
              <w:spacing w:line="480" w:lineRule="auto"/>
              <w:rPr>
                <w:rFonts w:hint="eastAsia" w:ascii="宋体" w:hAnsi="宋体" w:eastAsia="宋体"/>
                <w:sz w:val="24"/>
                <w:szCs w:val="24"/>
              </w:rPr>
            </w:pPr>
          </w:p>
        </w:tc>
        <w:tc>
          <w:tcPr>
            <w:tcW w:w="1801" w:type="dxa"/>
            <w:vAlign w:val="top"/>
          </w:tcPr>
          <w:p>
            <w:pPr>
              <w:spacing w:line="480" w:lineRule="auto"/>
              <w:rPr>
                <w:rFonts w:hint="eastAsia" w:ascii="宋体" w:hAnsi="宋体" w:eastAsia="宋体"/>
                <w:sz w:val="24"/>
                <w:szCs w:val="24"/>
              </w:rPr>
            </w:pPr>
            <w:r>
              <w:rPr>
                <w:rFonts w:hint="eastAsia" w:ascii="宋体" w:hAnsi="宋体" w:eastAsia="宋体"/>
                <w:sz w:val="24"/>
                <w:szCs w:val="24"/>
              </w:rPr>
              <w:t>合计</w:t>
            </w:r>
          </w:p>
        </w:tc>
        <w:tc>
          <w:tcPr>
            <w:tcW w:w="2489" w:type="dxa"/>
            <w:vAlign w:val="top"/>
          </w:tcPr>
          <w:p>
            <w:pPr>
              <w:spacing w:line="480" w:lineRule="auto"/>
              <w:rPr>
                <w:rFonts w:hint="eastAsia" w:ascii="宋体" w:hAnsi="宋体" w:eastAsia="宋体"/>
                <w:sz w:val="24"/>
                <w:szCs w:val="24"/>
              </w:rPr>
            </w:pPr>
          </w:p>
        </w:tc>
        <w:tc>
          <w:tcPr>
            <w:tcW w:w="1128" w:type="dxa"/>
            <w:vAlign w:val="top"/>
          </w:tcPr>
          <w:p>
            <w:pPr>
              <w:spacing w:line="480" w:lineRule="auto"/>
              <w:rPr>
                <w:rFonts w:hint="eastAsia" w:ascii="宋体" w:hAnsi="宋体" w:eastAsia="宋体"/>
                <w:sz w:val="24"/>
                <w:szCs w:val="24"/>
              </w:rPr>
            </w:pPr>
          </w:p>
        </w:tc>
        <w:tc>
          <w:tcPr>
            <w:tcW w:w="904" w:type="dxa"/>
            <w:vAlign w:val="top"/>
          </w:tcPr>
          <w:p>
            <w:pPr>
              <w:spacing w:line="480" w:lineRule="auto"/>
              <w:rPr>
                <w:rFonts w:hint="eastAsia" w:ascii="宋体" w:hAnsi="宋体" w:eastAsia="宋体"/>
                <w:sz w:val="24"/>
                <w:szCs w:val="24"/>
              </w:rPr>
            </w:pPr>
          </w:p>
        </w:tc>
        <w:tc>
          <w:tcPr>
            <w:tcW w:w="696" w:type="dxa"/>
            <w:vAlign w:val="top"/>
          </w:tcPr>
          <w:p>
            <w:pPr>
              <w:spacing w:line="480" w:lineRule="auto"/>
              <w:rPr>
                <w:rFonts w:hint="eastAsia" w:ascii="宋体" w:hAnsi="宋体" w:eastAsia="宋体"/>
                <w:sz w:val="24"/>
                <w:szCs w:val="24"/>
              </w:rPr>
            </w:pPr>
          </w:p>
        </w:tc>
        <w:tc>
          <w:tcPr>
            <w:tcW w:w="816" w:type="dxa"/>
            <w:vAlign w:val="top"/>
          </w:tcPr>
          <w:p>
            <w:pPr>
              <w:spacing w:line="480" w:lineRule="auto"/>
              <w:rPr>
                <w:rFonts w:hint="default" w:ascii="宋体" w:hAnsi="宋体" w:eastAsia="宋体"/>
                <w:sz w:val="24"/>
                <w:szCs w:val="24"/>
                <w:lang w:val="en-US" w:eastAsia="zh-CN"/>
              </w:rPr>
            </w:pPr>
            <w:r>
              <w:rPr>
                <w:rFonts w:hint="eastAsia" w:ascii="宋体" w:hAnsi="宋体" w:eastAsia="宋体"/>
                <w:sz w:val="24"/>
                <w:szCs w:val="24"/>
                <w:lang w:val="en-US" w:eastAsia="zh-CN"/>
              </w:rPr>
              <w:t>66000</w:t>
            </w:r>
          </w:p>
        </w:tc>
      </w:tr>
    </w:tbl>
    <w:p>
      <w:pPr>
        <w:tabs>
          <w:tab w:val="right" w:pos="8306"/>
        </w:tabs>
        <w:rPr>
          <w:rFonts w:hint="eastAsia" w:asciiTheme="minorEastAsia" w:hAnsiTheme="minorEastAsia" w:eastAsiaTheme="minorEastAsia" w:cstheme="minorEastAsia"/>
          <w:sz w:val="24"/>
        </w:rPr>
      </w:pPr>
    </w:p>
    <w:p>
      <w:pPr>
        <w:tabs>
          <w:tab w:val="right" w:pos="8306"/>
        </w:tabs>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四、采购预算：</w:t>
      </w: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 w:val="24"/>
          <w:lang w:val="en-US" w:eastAsia="zh-CN"/>
        </w:rPr>
        <w:t>66000</w:t>
      </w:r>
      <w:r>
        <w:rPr>
          <w:rFonts w:hint="eastAsia" w:asciiTheme="minorEastAsia" w:hAnsiTheme="minorEastAsia" w:eastAsiaTheme="minorEastAsia" w:cstheme="minorEastAsia"/>
          <w:sz w:val="24"/>
        </w:rPr>
        <w:t>元</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五、供应商资格条件：详见《供应商须知前附表》。</w:t>
      </w:r>
    </w:p>
    <w:p>
      <w:pPr>
        <w:spacing w:line="440" w:lineRule="exact"/>
        <w:ind w:firstLine="48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六、竞争性谈判文件的获得</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（一）获取时间：</w:t>
      </w:r>
      <w:r>
        <w:rPr>
          <w:rFonts w:hint="eastAsia" w:asciiTheme="minorEastAsia" w:hAnsiTheme="minorEastAsia" w:eastAsiaTheme="minorEastAsia" w:cstheme="minorEastAsia"/>
          <w:sz w:val="24"/>
          <w:highlight w:val="yellow"/>
        </w:rPr>
        <w:t>20</w:t>
      </w:r>
      <w:r>
        <w:rPr>
          <w:rFonts w:hint="eastAsia" w:asciiTheme="minorEastAsia" w:hAnsiTheme="minorEastAsia" w:eastAsiaTheme="minorEastAsia" w:cstheme="minorEastAsia"/>
          <w:sz w:val="24"/>
          <w:highlight w:val="yellow"/>
          <w:lang w:val="en-US" w:eastAsia="zh-CN"/>
        </w:rPr>
        <w:t>24</w:t>
      </w:r>
      <w:r>
        <w:rPr>
          <w:rFonts w:hint="eastAsia" w:asciiTheme="minorEastAsia" w:hAnsiTheme="minorEastAsia" w:eastAsiaTheme="minorEastAsia" w:cstheme="minorEastAsia"/>
          <w:sz w:val="24"/>
          <w:highlight w:val="yellow"/>
        </w:rPr>
        <w:t>年</w:t>
      </w:r>
      <w:r>
        <w:rPr>
          <w:rFonts w:hint="eastAsia" w:asciiTheme="minorEastAsia" w:hAnsiTheme="minorEastAsia" w:eastAsiaTheme="minorEastAsia" w:cstheme="minorEastAsia"/>
          <w:sz w:val="24"/>
          <w:highlight w:val="yellow"/>
          <w:lang w:val="en-US" w:eastAsia="zh-CN"/>
        </w:rPr>
        <w:t>1</w:t>
      </w:r>
      <w:r>
        <w:rPr>
          <w:rFonts w:hint="eastAsia" w:asciiTheme="minorEastAsia" w:hAnsiTheme="minorEastAsia" w:eastAsiaTheme="minorEastAsia" w:cstheme="minorEastAsia"/>
          <w:sz w:val="24"/>
          <w:highlight w:val="yellow"/>
        </w:rPr>
        <w:t>月</w:t>
      </w:r>
      <w:r>
        <w:rPr>
          <w:rFonts w:hint="eastAsia" w:asciiTheme="minorEastAsia" w:hAnsiTheme="minorEastAsia" w:eastAsiaTheme="minorEastAsia" w:cstheme="minorEastAsia"/>
          <w:sz w:val="24"/>
          <w:highlight w:val="yellow"/>
          <w:lang w:val="en-US" w:eastAsia="zh-CN"/>
        </w:rPr>
        <w:t>16</w:t>
      </w:r>
      <w:r>
        <w:rPr>
          <w:rFonts w:hint="eastAsia" w:asciiTheme="minorEastAsia" w:hAnsiTheme="minorEastAsia" w:eastAsiaTheme="minorEastAsia" w:cstheme="minorEastAsia"/>
          <w:sz w:val="24"/>
          <w:highlight w:val="yellow"/>
        </w:rPr>
        <w:t>日</w:t>
      </w:r>
      <w:r>
        <w:rPr>
          <w:rFonts w:hint="eastAsia" w:asciiTheme="minorEastAsia" w:hAnsiTheme="minorEastAsia" w:eastAsiaTheme="minorEastAsia" w:cstheme="minorEastAsia"/>
          <w:sz w:val="24"/>
        </w:rPr>
        <w:t>（工作时间）。</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（二）领取方式：湖北省文物考古研究院官网上获取。</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七、递交响应文件截止时间和谈判时间：详见《供应商须知前附表》。</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八、响应文件送达地点：详见《供应商须知前附表》。</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九、联系方式：详见《供应商须知前附表》。</w:t>
      </w:r>
    </w:p>
    <w:p>
      <w:pPr>
        <w:spacing w:line="440" w:lineRule="exact"/>
        <w:ind w:firstLine="480" w:firstLineChars="200"/>
        <w:rPr>
          <w:rFonts w:asciiTheme="minorEastAsia" w:hAnsiTheme="minorEastAsia" w:eastAsiaTheme="minorEastAsia" w:cstheme="minorEastAsia"/>
          <w:sz w:val="24"/>
        </w:rPr>
      </w:pPr>
    </w:p>
    <w:p>
      <w:pPr>
        <w:spacing w:line="440" w:lineRule="exact"/>
        <w:jc w:val="right"/>
        <w:rPr>
          <w:rFonts w:asciiTheme="minorEastAsia" w:hAnsiTheme="minorEastAsia" w:eastAsiaTheme="minorEastAsia" w:cstheme="minorEastAsia"/>
          <w:sz w:val="24"/>
        </w:rPr>
      </w:pPr>
    </w:p>
    <w:p>
      <w:pPr>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 xml:space="preserve">                                                 湖北省文物考古研究院</w:t>
      </w:r>
    </w:p>
    <w:p>
      <w:pPr>
        <w:spacing w:line="440" w:lineRule="exact"/>
        <w:ind w:firstLine="6240" w:firstLineChars="26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16</w:t>
      </w:r>
      <w:r>
        <w:rPr>
          <w:rFonts w:hint="eastAsia" w:asciiTheme="minorEastAsia" w:hAnsiTheme="minorEastAsia" w:eastAsiaTheme="minorEastAsia" w:cstheme="minorEastAsia"/>
          <w:sz w:val="24"/>
        </w:rPr>
        <w:t>日</w:t>
      </w:r>
    </w:p>
    <w:p>
      <w:pPr>
        <w:adjustRightInd w:val="0"/>
        <w:snapToGrid w:val="0"/>
        <w:ind w:left="-146" w:leftChars="-52" w:right="-196" w:rightChars="-70" w:firstLine="1"/>
        <w:jc w:val="center"/>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both"/>
        <w:outlineLvl w:val="0"/>
        <w:rPr>
          <w:rFonts w:asciiTheme="minorEastAsia" w:hAnsiTheme="minorEastAsia" w:eastAsiaTheme="minorEastAsia" w:cstheme="minorEastAsia"/>
          <w:sz w:val="24"/>
        </w:rPr>
      </w:pPr>
    </w:p>
    <w:p>
      <w:pPr>
        <w:adjustRightInd w:val="0"/>
        <w:snapToGrid w:val="0"/>
        <w:ind w:right="-196" w:rightChars="-70"/>
        <w:jc w:val="both"/>
        <w:outlineLvl w:val="0"/>
        <w:rPr>
          <w:rFonts w:asciiTheme="minorEastAsia" w:hAnsiTheme="minorEastAsia" w:eastAsiaTheme="minorEastAsia" w:cstheme="minorEastAsia"/>
          <w:sz w:val="24"/>
        </w:rPr>
      </w:pPr>
    </w:p>
    <w:p>
      <w:pPr>
        <w:adjustRightInd w:val="0"/>
        <w:snapToGrid w:val="0"/>
        <w:ind w:left="-146" w:leftChars="-52" w:right="-196" w:rightChars="-70" w:firstLine="1"/>
        <w:jc w:val="center"/>
        <w:outlineLvl w:val="0"/>
        <w:rPr>
          <w:rFonts w:asciiTheme="minorEastAsia" w:hAnsiTheme="minorEastAsia" w:eastAsiaTheme="minorEastAsia" w:cstheme="minorEastAsia"/>
          <w:szCs w:val="28"/>
        </w:rPr>
      </w:pPr>
      <w:r>
        <w:rPr>
          <w:rFonts w:hint="eastAsia" w:asciiTheme="minorEastAsia" w:hAnsiTheme="minorEastAsia" w:eastAsiaTheme="minorEastAsia" w:cstheme="minorEastAsia"/>
          <w:sz w:val="36"/>
          <w:szCs w:val="36"/>
        </w:rPr>
        <w:t>第二章  谈判须知</w:t>
      </w:r>
    </w:p>
    <w:p>
      <w:pPr>
        <w:jc w:val="center"/>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一、供应商须知前附表</w:t>
      </w:r>
    </w:p>
    <w:tbl>
      <w:tblPr>
        <w:tblStyle w:val="2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left="1" w:leftChars="-50" w:right="-106" w:rightChars="-38" w:hanging="141" w:hangingChars="59"/>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条款号</w:t>
            </w:r>
          </w:p>
        </w:tc>
        <w:tc>
          <w:tcPr>
            <w:tcW w:w="1277"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6429"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项目名称</w:t>
            </w:r>
          </w:p>
        </w:tc>
        <w:tc>
          <w:tcPr>
            <w:tcW w:w="6429" w:type="dxa"/>
            <w:vAlign w:val="center"/>
          </w:tcPr>
          <w:p>
            <w:pPr>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 w:val="24"/>
              </w:rPr>
              <w:t>湖北考古博物馆</w:t>
            </w: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采购内容</w:t>
            </w:r>
          </w:p>
        </w:tc>
        <w:tc>
          <w:tcPr>
            <w:tcW w:w="6429" w:type="dxa"/>
            <w:vAlign w:val="center"/>
          </w:tcPr>
          <w:p>
            <w:pPr>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 w:val="24"/>
                <w:lang w:val="en-US" w:eastAsia="zh-CN"/>
              </w:rPr>
              <w:t>厕所维修</w:t>
            </w:r>
            <w:r>
              <w:rPr>
                <w:rFonts w:hint="eastAsia" w:asciiTheme="minorEastAsia" w:hAnsiTheme="minorEastAsia" w:eastAsiaTheme="minorEastAsia" w:cstheme="minorEastAsia"/>
                <w:sz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采购预算</w:t>
            </w:r>
          </w:p>
        </w:tc>
        <w:tc>
          <w:tcPr>
            <w:tcW w:w="6429" w:type="dxa"/>
            <w:vAlign w:val="center"/>
          </w:tcPr>
          <w:p>
            <w:pPr>
              <w:tabs>
                <w:tab w:val="right" w:pos="8306"/>
              </w:tabs>
              <w:rPr>
                <w:rFonts w:asciiTheme="minorEastAsia" w:hAnsiTheme="minorEastAsia" w:eastAsiaTheme="minorEastAsia" w:cstheme="minorEastAsia"/>
                <w:kern w:val="0"/>
                <w:sz w:val="24"/>
                <w:highlight w:val="red"/>
              </w:rPr>
            </w:pP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Cs w:val="28"/>
                <w:lang w:val="en-US" w:eastAsia="zh-CN"/>
              </w:rPr>
              <w:t>66000</w:t>
            </w:r>
            <w:r>
              <w:rPr>
                <w:rFonts w:hint="eastAsia" w:asciiTheme="minorEastAsia" w:hAnsiTheme="minorEastAsia" w:eastAsiaTheme="minorEastAsia" w:cs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16" w:type="dxa"/>
            <w:vMerge w:val="continue"/>
            <w:vAlign w:val="center"/>
          </w:tcPr>
          <w:p>
            <w:pPr>
              <w:jc w:val="center"/>
              <w:rPr>
                <w:rFonts w:asciiTheme="minorEastAsia" w:hAnsiTheme="minorEastAsia" w:eastAsiaTheme="minorEastAsia" w:cstheme="minorEastAsia"/>
                <w:kern w:val="0"/>
                <w:sz w:val="24"/>
              </w:rPr>
            </w:pPr>
          </w:p>
        </w:tc>
        <w:tc>
          <w:tcPr>
            <w:tcW w:w="1277" w:type="dxa"/>
            <w:vAlign w:val="center"/>
          </w:tcPr>
          <w:p>
            <w:pPr>
              <w:rPr>
                <w:rFonts w:asciiTheme="minorEastAsia" w:hAnsiTheme="minorEastAsia" w:eastAsiaTheme="minorEastAsia" w:cstheme="minorEastAsia"/>
                <w:strike/>
                <w:kern w:val="0"/>
                <w:sz w:val="24"/>
              </w:rPr>
            </w:pPr>
            <w:r>
              <w:rPr>
                <w:rFonts w:hint="eastAsia" w:asciiTheme="minorEastAsia" w:hAnsiTheme="minorEastAsia" w:eastAsiaTheme="minorEastAsia" w:cstheme="minorEastAsia"/>
                <w:kern w:val="0"/>
                <w:sz w:val="24"/>
              </w:rPr>
              <w:t>采购人</w:t>
            </w:r>
          </w:p>
        </w:tc>
        <w:tc>
          <w:tcPr>
            <w:tcW w:w="6429"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名称：</w:t>
            </w:r>
            <w:r>
              <w:rPr>
                <w:rFonts w:hint="eastAsia" w:asciiTheme="minorEastAsia" w:hAnsiTheme="minorEastAsia" w:eastAsiaTheme="minorEastAsia" w:cstheme="minorEastAsia"/>
                <w:sz w:val="24"/>
              </w:rPr>
              <w:t>湖北省文物考古研究院</w:t>
            </w:r>
          </w:p>
          <w:p>
            <w:pPr>
              <w:rPr>
                <w:rFonts w:asciiTheme="minorEastAsia" w:hAnsiTheme="minorEastAsia" w:eastAsiaTheme="minorEastAsia" w:cstheme="minorEastAsia"/>
                <w:kern w:val="0"/>
                <w:sz w:val="24"/>
                <w:highlight w:val="yellow"/>
              </w:rPr>
            </w:pPr>
            <w:r>
              <w:rPr>
                <w:rFonts w:hint="eastAsia" w:asciiTheme="minorEastAsia" w:hAnsiTheme="minorEastAsia" w:eastAsiaTheme="minorEastAsia" w:cstheme="minorEastAsia"/>
                <w:kern w:val="0"/>
                <w:sz w:val="24"/>
                <w:highlight w:val="yellow"/>
              </w:rPr>
              <w:t>联系人：</w:t>
            </w:r>
            <w:r>
              <w:rPr>
                <w:rFonts w:hint="eastAsia" w:asciiTheme="minorEastAsia" w:hAnsiTheme="minorEastAsia" w:eastAsiaTheme="minorEastAsia" w:cstheme="minorEastAsia"/>
                <w:kern w:val="0"/>
                <w:sz w:val="24"/>
                <w:highlight w:val="yellow"/>
                <w:lang w:val="en-US" w:eastAsia="zh-CN"/>
              </w:rPr>
              <w:t>戴滨</w:t>
            </w:r>
            <w:r>
              <w:rPr>
                <w:rFonts w:hint="eastAsia" w:asciiTheme="minorEastAsia" w:hAnsiTheme="minorEastAsia" w:eastAsiaTheme="minorEastAsia" w:cstheme="minorEastAsia"/>
                <w:kern w:val="0"/>
                <w:sz w:val="24"/>
                <w:highlight w:val="yellow"/>
              </w:rPr>
              <w:fldChar w:fldCharType="begin"/>
            </w:r>
            <w:r>
              <w:rPr>
                <w:rFonts w:hint="eastAsia" w:asciiTheme="minorEastAsia" w:hAnsiTheme="minorEastAsia" w:eastAsiaTheme="minorEastAsia" w:cstheme="minorEastAsia"/>
                <w:kern w:val="0"/>
                <w:sz w:val="24"/>
                <w:highlight w:val="yellow"/>
              </w:rPr>
              <w:instrText xml:space="preserve">&lt;MK&gt;buyers.ownerlinkman &lt;/MK&gt;</w:instrText>
            </w:r>
            <w:r>
              <w:rPr>
                <w:rFonts w:hint="eastAsia" w:asciiTheme="minorEastAsia" w:hAnsiTheme="minorEastAsia" w:eastAsiaTheme="minorEastAsia" w:cstheme="minorEastAsia"/>
                <w:kern w:val="0"/>
                <w:sz w:val="24"/>
                <w:highlight w:val="yellow"/>
              </w:rPr>
              <w:fldChar w:fldCharType="end"/>
            </w:r>
          </w:p>
          <w:p>
            <w:pPr>
              <w:rPr>
                <w:rFonts w:hint="default" w:asciiTheme="minorEastAsia" w:hAnsiTheme="minorEastAsia" w:eastAsiaTheme="minorEastAsia" w:cstheme="minorEastAsia"/>
                <w:kern w:val="0"/>
                <w:sz w:val="24"/>
                <w:highlight w:val="yellow"/>
                <w:lang w:val="en-US" w:eastAsia="zh-CN"/>
              </w:rPr>
            </w:pPr>
            <w:r>
              <w:rPr>
                <w:rFonts w:hint="eastAsia" w:asciiTheme="minorEastAsia" w:hAnsiTheme="minorEastAsia" w:eastAsiaTheme="minorEastAsia" w:cstheme="minorEastAsia"/>
                <w:kern w:val="0"/>
                <w:sz w:val="24"/>
                <w:highlight w:val="yellow"/>
              </w:rPr>
              <w:t>联系方式：</w:t>
            </w:r>
            <w:r>
              <w:rPr>
                <w:rFonts w:hint="eastAsia" w:asciiTheme="minorEastAsia" w:hAnsiTheme="minorEastAsia" w:eastAsiaTheme="minorEastAsia" w:cstheme="minorEastAsia"/>
                <w:kern w:val="0"/>
                <w:sz w:val="24"/>
                <w:highlight w:val="yellow"/>
                <w:lang w:val="en-US" w:eastAsia="zh-CN"/>
              </w:rPr>
              <w:t>15900559474</w:t>
            </w:r>
          </w:p>
          <w:p>
            <w:pPr>
              <w:rPr>
                <w:rFonts w:asciiTheme="minorEastAsia" w:hAnsiTheme="minorEastAsia" w:eastAsiaTheme="minorEastAsia" w:cstheme="minorEastAsia"/>
                <w:strike/>
                <w:kern w:val="0"/>
                <w:sz w:val="24"/>
                <w:highlight w:val="red"/>
              </w:rPr>
            </w:pPr>
            <w:r>
              <w:rPr>
                <w:rFonts w:hint="eastAsia" w:asciiTheme="minorEastAsia" w:hAnsiTheme="minorEastAsia" w:eastAsiaTheme="minorEastAsia" w:cstheme="minorEastAsia"/>
                <w:kern w:val="0"/>
                <w:sz w:val="24"/>
              </w:rPr>
              <w:t>地址：武汉市武昌区东湖路167号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谈判小组从公开征集的供应商名单中确定不少于三家符合本项目资格条件要求的供应商参加谈判。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2.2</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供应商资格条件</w:t>
            </w:r>
          </w:p>
        </w:tc>
        <w:tc>
          <w:tcPr>
            <w:tcW w:w="6429" w:type="dxa"/>
            <w:vAlign w:val="center"/>
          </w:tcPr>
          <w:p>
            <w:pPr>
              <w:ind w:left="600" w:hanging="600" w:hangingChars="2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（1）应具备《中华人民共和国政府采购法》第二十二条第一款规定的条件。</w:t>
            </w:r>
          </w:p>
          <w:p>
            <w:pPr>
              <w:ind w:left="600" w:hanging="600" w:hangingChars="2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（2）未被列入“信用中国”网站（www.creditchina.gov.cn）失信被执行人、重大税收违法案件当事人名单、政府采购严重违法失信行为记录名单。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highlight w:val="lightGray"/>
                <w:lang w:eastAsia="zh-CN"/>
              </w:rPr>
              <w:t>供应商必须提供的</w:t>
            </w:r>
            <w:r>
              <w:rPr>
                <w:rFonts w:hint="eastAsia" w:asciiTheme="minorEastAsia" w:hAnsiTheme="minorEastAsia" w:eastAsiaTheme="minorEastAsia" w:cstheme="minorEastAsia"/>
                <w:sz w:val="24"/>
                <w:highlight w:val="lightGray"/>
              </w:rPr>
              <w:t>资格证明文件资料</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highlight w:val="lightGray"/>
                <w:lang w:eastAsia="zh-CN"/>
              </w:rPr>
              <w:t>供应商须提供装饰装修三级资质证明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响应文件有效期</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谈判之日算起90日历日内保持有效。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277"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报价方式</w:t>
            </w:r>
          </w:p>
        </w:tc>
        <w:tc>
          <w:tcPr>
            <w:tcW w:w="6429" w:type="dxa"/>
            <w:vAlign w:val="center"/>
          </w:tcPr>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按综合报价方式，即交钥匙工程。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1277"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响应文件组成和封装</w:t>
            </w:r>
          </w:p>
        </w:tc>
        <w:tc>
          <w:tcPr>
            <w:tcW w:w="6429"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（1）正本</w:t>
            </w:r>
            <w:r>
              <w:rPr>
                <w:rFonts w:hint="eastAsia" w:asciiTheme="minorEastAsia" w:hAnsiTheme="minorEastAsia" w:eastAsiaTheme="minorEastAsia" w:cstheme="minorEastAsia"/>
                <w:sz w:val="24"/>
                <w:szCs w:val="24"/>
                <w:u w:val="single"/>
                <w:lang w:val="en-US"/>
              </w:rPr>
              <w:t xml:space="preserve"> 1  </w:t>
            </w:r>
            <w:r>
              <w:rPr>
                <w:rFonts w:hint="eastAsia" w:asciiTheme="minorEastAsia" w:hAnsiTheme="minorEastAsia" w:eastAsiaTheme="minorEastAsia" w:cstheme="minorEastAsia"/>
                <w:sz w:val="24"/>
                <w:szCs w:val="24"/>
                <w:lang w:val="en-US"/>
              </w:rPr>
              <w:t>份。</w:t>
            </w:r>
            <w:r>
              <w:rPr>
                <w:rFonts w:hint="eastAsia" w:asciiTheme="minorEastAsia" w:hAnsiTheme="minorEastAsia" w:eastAsiaTheme="minorEastAsia" w:cstheme="minorEastAsia"/>
                <w:sz w:val="24"/>
                <w:szCs w:val="24"/>
                <w:lang w:val="en-US" w:eastAsia="zh-CN"/>
              </w:rPr>
              <w:t>副本</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u w:val="single"/>
                <w:lang w:val="en-US" w:eastAsia="zh-CN"/>
              </w:rPr>
              <w:t>3</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lang w:val="en-US"/>
              </w:rPr>
              <w:t xml:space="preserve">份。 </w:t>
            </w:r>
          </w:p>
          <w:p>
            <w:pPr>
              <w:pStyle w:val="82"/>
              <w:ind w:left="614" w:leftChars="5" w:hanging="600" w:hangingChars="2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（2）响应文件装订成册，采用胶装，采用活页装订的响应文件不予受理。</w:t>
            </w:r>
          </w:p>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（3）响应文件密封。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1277" w:type="dxa"/>
            <w:vAlign w:val="center"/>
          </w:tcPr>
          <w:p>
            <w:pPr>
              <w:pStyle w:val="82"/>
              <w:ind w:left="-109" w:leftChars="-39" w:right="-106" w:rightChars="-3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响应文件递交截止时间和地点</w:t>
            </w:r>
          </w:p>
        </w:tc>
        <w:tc>
          <w:tcPr>
            <w:tcW w:w="6429" w:type="dxa"/>
            <w:vAlign w:val="center"/>
          </w:tcPr>
          <w:p>
            <w:pPr>
              <w:pStyle w:val="82"/>
              <w:ind w:left="107"/>
              <w:jc w:val="both"/>
              <w:rPr>
                <w:rFonts w:asciiTheme="minorEastAsia" w:hAnsiTheme="minorEastAsia" w:eastAsiaTheme="minorEastAsia" w:cstheme="minorEastAsia"/>
                <w:sz w:val="24"/>
                <w:szCs w:val="24"/>
                <w:highlight w:val="yellow"/>
                <w:lang w:val="en-US"/>
              </w:rPr>
            </w:pPr>
            <w:r>
              <w:rPr>
                <w:rFonts w:hint="eastAsia" w:asciiTheme="minorEastAsia" w:hAnsiTheme="minorEastAsia" w:eastAsiaTheme="minorEastAsia" w:cstheme="minorEastAsia"/>
                <w:sz w:val="24"/>
                <w:szCs w:val="24"/>
                <w:highlight w:val="yellow"/>
                <w:lang w:val="en-US"/>
              </w:rPr>
              <w:t>响应文件递交截止时间：202</w:t>
            </w:r>
            <w:r>
              <w:rPr>
                <w:rFonts w:hint="eastAsia" w:asciiTheme="minorEastAsia" w:hAnsiTheme="minorEastAsia" w:eastAsiaTheme="minorEastAsia" w:cstheme="minorEastAsia"/>
                <w:sz w:val="24"/>
                <w:szCs w:val="24"/>
                <w:highlight w:val="yellow"/>
                <w:lang w:val="en-US" w:eastAsia="zh-CN"/>
              </w:rPr>
              <w:t>4</w:t>
            </w:r>
            <w:r>
              <w:rPr>
                <w:rFonts w:hint="eastAsia" w:asciiTheme="minorEastAsia" w:hAnsiTheme="minorEastAsia" w:eastAsiaTheme="minorEastAsia" w:cstheme="minorEastAsia"/>
                <w:sz w:val="24"/>
                <w:szCs w:val="24"/>
                <w:highlight w:val="yellow"/>
                <w:lang w:val="en-US"/>
              </w:rPr>
              <w:t>年</w:t>
            </w:r>
            <w:r>
              <w:rPr>
                <w:rFonts w:hint="eastAsia" w:asciiTheme="minorEastAsia" w:hAnsiTheme="minorEastAsia" w:eastAsiaTheme="minorEastAsia" w:cstheme="minorEastAsia"/>
                <w:sz w:val="24"/>
                <w:szCs w:val="24"/>
                <w:highlight w:val="yellow"/>
                <w:lang w:val="en-US" w:eastAsia="zh-CN"/>
              </w:rPr>
              <w:t>1</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19</w:t>
            </w:r>
            <w:r>
              <w:rPr>
                <w:rFonts w:hint="eastAsia" w:asciiTheme="minorEastAsia" w:hAnsiTheme="minorEastAsia" w:eastAsiaTheme="minorEastAsia" w:cstheme="minorEastAsia"/>
                <w:sz w:val="24"/>
                <w:szCs w:val="24"/>
                <w:highlight w:val="yellow"/>
                <w:lang w:val="en-US"/>
              </w:rPr>
              <w:t>日</w:t>
            </w:r>
            <w:r>
              <w:rPr>
                <w:rFonts w:hint="eastAsia" w:asciiTheme="minorEastAsia" w:hAnsiTheme="minorEastAsia" w:eastAsiaTheme="minorEastAsia" w:cstheme="minorEastAsia"/>
                <w:sz w:val="24"/>
                <w:szCs w:val="24"/>
                <w:highlight w:val="yellow"/>
                <w:lang w:val="en-US" w:eastAsia="zh-CN"/>
              </w:rPr>
              <w:t>12</w:t>
            </w:r>
            <w:r>
              <w:rPr>
                <w:rFonts w:hint="eastAsia" w:asciiTheme="minorEastAsia" w:hAnsiTheme="minorEastAsia" w:eastAsiaTheme="minorEastAsia" w:cstheme="minorEastAsia"/>
                <w:sz w:val="24"/>
                <w:szCs w:val="24"/>
                <w:highlight w:val="yellow"/>
                <w:lang w:val="en-US"/>
              </w:rPr>
              <w:t>时</w:t>
            </w:r>
            <w:r>
              <w:rPr>
                <w:rFonts w:hint="eastAsia" w:asciiTheme="minorEastAsia" w:hAnsiTheme="minorEastAsia" w:eastAsiaTheme="minorEastAsia" w:cstheme="minorEastAsia"/>
                <w:sz w:val="24"/>
                <w:szCs w:val="24"/>
                <w:highlight w:val="yellow"/>
                <w:lang w:val="en-US" w:eastAsia="zh-CN"/>
              </w:rPr>
              <w:t>00</w:t>
            </w:r>
            <w:r>
              <w:rPr>
                <w:rFonts w:hint="eastAsia" w:asciiTheme="minorEastAsia" w:hAnsiTheme="minorEastAsia" w:eastAsiaTheme="minorEastAsia" w:cstheme="minorEastAsia"/>
                <w:sz w:val="24"/>
                <w:szCs w:val="24"/>
                <w:highlight w:val="yellow"/>
                <w:lang w:val="en-US"/>
              </w:rPr>
              <w:t>分。</w:t>
            </w:r>
          </w:p>
          <w:p>
            <w:pPr>
              <w:pStyle w:val="82"/>
              <w:spacing w:before="7"/>
              <w:ind w:left="107" w:right="95"/>
              <w:jc w:val="both"/>
              <w:rPr>
                <w:rFonts w:asciiTheme="minorEastAsia" w:hAnsiTheme="minorEastAsia" w:eastAsiaTheme="minorEastAsia" w:cstheme="minorEastAsia"/>
                <w:sz w:val="24"/>
                <w:szCs w:val="24"/>
                <w:highlight w:val="red"/>
                <w:lang w:val="en-US"/>
              </w:rPr>
            </w:pPr>
            <w:r>
              <w:rPr>
                <w:rFonts w:hint="eastAsia" w:asciiTheme="minorEastAsia" w:hAnsiTheme="minorEastAsia" w:eastAsiaTheme="minorEastAsia" w:cstheme="minorEastAsia"/>
                <w:sz w:val="24"/>
                <w:szCs w:val="24"/>
                <w:highlight w:val="yellow"/>
                <w:lang w:val="en-US"/>
              </w:rPr>
              <w:t>响应文件递交地点：</w:t>
            </w:r>
            <w:r>
              <w:rPr>
                <w:rFonts w:hint="eastAsia" w:asciiTheme="minorEastAsia" w:hAnsiTheme="minorEastAsia" w:eastAsiaTheme="minorEastAsia" w:cstheme="minorEastAsia"/>
                <w:sz w:val="24"/>
                <w:highlight w:val="yellow"/>
              </w:rPr>
              <w:t>湖北省文物考古研究院</w:t>
            </w:r>
            <w:r>
              <w:rPr>
                <w:rFonts w:hint="eastAsia" w:asciiTheme="minorEastAsia" w:hAnsiTheme="minorEastAsia" w:eastAsiaTheme="minorEastAsia" w:cstheme="minorEastAsia"/>
                <w:sz w:val="24"/>
                <w:szCs w:val="24"/>
                <w:highlight w:val="yellow"/>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w:t>
            </w:r>
          </w:p>
        </w:tc>
        <w:tc>
          <w:tcPr>
            <w:tcW w:w="1277" w:type="dxa"/>
            <w:vAlign w:val="center"/>
          </w:tcPr>
          <w:p>
            <w:pPr>
              <w:pStyle w:val="82"/>
              <w:jc w:val="both"/>
              <w:rPr>
                <w:rFonts w:asciiTheme="minorEastAsia" w:hAnsiTheme="minorEastAsia" w:eastAsiaTheme="minorEastAsia" w:cstheme="minorEastAsia"/>
              </w:rPr>
            </w:pPr>
            <w:r>
              <w:rPr>
                <w:rFonts w:hint="eastAsia" w:asciiTheme="minorEastAsia" w:hAnsiTheme="minorEastAsia" w:eastAsiaTheme="minorEastAsia" w:cstheme="minorEastAsia"/>
                <w:sz w:val="24"/>
                <w:szCs w:val="24"/>
                <w:lang w:val="en-US"/>
              </w:rPr>
              <w:t>谈判时间和地点</w:t>
            </w:r>
          </w:p>
        </w:tc>
        <w:tc>
          <w:tcPr>
            <w:tcW w:w="6429" w:type="dxa"/>
            <w:vAlign w:val="center"/>
          </w:tcPr>
          <w:p>
            <w:pPr>
              <w:pStyle w:val="82"/>
              <w:ind w:left="107"/>
              <w:jc w:val="both"/>
              <w:rPr>
                <w:rFonts w:asciiTheme="minorEastAsia" w:hAnsiTheme="minorEastAsia" w:eastAsiaTheme="minorEastAsia" w:cstheme="minorEastAsia"/>
                <w:sz w:val="24"/>
                <w:szCs w:val="24"/>
                <w:highlight w:val="yellow"/>
                <w:lang w:val="en-US"/>
              </w:rPr>
            </w:pPr>
            <w:r>
              <w:rPr>
                <w:rFonts w:hint="eastAsia" w:asciiTheme="minorEastAsia" w:hAnsiTheme="minorEastAsia" w:eastAsiaTheme="minorEastAsia" w:cstheme="minorEastAsia"/>
                <w:sz w:val="24"/>
                <w:szCs w:val="24"/>
                <w:highlight w:val="yellow"/>
                <w:lang w:val="en-US"/>
              </w:rPr>
              <w:t>谈判时间：202</w:t>
            </w:r>
            <w:r>
              <w:rPr>
                <w:rFonts w:hint="eastAsia" w:asciiTheme="minorEastAsia" w:hAnsiTheme="minorEastAsia" w:eastAsiaTheme="minorEastAsia" w:cstheme="minorEastAsia"/>
                <w:sz w:val="24"/>
                <w:szCs w:val="24"/>
                <w:highlight w:val="yellow"/>
                <w:lang w:val="en-US" w:eastAsia="zh-CN"/>
              </w:rPr>
              <w:t>4</w:t>
            </w:r>
            <w:r>
              <w:rPr>
                <w:rFonts w:hint="eastAsia" w:asciiTheme="minorEastAsia" w:hAnsiTheme="minorEastAsia" w:eastAsiaTheme="minorEastAsia" w:cstheme="minorEastAsia"/>
                <w:sz w:val="24"/>
                <w:szCs w:val="24"/>
                <w:highlight w:val="yellow"/>
                <w:lang w:val="en-US"/>
              </w:rPr>
              <w:t>年</w:t>
            </w:r>
            <w:r>
              <w:rPr>
                <w:rFonts w:hint="eastAsia" w:asciiTheme="minorEastAsia" w:hAnsiTheme="minorEastAsia" w:eastAsiaTheme="minorEastAsia" w:cstheme="minorEastAsia"/>
                <w:sz w:val="24"/>
                <w:szCs w:val="24"/>
                <w:highlight w:val="yellow"/>
                <w:lang w:val="en-US" w:eastAsia="zh-CN"/>
              </w:rPr>
              <w:t>1</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22</w:t>
            </w:r>
            <w:r>
              <w:rPr>
                <w:rFonts w:hint="eastAsia" w:asciiTheme="minorEastAsia" w:hAnsiTheme="minorEastAsia" w:eastAsiaTheme="minorEastAsia" w:cstheme="minorEastAsia"/>
                <w:sz w:val="24"/>
                <w:szCs w:val="24"/>
                <w:highlight w:val="yellow"/>
                <w:lang w:val="en-US"/>
              </w:rPr>
              <w:t>日</w:t>
            </w:r>
            <w:r>
              <w:rPr>
                <w:rFonts w:hint="eastAsia" w:asciiTheme="minorEastAsia" w:hAnsiTheme="minorEastAsia" w:eastAsiaTheme="minorEastAsia" w:cstheme="minorEastAsia"/>
                <w:sz w:val="24"/>
                <w:szCs w:val="24"/>
                <w:highlight w:val="yellow"/>
                <w:lang w:val="en-US" w:eastAsia="zh-CN"/>
              </w:rPr>
              <w:t>14</w:t>
            </w:r>
            <w:r>
              <w:rPr>
                <w:rFonts w:hint="eastAsia" w:asciiTheme="minorEastAsia" w:hAnsiTheme="minorEastAsia" w:eastAsiaTheme="minorEastAsia" w:cstheme="minorEastAsia"/>
                <w:sz w:val="24"/>
                <w:szCs w:val="24"/>
                <w:highlight w:val="yellow"/>
                <w:lang w:val="en-US"/>
              </w:rPr>
              <w:t>时</w:t>
            </w:r>
            <w:r>
              <w:rPr>
                <w:rFonts w:hint="eastAsia" w:asciiTheme="minorEastAsia" w:hAnsiTheme="minorEastAsia" w:eastAsiaTheme="minorEastAsia" w:cstheme="minorEastAsia"/>
                <w:sz w:val="24"/>
                <w:szCs w:val="24"/>
                <w:highlight w:val="yellow"/>
                <w:lang w:val="en-US" w:eastAsia="zh-CN"/>
              </w:rPr>
              <w:t>30</w:t>
            </w:r>
            <w:r>
              <w:rPr>
                <w:rFonts w:hint="eastAsia" w:asciiTheme="minorEastAsia" w:hAnsiTheme="minorEastAsia" w:eastAsiaTheme="minorEastAsia" w:cstheme="minorEastAsia"/>
                <w:sz w:val="24"/>
                <w:szCs w:val="24"/>
                <w:highlight w:val="yellow"/>
                <w:lang w:val="en-US"/>
              </w:rPr>
              <w:t>分。</w:t>
            </w:r>
          </w:p>
          <w:p>
            <w:pPr>
              <w:pStyle w:val="82"/>
              <w:spacing w:before="7"/>
              <w:ind w:left="107" w:right="96"/>
              <w:jc w:val="both"/>
              <w:rPr>
                <w:rFonts w:asciiTheme="minorEastAsia" w:hAnsiTheme="minorEastAsia" w:eastAsiaTheme="minorEastAsia" w:cstheme="minorEastAsia"/>
                <w:sz w:val="24"/>
                <w:szCs w:val="24"/>
                <w:highlight w:val="red"/>
                <w:lang w:val="en-US"/>
              </w:rPr>
            </w:pPr>
            <w:r>
              <w:rPr>
                <w:rFonts w:hint="eastAsia" w:asciiTheme="minorEastAsia" w:hAnsiTheme="minorEastAsia" w:eastAsiaTheme="minorEastAsia" w:cstheme="minorEastAsia"/>
                <w:sz w:val="24"/>
                <w:szCs w:val="24"/>
                <w:highlight w:val="yellow"/>
                <w:lang w:val="en-US"/>
              </w:rPr>
              <w:t>谈判地点：</w:t>
            </w:r>
            <w:r>
              <w:rPr>
                <w:rFonts w:hint="eastAsia" w:asciiTheme="minorEastAsia" w:hAnsiTheme="minorEastAsia" w:eastAsiaTheme="minorEastAsia" w:cstheme="minorEastAsia"/>
                <w:sz w:val="24"/>
                <w:highlight w:val="yellow"/>
              </w:rPr>
              <w:t>湖北省文物考古研究院</w:t>
            </w:r>
            <w:r>
              <w:rPr>
                <w:rFonts w:hint="eastAsia" w:asciiTheme="minorEastAsia" w:hAnsiTheme="minorEastAsia" w:eastAsiaTheme="minorEastAsia" w:cstheme="minorEastAsia"/>
                <w:sz w:val="24"/>
                <w:szCs w:val="24"/>
                <w:highlight w:val="yellow"/>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w:t>
            </w:r>
          </w:p>
        </w:tc>
        <w:tc>
          <w:tcPr>
            <w:tcW w:w="1277" w:type="dxa"/>
            <w:vAlign w:val="center"/>
          </w:tcPr>
          <w:p>
            <w:pPr>
              <w:pStyle w:val="82"/>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谈判小组</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由采购部门、监察部门、财务部门各安排一人参加。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评审办法</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采购人从谈判小组提出的成交候选人中根据符合采购需求、质量和服务相等且评审价最低的原则确定成交供应商。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公告媒体</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rPr>
              <w:t>湖北省文物考古研究院</w:t>
            </w:r>
            <w:r>
              <w:rPr>
                <w:rFonts w:hint="eastAsia" w:asciiTheme="minorEastAsia" w:hAnsiTheme="minorEastAsia" w:eastAsiaTheme="minorEastAsia" w:cstheme="minorEastAsia"/>
                <w:sz w:val="24"/>
                <w:szCs w:val="24"/>
                <w:lang w:val="en-US"/>
              </w:rPr>
              <w:t>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1277" w:type="dxa"/>
            <w:vAlign w:val="center"/>
          </w:tcPr>
          <w:p>
            <w:pPr>
              <w:pStyle w:val="82"/>
              <w:ind w:left="8"/>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报名需知</w:t>
            </w:r>
          </w:p>
        </w:tc>
        <w:tc>
          <w:tcPr>
            <w:tcW w:w="6429" w:type="dxa"/>
            <w:vAlign w:val="center"/>
          </w:tcPr>
          <w:p>
            <w:pPr>
              <w:pStyle w:val="82"/>
              <w:ind w:left="107"/>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报名截止时间：</w:t>
            </w:r>
            <w:r>
              <w:rPr>
                <w:rFonts w:hint="eastAsia" w:asciiTheme="minorEastAsia" w:hAnsiTheme="minorEastAsia" w:eastAsiaTheme="minorEastAsia" w:cstheme="minorEastAsia"/>
                <w:sz w:val="24"/>
                <w:szCs w:val="24"/>
                <w:highlight w:val="yellow"/>
                <w:lang w:val="en-US"/>
              </w:rPr>
              <w:t>202</w:t>
            </w:r>
            <w:r>
              <w:rPr>
                <w:rFonts w:hint="eastAsia" w:asciiTheme="minorEastAsia" w:hAnsiTheme="minorEastAsia" w:eastAsiaTheme="minorEastAsia" w:cstheme="minorEastAsia"/>
                <w:sz w:val="24"/>
                <w:szCs w:val="24"/>
                <w:highlight w:val="yellow"/>
                <w:lang w:val="en-US" w:eastAsia="zh-CN"/>
              </w:rPr>
              <w:t>4</w:t>
            </w:r>
            <w:r>
              <w:rPr>
                <w:rFonts w:hint="eastAsia" w:asciiTheme="minorEastAsia" w:hAnsiTheme="minorEastAsia" w:eastAsiaTheme="minorEastAsia" w:cstheme="minorEastAsia"/>
                <w:sz w:val="24"/>
                <w:szCs w:val="24"/>
                <w:highlight w:val="yellow"/>
                <w:lang w:val="en-US"/>
              </w:rPr>
              <w:t>年</w:t>
            </w:r>
            <w:r>
              <w:rPr>
                <w:rFonts w:hint="eastAsia" w:asciiTheme="minorEastAsia" w:hAnsiTheme="minorEastAsia" w:eastAsiaTheme="minorEastAsia" w:cstheme="minorEastAsia"/>
                <w:sz w:val="24"/>
                <w:szCs w:val="24"/>
                <w:highlight w:val="yellow"/>
                <w:lang w:val="en-US" w:eastAsia="zh-CN"/>
              </w:rPr>
              <w:t>1</w:t>
            </w:r>
            <w:r>
              <w:rPr>
                <w:rFonts w:hint="eastAsia" w:asciiTheme="minorEastAsia" w:hAnsiTheme="minorEastAsia" w:eastAsiaTheme="minorEastAsia" w:cstheme="minorEastAsia"/>
                <w:sz w:val="24"/>
                <w:szCs w:val="24"/>
                <w:highlight w:val="yellow"/>
                <w:lang w:val="en-US"/>
              </w:rPr>
              <w:t>月</w:t>
            </w:r>
            <w:r>
              <w:rPr>
                <w:rFonts w:hint="eastAsia" w:asciiTheme="minorEastAsia" w:hAnsiTheme="minorEastAsia" w:eastAsiaTheme="minorEastAsia" w:cstheme="minorEastAsia"/>
                <w:sz w:val="24"/>
                <w:szCs w:val="24"/>
                <w:highlight w:val="yellow"/>
                <w:lang w:val="en-US" w:eastAsia="zh-CN"/>
              </w:rPr>
              <w:t>19</w:t>
            </w:r>
            <w:r>
              <w:rPr>
                <w:rFonts w:hint="eastAsia" w:asciiTheme="minorEastAsia" w:hAnsiTheme="minorEastAsia" w:eastAsiaTheme="minorEastAsia" w:cstheme="minorEastAsia"/>
                <w:sz w:val="24"/>
                <w:szCs w:val="24"/>
                <w:highlight w:val="yellow"/>
                <w:lang w:val="en-US"/>
              </w:rPr>
              <w:t>日12时00分。报名仅需提交电子版营业执照发至邮箱地址caiwu@hbkgy.com。</w:t>
            </w:r>
          </w:p>
        </w:tc>
      </w:tr>
    </w:tbl>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30"/>
          <w:szCs w:val="30"/>
        </w:rPr>
        <w:t>二、供应商须知</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一、总　则</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1.适用范围</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1.1本文件仅适用于本文件中所叙述的货物、服务类政府采购项目，具体内容见《供应商须知前附表》。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2.定义</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2.1“监管部门”是指：详见《供应商须知前附表》。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2.2“采购人”是指：详见《供应商须知前附表》。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2.3“供应商”是指：获得该项目谈判小组确定参加谈判的法人或者其他组织及自然人，确定办法见《供应商须知前附表》。如供应商在本次谈判中成交,即成为“成交供应商”。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2.5“货物”是指：成交供应商按本文件规定，向采购人提供的一切货物及其相关服务。根据《政府采购法》的相关规定均应是本国货物，另有规定的除外。</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2.7“服务”是指：成交供应商按本文件规定向采购人提供的所有服务。</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2.8“响应文件”是指：供应商根据本文件要求编制包含价格、技术、服务和合同草案条款等所有内容的文件。</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供应商的应具备《供应商须知前附表》中所列资格条件,并提供相关证明材料,对于未提供或提供的材料不符合本文件要求的，谈判小组将拒绝其参加谈判。资格证明文件应真实可靠、不得伪造。响应文件正本中提交的资格证明文件为复印件的，应加盖公章。</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费用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4.1供应商应自行承担所有与编写和提交响应文件有关的费用，不论谈判结果如何，采购人和集中采购机构在任何情况下无义务和责任承担此类费用。</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4.2采购机构不向成交供应商收取服务费。</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保密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5.1参与谈判活动的各方应对竞争性谈判文件和响应文件中的商业和技术等秘密保密，违者应对此造成的后果承担法律责任。</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 计量单位</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6.1所有计量均采用中华人民共和国法定计量单位。</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其他</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7.1响应文件应完全响应竞争性谈判文件规定的实质性内容和条件。</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7.2竞争性谈判文件中如有描述歧义或前后不一致的地方，谈判小组有权按公平、合理的原则进行评判，但对同一条款的评判适用于每个供应商。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7.3响应文件的响应内容应当真实、明确、准确。否则，谈判小组将对其作出不利的评审。</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440" w:lineRule="exact"/>
        <w:ind w:left="420" w:hanging="42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二、响应文件的编制</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 响应文件编制基本要求</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8.1响应文件以及与集中采购机构和采购人就有关谈判的所有来往函电均应使用简体中文。</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8.2供应商应认真阅读、并充分理解本文件的全部内容（包括所有的补充、修改内容），承诺并履行本文件中各项条款规定及要求。</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8.3响应文件应按本文件的全部内容，包括所有的补充通知及附件进行编制。供应商受邀参加本文件多个包谈判的，其响应文件的编制应按每包要求分别装订和封装。</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8.4如因供应商只提供本文件要求的部分内容或附件的，谈判小组有权拒绝其补充和谈判。</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8.5响应文件的组成</w:t>
      </w:r>
    </w:p>
    <w:p>
      <w:pPr>
        <w:spacing w:line="440" w:lineRule="exact"/>
        <w:ind w:left="364" w:leftChars="13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不限于以下内容，如未提供，谈判小组有权拒绝其响应文件：</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1）谈判书(附件1)；</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2）报价组成情况表(附件2)；</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3）货物（服务）清单(附件3)；</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4）资格性符合性检查对照表(附件4)；</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5）技术响应、偏离情况说明表(附件5)；</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6）合同草案条款响应、偏离情况说明表(附件6)；</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7）法人（负责人）代表授权书(附件7)；</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8）法人或者其他组织的营业执照等证明文件，自然人的身份证明(附件8)；</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9）具备履行合同所必需的设备和专业技术能力的证明材料(附件10)；</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10）供应商认为需要提供的其他资格证明文件及资料。</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8.6按《供应商须知前附表》规定需要提供的其他资格证明文件及资料。</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三、响应文件有效期</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 本项目谈判有效期按《供应商须知前附表》规定的期间内保持有效，在此期间响应文件有效。谈判结束后，在有效期内谈判供应商不得改变谈判报价、服务期及承诺的全部义务。响应文件有效期比本文件规定短的，谈判小组将视响应文件无效予以拒绝。</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 在特殊情况下，在原谈判有效期满之前，集中采购机构可向谈判供应商提出延长谈判有效期的要求。这种要求与答复均应采用书面形式。谈判供应商可以拒绝集中采购机构的要求。同意延长谈判有效期的谈判供应商不允许修改其响应文件。</w:t>
      </w:r>
    </w:p>
    <w:p>
      <w:pPr>
        <w:spacing w:line="440" w:lineRule="exact"/>
        <w:outlineLvl w:val="0"/>
        <w:rPr>
          <w:rFonts w:asciiTheme="minorEastAsia" w:hAnsiTheme="minorEastAsia" w:eastAsiaTheme="minorEastAsia" w:cstheme="minorEastAsia"/>
          <w:sz w:val="24"/>
        </w:rPr>
      </w:pPr>
    </w:p>
    <w:p>
      <w:pPr>
        <w:spacing w:line="44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四、报价要求</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报价以人民币报价。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12.对于本文件中未列明，供应商认为必需的费用也需列入总报价。在合同实施时，采购人将不予支付成交供应商没有列入的项目费用，并认为此项目的费用已包括在总报价中。</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 报价方式见《供应商须知前附表》。</w:t>
      </w:r>
    </w:p>
    <w:p>
      <w:pPr>
        <w:spacing w:line="440" w:lineRule="exact"/>
        <w:ind w:left="420" w:hanging="420"/>
        <w:rPr>
          <w:rFonts w:asciiTheme="minorEastAsia" w:hAnsiTheme="minorEastAsia" w:eastAsiaTheme="minorEastAsia" w:cstheme="minorEastAsia"/>
          <w:sz w:val="24"/>
        </w:rPr>
      </w:pP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五、响应文件的份数、封装和递交</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 响应文件的份数和封装：详见《供应商须知前附表》。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 响应文件的递交：详见《供应商须知前附表》。</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 谈判时间和地点：详见《供应商须知前附表》。</w:t>
      </w:r>
    </w:p>
    <w:p>
      <w:pPr>
        <w:spacing w:line="440" w:lineRule="exact"/>
        <w:ind w:left="401" w:hanging="400" w:hangingChars="16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 迟交的响应文件：集中采购机构将拒绝或原封退回在其规定的递交响应文件截止时间之后收到的任何响应文件。</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六、谈判小组的组成</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 本次谈判由湖北省博物馆依法组建的谈判小组进行，谈判小组负责制定谈判文件、确定谈判供应商名单、响应文件的评审、谈判、根据谈判情况编写评审报告，协助处理质疑等工作。</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 谈判小组组成见《供应商须知前附表》。</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七、谈判的步骤</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 谈判供应商授权代表及其商务技术人员按要求参加本项目谈判过程。</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资格性评审</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21.1谈判小组验证各供应商法人（负责人）或委托授权人的身份。供应商法人（负责人）或委托授权人身份与响应文件不符的、响应文件未按要求加盖印章和签字的，谈判小组将拒绝该供应商参加谈判。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21.2谈判小组根据谈判文件规定的供应商资格条件、评定成交的标准等事项对供应商提交的响应文件进行评审，资格性评审不符合谈判文件要求的响应文件按无效文件处理，不进入谈判，并告知有关供应商。</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 第一轮谈判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22.1谈判小组将按照随机抽签的顺序决定谈判供应商的谈判顺序，并与单一谈判供应商分别进行谈判。</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22.2谈判小组对照谈判文件与供应商的响应文件分别就采购需求、质量和服务等进行谈判，并了解其报价组成情况。谈判中，谈判的任何一方不得透露与谈判有关的其他供应商的技术资料、价格和其他信息。</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22.3响应文件的澄清和说明</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2）谈判小组要求供应商澄清、说明或者更正响应文件应以书面形式作出。供应商的澄清、说明或者更正应当由法定代表人（负责人）或其授权代表签字或者加盖印章。</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3）供应商可以对参加谈判项目的采购需求提出优化建议，并以书面提交谈判小组。</w:t>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22.4谈判小组按谈判文件设定的方法和标准确定谈判供应商符合谈判文件要求的，该谈判供应商即为合格的供应商。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22.5第一轮谈判后，合格的供应商超过三家的，谈判小组可根据采购项目的特点、采购人的实际需求及与各供应商的谈判情况对谈判文件作出实质性变动，并进行下一轮谈判，或直接进入最后报价。变动后的谈判文件至少有3家供应商满足。</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22.6合格的供应商不足3家的，谈判小组、采购人在降低采购需求中的技术、服务要求以及合同草案条款后进行下一轮谈判。否则，本次谈判终止，重新开展采购活动。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 谈判文件修正</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23.1谈判小组可根据谈判文件和谈判情况实质性变动采购需求中的技术、服务要求以及合同草案条款，但不得变动谈判文件中的其他内容。对谈判文件作出的实质性变动是谈判文件的有效组成部分。</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23.2谈判小组将谈判文件的修改结果以书面形式通知参加谈判的供应商。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23.3谈判供应商根据第一轮谈判情况和谈判文件修改书面通知，对原响应文件进行修正，并将修正文件签字（或盖章）后密封送交谈判小组。逾时不交的，视同放弃谈判。修正文件与响应文件同具法律效应。</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23.4对无法详细描述需求，需要供应商提供设计或者解决方案的项目，谈判小组可以根据采购人对需求确认情况，进行多轮谈判，直至采购人代表最终确认采购需求为止。</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 第二轮谈判</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24.1谈判小组就修正后的谈判文件与谈判供应商分别进行谈判。</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24.2第二轮谈判结束后，实质性响应谈判文件及变动后谈判文件要求的供应商超过或不足3家的，按照上一轮谈判程序办理，以此类推。</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 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25.1谈判小组对谈判文件中能够详细列明采购标的的技术、服务要求的，在谈判结束后，所有继续参加谈判合格的供应商应在规定时间内提交最后报价。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25.2谈判小组对谈判文件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报价。</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25.3如果出现相同最低报价，谈判小组将要求相同最低报价的谈判供应商再次报价，直至确定只有一个最低报价为止。</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25.4谈判供应商的报价均超过了政府采购预算或报价未超过采购预算的供应商不足三家的，谈判活动终止。</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25.5最后报价文件应密封，并在规定的同一时间内提交。最后报价是供应商响应文件的有效组成部分。</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八、确定成交供应商</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 谈判小组从质量和服务均能满足本文件实质性要求的供应商中，按照评审价或报价由低到高的顺序提出3名以上成交候选人，也可按事先授权直接确定成交供应商，并编写评审报告。当出现两个及以上相同最低评审价时，谈判小组按报价由低到高确定评审结果排序。</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 评审办法见《供应商须知前附表》。</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 成交候选供应商因特殊原因放弃或因不可抗力提出不能履行合同，才可依据谈判小组评审结果次序依次递补。</w:t>
      </w:r>
    </w:p>
    <w:p>
      <w:pPr>
        <w:spacing w:line="440" w:lineRule="exact"/>
        <w:ind w:left="360" w:hanging="360" w:hangingChars="150"/>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九、发布成交公告</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 公告媒体。采购人确定成交供应商后，采购机构按《供应商须知前附表》规定的媒体上公告成交结果，同时向成交供应商发出成交通知书。公告期为一个工作日。</w:t>
      </w:r>
    </w:p>
    <w:p>
      <w:pPr>
        <w:spacing w:line="440" w:lineRule="exact"/>
        <w:ind w:left="363" w:leftChars="1"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 质疑和回复见《供应商须知前附表》。</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十、签订合同</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 成交供应商在收到成交通知书后，三十日内与采购人签订供货服务合同。</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十一、付款方式</w:t>
      </w:r>
    </w:p>
    <w:p>
      <w:pPr>
        <w:spacing w:line="440" w:lineRule="exact"/>
        <w:rPr>
          <w:rFonts w:hint="eastAsia" w:asciiTheme="minorEastAsia" w:hAnsiTheme="minorEastAsia" w:eastAsiaTheme="minorEastAsia" w:cstheme="minorEastAsia"/>
          <w:sz w:val="24"/>
          <w:szCs w:val="22"/>
          <w:highlight w:val="lightGray"/>
        </w:rPr>
      </w:pPr>
      <w:r>
        <w:rPr>
          <w:rFonts w:hint="eastAsia" w:asciiTheme="minorEastAsia" w:hAnsiTheme="minorEastAsia" w:eastAsiaTheme="minorEastAsia" w:cstheme="minorEastAsia"/>
          <w:sz w:val="24"/>
        </w:rPr>
        <w:t xml:space="preserve">32. </w:t>
      </w:r>
      <w:r>
        <w:rPr>
          <w:rFonts w:hint="eastAsia" w:asciiTheme="minorEastAsia" w:hAnsiTheme="minorEastAsia" w:eastAsiaTheme="minorEastAsia" w:cstheme="minorEastAsia"/>
          <w:sz w:val="24"/>
          <w:highlight w:val="lightGray"/>
          <w:lang w:eastAsia="zh-CN"/>
        </w:rPr>
        <w:t>详见</w:t>
      </w:r>
      <w:r>
        <w:rPr>
          <w:rFonts w:hint="eastAsia" w:asciiTheme="minorEastAsia" w:hAnsiTheme="minorEastAsia" w:eastAsiaTheme="minorEastAsia" w:cstheme="minorEastAsia"/>
          <w:sz w:val="24"/>
          <w:szCs w:val="22"/>
          <w:highlight w:val="lightGray"/>
        </w:rPr>
        <w:t>2.1.7付款方式</w:t>
      </w:r>
    </w:p>
    <w:p>
      <w:pPr>
        <w:spacing w:line="440" w:lineRule="exact"/>
        <w:rPr>
          <w:rFonts w:hint="eastAsia" w:asciiTheme="minorEastAsia" w:hAnsiTheme="minorEastAsia" w:eastAsiaTheme="minorEastAsia" w:cstheme="minorEastAsia"/>
          <w:sz w:val="24"/>
          <w:szCs w:val="22"/>
          <w:highlight w:val="lightGray"/>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十二、适用法律</w:t>
      </w:r>
    </w:p>
    <w:p>
      <w:pPr>
        <w:spacing w:line="440" w:lineRule="exact"/>
        <w:ind w:left="420" w:hanging="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 采购当事人的一切活动均适用于《中华人民共和国政府采购法》、《中华人民共和国政府采购法实施条例》、《政府采购非招标采购方式管理办法》及相关法规。</w:t>
      </w:r>
    </w:p>
    <w:p>
      <w:pPr>
        <w:spacing w:line="500" w:lineRule="exact"/>
        <w:jc w:val="center"/>
        <w:rPr>
          <w:rFonts w:asciiTheme="minorEastAsia" w:hAnsiTheme="minorEastAsia" w:eastAsiaTheme="minorEastAsia" w:cstheme="minorEastAsia"/>
          <w:sz w:val="36"/>
          <w:szCs w:val="36"/>
        </w:rPr>
        <w:sectPr>
          <w:headerReference r:id="rId6" w:type="default"/>
          <w:pgSz w:w="11906" w:h="16838"/>
          <w:pgMar w:top="1440" w:right="1800" w:bottom="1440" w:left="1800" w:header="851" w:footer="992" w:gutter="0"/>
          <w:cols w:space="425" w:num="1"/>
          <w:docGrid w:type="lines" w:linePitch="312" w:charSpace="0"/>
        </w:sectPr>
      </w:pPr>
    </w:p>
    <w:p>
      <w:pPr>
        <w:spacing w:line="5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第三章  服务技术规格、参数及要求</w:t>
      </w:r>
    </w:p>
    <w:p>
      <w:pPr>
        <w:spacing w:before="240" w:after="6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一、服务参数及要求</w:t>
      </w:r>
    </w:p>
    <w:p>
      <w:pPr>
        <w:spacing w:line="440" w:lineRule="exact"/>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在现有基础上依据相关技术标准对8间厕所进行维修，拟将8套现有蹲坑改为坐式马桶（相关面积80㎡，施工需拆除原瓷砖及隔断。拟铺设防滑瓷砖，铺设防滑地垫）、加装30组无障碍设施（扶手、安全抓手等）、22套脚踏冲水器、30个厕所挂钩，满足考古博物馆接待老年人、孕妇等人士的需要。</w:t>
      </w:r>
    </w:p>
    <w:p>
      <w:p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维修方案工程量如下：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332"/>
        <w:gridCol w:w="1762"/>
        <w:gridCol w:w="977"/>
        <w:gridCol w:w="623"/>
        <w:gridCol w:w="647"/>
        <w:gridCol w:w="816"/>
        <w:gridCol w:w="845"/>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序号</w:t>
            </w:r>
          </w:p>
        </w:tc>
        <w:tc>
          <w:tcPr>
            <w:tcW w:w="1393"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项目名称</w:t>
            </w:r>
          </w:p>
        </w:tc>
        <w:tc>
          <w:tcPr>
            <w:tcW w:w="1924" w:type="dxa"/>
            <w:vMerge w:val="restart"/>
          </w:tcPr>
          <w:p>
            <w:pPr>
              <w:spacing w:line="480" w:lineRule="auto"/>
              <w:rPr>
                <w:rFonts w:hint="eastAsia" w:ascii="宋体" w:hAnsi="宋体" w:eastAsia="宋体"/>
                <w:sz w:val="24"/>
                <w:szCs w:val="24"/>
              </w:rPr>
            </w:pPr>
            <w:r>
              <w:rPr>
                <w:rFonts w:hint="eastAsia" w:ascii="宋体" w:hAnsi="宋体" w:eastAsia="宋体"/>
                <w:sz w:val="24"/>
                <w:szCs w:val="24"/>
                <w:highlight w:val="red"/>
              </w:rPr>
              <w:t>项目特征描述</w:t>
            </w:r>
          </w:p>
        </w:tc>
        <w:tc>
          <w:tcPr>
            <w:tcW w:w="779"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计量单位</w:t>
            </w:r>
          </w:p>
        </w:tc>
        <w:tc>
          <w:tcPr>
            <w:tcW w:w="648" w:type="dxa"/>
            <w:vMerge w:val="restart"/>
          </w:tcPr>
          <w:p>
            <w:pPr>
              <w:spacing w:line="480" w:lineRule="auto"/>
              <w:rPr>
                <w:rFonts w:hint="eastAsia" w:ascii="宋体" w:hAnsi="宋体" w:eastAsia="宋体"/>
                <w:sz w:val="24"/>
                <w:szCs w:val="24"/>
              </w:rPr>
            </w:pPr>
            <w:r>
              <w:rPr>
                <w:rFonts w:hint="eastAsia" w:ascii="宋体" w:hAnsi="宋体" w:eastAsia="宋体"/>
                <w:sz w:val="24"/>
                <w:szCs w:val="24"/>
              </w:rPr>
              <w:t>工程量</w:t>
            </w:r>
          </w:p>
        </w:tc>
        <w:tc>
          <w:tcPr>
            <w:tcW w:w="1308" w:type="dxa"/>
            <w:gridSpan w:val="2"/>
          </w:tcPr>
          <w:p>
            <w:pPr>
              <w:spacing w:line="480" w:lineRule="auto"/>
              <w:rPr>
                <w:rFonts w:hint="eastAsia" w:ascii="宋体" w:hAnsi="宋体" w:eastAsia="宋体"/>
                <w:sz w:val="24"/>
                <w:szCs w:val="24"/>
                <w:highlight w:val="lightGray"/>
              </w:rPr>
            </w:pPr>
            <w:r>
              <w:rPr>
                <w:rFonts w:hint="eastAsia" w:ascii="宋体" w:hAnsi="宋体"/>
                <w:sz w:val="24"/>
                <w:szCs w:val="24"/>
                <w:highlight w:val="lightGray"/>
                <w:lang w:eastAsia="zh-CN"/>
              </w:rPr>
              <w:t>预算</w:t>
            </w:r>
            <w:r>
              <w:rPr>
                <w:rFonts w:hint="eastAsia" w:ascii="宋体" w:hAnsi="宋体" w:eastAsia="宋体"/>
                <w:sz w:val="21"/>
                <w:szCs w:val="21"/>
                <w:highlight w:val="lightGray"/>
              </w:rPr>
              <w:t>限价</w:t>
            </w:r>
            <w:r>
              <w:rPr>
                <w:rFonts w:hint="eastAsia" w:ascii="宋体" w:hAnsi="宋体" w:eastAsia="宋体"/>
                <w:sz w:val="24"/>
                <w:szCs w:val="24"/>
                <w:highlight w:val="lightGray"/>
              </w:rPr>
              <w:t>金额</w:t>
            </w:r>
          </w:p>
        </w:tc>
        <w:tc>
          <w:tcPr>
            <w:tcW w:w="1948" w:type="dxa"/>
            <w:gridSpan w:val="2"/>
          </w:tcPr>
          <w:p>
            <w:pPr>
              <w:spacing w:line="480" w:lineRule="auto"/>
              <w:jc w:val="center"/>
              <w:rPr>
                <w:rFonts w:hint="eastAsia" w:ascii="宋体" w:hAnsi="宋体" w:eastAsia="宋体"/>
                <w:sz w:val="24"/>
                <w:szCs w:val="24"/>
                <w:highlight w:val="lightGray"/>
              </w:rPr>
            </w:pPr>
            <w:r>
              <w:rPr>
                <w:rFonts w:hint="eastAsia" w:ascii="宋体" w:hAnsi="宋体"/>
                <w:sz w:val="24"/>
                <w:szCs w:val="24"/>
                <w:highlight w:val="lightGray"/>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tcPr>
          <w:p>
            <w:pPr>
              <w:spacing w:line="480" w:lineRule="auto"/>
              <w:rPr>
                <w:rFonts w:hint="eastAsia" w:ascii="宋体" w:hAnsi="宋体" w:eastAsia="宋体"/>
                <w:sz w:val="24"/>
                <w:szCs w:val="24"/>
              </w:rPr>
            </w:pPr>
          </w:p>
        </w:tc>
        <w:tc>
          <w:tcPr>
            <w:tcW w:w="1393" w:type="dxa"/>
            <w:vMerge w:val="continue"/>
          </w:tcPr>
          <w:p>
            <w:pPr>
              <w:spacing w:line="480" w:lineRule="auto"/>
              <w:rPr>
                <w:rFonts w:hint="eastAsia" w:ascii="宋体" w:hAnsi="宋体" w:eastAsia="宋体"/>
                <w:sz w:val="24"/>
                <w:szCs w:val="24"/>
              </w:rPr>
            </w:pPr>
          </w:p>
        </w:tc>
        <w:tc>
          <w:tcPr>
            <w:tcW w:w="1924" w:type="dxa"/>
            <w:vMerge w:val="continue"/>
          </w:tcPr>
          <w:p>
            <w:pPr>
              <w:spacing w:line="480" w:lineRule="auto"/>
              <w:rPr>
                <w:rFonts w:hint="eastAsia" w:ascii="宋体" w:hAnsi="宋体" w:eastAsia="宋体"/>
                <w:sz w:val="24"/>
                <w:szCs w:val="24"/>
              </w:rPr>
            </w:pPr>
          </w:p>
        </w:tc>
        <w:tc>
          <w:tcPr>
            <w:tcW w:w="779" w:type="dxa"/>
            <w:vMerge w:val="continue"/>
          </w:tcPr>
          <w:p>
            <w:pPr>
              <w:spacing w:line="480" w:lineRule="auto"/>
              <w:rPr>
                <w:rFonts w:hint="eastAsia" w:ascii="宋体" w:hAnsi="宋体" w:eastAsia="宋体"/>
                <w:sz w:val="24"/>
                <w:szCs w:val="24"/>
              </w:rPr>
            </w:pPr>
          </w:p>
        </w:tc>
        <w:tc>
          <w:tcPr>
            <w:tcW w:w="648" w:type="dxa"/>
            <w:vMerge w:val="continue"/>
          </w:tcPr>
          <w:p>
            <w:pPr>
              <w:spacing w:line="480" w:lineRule="auto"/>
              <w:rPr>
                <w:rFonts w:hint="eastAsia" w:ascii="宋体" w:hAnsi="宋体" w:eastAsia="宋体"/>
                <w:sz w:val="24"/>
                <w:szCs w:val="24"/>
              </w:rPr>
            </w:pPr>
          </w:p>
        </w:tc>
        <w:tc>
          <w:tcPr>
            <w:tcW w:w="658" w:type="dxa"/>
          </w:tcPr>
          <w:p>
            <w:pPr>
              <w:spacing w:line="480" w:lineRule="auto"/>
              <w:rPr>
                <w:rFonts w:hint="eastAsia" w:ascii="宋体" w:hAnsi="宋体" w:eastAsia="宋体"/>
                <w:sz w:val="21"/>
                <w:szCs w:val="21"/>
                <w:highlight w:val="lightGray"/>
              </w:rPr>
            </w:pPr>
            <w:r>
              <w:rPr>
                <w:rFonts w:hint="eastAsia" w:ascii="宋体" w:hAnsi="宋体" w:eastAsia="宋体"/>
                <w:sz w:val="21"/>
                <w:szCs w:val="21"/>
                <w:highlight w:val="lightGray"/>
              </w:rPr>
              <w:t>限价单价</w:t>
            </w:r>
          </w:p>
        </w:tc>
        <w:tc>
          <w:tcPr>
            <w:tcW w:w="650" w:type="dxa"/>
          </w:tcPr>
          <w:p>
            <w:pPr>
              <w:spacing w:line="480" w:lineRule="auto"/>
              <w:rPr>
                <w:rFonts w:hint="eastAsia" w:ascii="宋体" w:hAnsi="宋体" w:eastAsia="宋体"/>
                <w:sz w:val="21"/>
                <w:szCs w:val="21"/>
                <w:highlight w:val="lightGray"/>
                <w:lang w:eastAsia="zh-CN"/>
              </w:rPr>
            </w:pPr>
            <w:r>
              <w:rPr>
                <w:rFonts w:hint="eastAsia" w:ascii="宋体" w:hAnsi="宋体" w:eastAsia="宋体"/>
                <w:sz w:val="21"/>
                <w:szCs w:val="21"/>
                <w:highlight w:val="lightGray"/>
              </w:rPr>
              <w:t>限价</w:t>
            </w:r>
            <w:r>
              <w:rPr>
                <w:rFonts w:hint="eastAsia" w:ascii="宋体" w:hAnsi="宋体"/>
                <w:sz w:val="21"/>
                <w:szCs w:val="21"/>
                <w:highlight w:val="lightGray"/>
                <w:lang w:eastAsia="zh-CN"/>
              </w:rPr>
              <w:t>小</w:t>
            </w:r>
            <w:r>
              <w:rPr>
                <w:rFonts w:hint="eastAsia" w:ascii="宋体" w:hAnsi="宋体" w:eastAsia="宋体"/>
                <w:sz w:val="21"/>
                <w:szCs w:val="21"/>
                <w:highlight w:val="lightGray"/>
                <w:lang w:eastAsia="zh-CN"/>
              </w:rPr>
              <w:t>计</w:t>
            </w:r>
          </w:p>
        </w:tc>
        <w:tc>
          <w:tcPr>
            <w:tcW w:w="909" w:type="dxa"/>
          </w:tcPr>
          <w:p>
            <w:pPr>
              <w:spacing w:line="480" w:lineRule="auto"/>
              <w:rPr>
                <w:rFonts w:hint="eastAsia" w:ascii="宋体" w:hAnsi="宋体"/>
                <w:sz w:val="21"/>
                <w:szCs w:val="21"/>
                <w:highlight w:val="lightGray"/>
                <w:lang w:eastAsia="zh-CN"/>
              </w:rPr>
            </w:pPr>
            <w:r>
              <w:rPr>
                <w:rFonts w:hint="eastAsia" w:ascii="宋体" w:hAnsi="宋体"/>
                <w:sz w:val="21"/>
                <w:szCs w:val="21"/>
                <w:highlight w:val="lightGray"/>
                <w:lang w:eastAsia="zh-CN"/>
              </w:rPr>
              <w:t>报价</w:t>
            </w:r>
          </w:p>
          <w:p>
            <w:pPr>
              <w:spacing w:line="480" w:lineRule="auto"/>
              <w:rPr>
                <w:rFonts w:hint="eastAsia" w:ascii="宋体" w:hAnsi="宋体" w:eastAsia="宋体"/>
                <w:sz w:val="24"/>
                <w:szCs w:val="24"/>
                <w:highlight w:val="lightGray"/>
              </w:rPr>
            </w:pPr>
            <w:r>
              <w:rPr>
                <w:rFonts w:hint="eastAsia" w:ascii="宋体" w:hAnsi="宋体" w:eastAsia="宋体"/>
                <w:sz w:val="21"/>
                <w:szCs w:val="21"/>
                <w:highlight w:val="lightGray"/>
              </w:rPr>
              <w:t>单价</w:t>
            </w:r>
          </w:p>
        </w:tc>
        <w:tc>
          <w:tcPr>
            <w:tcW w:w="1039" w:type="dxa"/>
          </w:tcPr>
          <w:p>
            <w:pPr>
              <w:spacing w:line="480" w:lineRule="auto"/>
              <w:rPr>
                <w:rFonts w:hint="eastAsia" w:ascii="宋体" w:hAnsi="宋体"/>
                <w:sz w:val="21"/>
                <w:szCs w:val="21"/>
                <w:highlight w:val="lightGray"/>
                <w:lang w:eastAsia="zh-CN"/>
              </w:rPr>
            </w:pPr>
            <w:r>
              <w:rPr>
                <w:rFonts w:hint="eastAsia" w:ascii="宋体" w:hAnsi="宋体"/>
                <w:sz w:val="21"/>
                <w:szCs w:val="21"/>
                <w:highlight w:val="lightGray"/>
                <w:lang w:eastAsia="zh-CN"/>
              </w:rPr>
              <w:t>报价</w:t>
            </w:r>
          </w:p>
          <w:p>
            <w:pPr>
              <w:spacing w:line="480" w:lineRule="auto"/>
              <w:rPr>
                <w:rFonts w:hint="eastAsia" w:ascii="宋体" w:hAnsi="宋体" w:eastAsia="宋体"/>
                <w:sz w:val="24"/>
                <w:szCs w:val="24"/>
                <w:highlight w:val="lightGray"/>
              </w:rPr>
            </w:pPr>
            <w:r>
              <w:rPr>
                <w:rFonts w:hint="eastAsia" w:ascii="宋体" w:hAnsi="宋体"/>
                <w:sz w:val="21"/>
                <w:szCs w:val="21"/>
                <w:highlight w:val="lightGray"/>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spacing w:line="480" w:lineRule="auto"/>
              <w:rPr>
                <w:rFonts w:hint="eastAsia" w:ascii="宋体" w:hAnsi="宋体" w:eastAsia="宋体"/>
                <w:sz w:val="24"/>
                <w:szCs w:val="24"/>
              </w:rPr>
            </w:pPr>
            <w:r>
              <w:rPr>
                <w:rFonts w:hint="eastAsia" w:ascii="宋体" w:hAnsi="宋体" w:eastAsia="宋体"/>
                <w:sz w:val="24"/>
                <w:szCs w:val="24"/>
              </w:rPr>
              <w:t>1</w:t>
            </w:r>
          </w:p>
        </w:tc>
        <w:tc>
          <w:tcPr>
            <w:tcW w:w="1393" w:type="dxa"/>
          </w:tcPr>
          <w:p>
            <w:pPr>
              <w:spacing w:line="480" w:lineRule="auto"/>
              <w:rPr>
                <w:rFonts w:hint="eastAsia" w:ascii="宋体" w:hAnsi="宋体" w:eastAsia="宋体"/>
                <w:sz w:val="24"/>
                <w:szCs w:val="24"/>
              </w:rPr>
            </w:pPr>
            <w:r>
              <w:rPr>
                <w:rFonts w:hint="eastAsia" w:ascii="宋体" w:hAnsi="宋体" w:eastAsia="宋体"/>
                <w:sz w:val="24"/>
                <w:szCs w:val="24"/>
              </w:rPr>
              <w:t>坐式马桶</w:t>
            </w:r>
          </w:p>
        </w:tc>
        <w:tc>
          <w:tcPr>
            <w:tcW w:w="1924" w:type="dxa"/>
          </w:tcPr>
          <w:p>
            <w:pPr>
              <w:spacing w:line="480" w:lineRule="auto"/>
              <w:rPr>
                <w:rFonts w:hint="eastAsia" w:ascii="宋体" w:hAnsi="宋体" w:eastAsia="宋体"/>
                <w:sz w:val="24"/>
                <w:szCs w:val="24"/>
              </w:rPr>
            </w:pPr>
            <w:r>
              <w:rPr>
                <w:rFonts w:hint="eastAsia" w:ascii="宋体" w:hAnsi="宋体" w:eastAsia="宋体"/>
                <w:sz w:val="24"/>
                <w:szCs w:val="24"/>
              </w:rPr>
              <w:t>老年人及无障碍厕位</w:t>
            </w:r>
          </w:p>
        </w:tc>
        <w:tc>
          <w:tcPr>
            <w:tcW w:w="779" w:type="dxa"/>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648" w:type="dxa"/>
          </w:tcPr>
          <w:p>
            <w:pPr>
              <w:spacing w:line="480" w:lineRule="auto"/>
              <w:rPr>
                <w:rFonts w:hint="eastAsia" w:ascii="宋体" w:hAnsi="宋体" w:eastAsia="宋体"/>
                <w:sz w:val="24"/>
                <w:szCs w:val="24"/>
              </w:rPr>
            </w:pPr>
            <w:r>
              <w:rPr>
                <w:rFonts w:hint="eastAsia" w:ascii="宋体" w:hAnsi="宋体" w:eastAsia="宋体"/>
                <w:sz w:val="24"/>
                <w:szCs w:val="24"/>
              </w:rPr>
              <w:t>8</w:t>
            </w:r>
          </w:p>
        </w:tc>
        <w:tc>
          <w:tcPr>
            <w:tcW w:w="658" w:type="dxa"/>
          </w:tcPr>
          <w:p>
            <w:pPr>
              <w:spacing w:line="480" w:lineRule="auto"/>
              <w:rPr>
                <w:rFonts w:hint="default" w:ascii="宋体" w:hAnsi="宋体" w:eastAsia="宋体"/>
                <w:sz w:val="24"/>
                <w:szCs w:val="24"/>
                <w:highlight w:val="red"/>
                <w:lang w:val="en-US" w:eastAsia="zh-CN"/>
              </w:rPr>
            </w:pPr>
            <w:r>
              <w:rPr>
                <w:rFonts w:hint="eastAsia" w:ascii="宋体" w:hAnsi="宋体"/>
                <w:sz w:val="24"/>
                <w:szCs w:val="24"/>
                <w:highlight w:val="red"/>
                <w:lang w:val="en-US" w:eastAsia="zh-CN"/>
              </w:rPr>
              <w:t>950</w:t>
            </w:r>
          </w:p>
        </w:tc>
        <w:tc>
          <w:tcPr>
            <w:tcW w:w="650" w:type="dxa"/>
            <w:vAlign w:val="top"/>
          </w:tcPr>
          <w:p>
            <w:pPr>
              <w:spacing w:line="480" w:lineRule="auto"/>
              <w:rPr>
                <w:rFonts w:hint="default" w:ascii="宋体" w:hAnsi="宋体" w:eastAsia="宋体" w:cs="Times New Roman"/>
                <w:kern w:val="2"/>
                <w:sz w:val="24"/>
                <w:szCs w:val="24"/>
                <w:highlight w:val="red"/>
                <w:lang w:val="en-US" w:eastAsia="zh-CN" w:bidi="ar-SA"/>
              </w:rPr>
            </w:pPr>
            <w:r>
              <w:rPr>
                <w:rFonts w:hint="eastAsia" w:ascii="宋体" w:hAnsi="宋体"/>
                <w:sz w:val="24"/>
                <w:szCs w:val="24"/>
                <w:highlight w:val="red"/>
                <w:lang w:val="en-US" w:eastAsia="zh-CN"/>
              </w:rPr>
              <w:t>7600</w:t>
            </w:r>
          </w:p>
        </w:tc>
        <w:tc>
          <w:tcPr>
            <w:tcW w:w="909" w:type="dxa"/>
          </w:tcPr>
          <w:p>
            <w:pPr>
              <w:spacing w:line="480" w:lineRule="auto"/>
              <w:rPr>
                <w:rFonts w:hint="eastAsia" w:ascii="宋体" w:hAnsi="宋体" w:eastAsia="宋体"/>
                <w:sz w:val="24"/>
                <w:szCs w:val="24"/>
              </w:rPr>
            </w:pPr>
          </w:p>
        </w:tc>
        <w:tc>
          <w:tcPr>
            <w:tcW w:w="1039" w:type="dxa"/>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spacing w:line="480" w:lineRule="auto"/>
              <w:rPr>
                <w:rFonts w:hint="eastAsia" w:ascii="宋体" w:hAnsi="宋体" w:eastAsia="宋体"/>
                <w:sz w:val="24"/>
                <w:szCs w:val="24"/>
              </w:rPr>
            </w:pPr>
            <w:r>
              <w:rPr>
                <w:rFonts w:hint="eastAsia" w:ascii="宋体" w:hAnsi="宋体" w:eastAsia="宋体"/>
                <w:sz w:val="24"/>
                <w:szCs w:val="24"/>
              </w:rPr>
              <w:t>2</w:t>
            </w:r>
          </w:p>
        </w:tc>
        <w:tc>
          <w:tcPr>
            <w:tcW w:w="1393" w:type="dxa"/>
          </w:tcPr>
          <w:p>
            <w:pPr>
              <w:spacing w:line="480" w:lineRule="auto"/>
              <w:rPr>
                <w:rFonts w:hint="eastAsia" w:ascii="宋体" w:hAnsi="宋体" w:eastAsia="宋体"/>
                <w:sz w:val="24"/>
                <w:szCs w:val="24"/>
              </w:rPr>
            </w:pPr>
            <w:r>
              <w:rPr>
                <w:rFonts w:hint="eastAsia" w:ascii="宋体" w:hAnsi="宋体" w:eastAsia="宋体"/>
                <w:sz w:val="24"/>
                <w:szCs w:val="24"/>
              </w:rPr>
              <w:t>厕所无障碍设施</w:t>
            </w:r>
          </w:p>
        </w:tc>
        <w:tc>
          <w:tcPr>
            <w:tcW w:w="1924" w:type="dxa"/>
          </w:tcPr>
          <w:p>
            <w:pPr>
              <w:spacing w:line="480" w:lineRule="auto"/>
              <w:rPr>
                <w:rFonts w:hint="eastAsia" w:ascii="宋体" w:hAnsi="宋体" w:eastAsia="宋体"/>
                <w:sz w:val="24"/>
                <w:szCs w:val="24"/>
              </w:rPr>
            </w:pPr>
            <w:r>
              <w:rPr>
                <w:rFonts w:hint="eastAsia" w:ascii="宋体" w:hAnsi="宋体" w:eastAsia="宋体"/>
                <w:sz w:val="24"/>
                <w:szCs w:val="24"/>
              </w:rPr>
              <w:t>蹲位扶手、安全抓手等</w:t>
            </w:r>
          </w:p>
        </w:tc>
        <w:tc>
          <w:tcPr>
            <w:tcW w:w="779" w:type="dxa"/>
          </w:tcPr>
          <w:p>
            <w:pPr>
              <w:spacing w:line="480" w:lineRule="auto"/>
              <w:rPr>
                <w:rFonts w:hint="eastAsia" w:ascii="宋体" w:hAnsi="宋体" w:eastAsia="宋体"/>
                <w:sz w:val="24"/>
                <w:szCs w:val="24"/>
              </w:rPr>
            </w:pPr>
            <w:r>
              <w:rPr>
                <w:rFonts w:hint="eastAsia" w:ascii="宋体" w:hAnsi="宋体" w:eastAsia="宋体"/>
                <w:sz w:val="24"/>
                <w:szCs w:val="24"/>
              </w:rPr>
              <w:t>组</w:t>
            </w:r>
          </w:p>
        </w:tc>
        <w:tc>
          <w:tcPr>
            <w:tcW w:w="648" w:type="dxa"/>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658" w:type="dxa"/>
            <w:vAlign w:val="top"/>
          </w:tcPr>
          <w:p>
            <w:pPr>
              <w:spacing w:line="480" w:lineRule="auto"/>
              <w:rPr>
                <w:rFonts w:hint="default" w:ascii="宋体" w:hAnsi="宋体" w:eastAsia="宋体"/>
                <w:sz w:val="24"/>
                <w:szCs w:val="24"/>
                <w:highlight w:val="red"/>
                <w:lang w:val="en-US" w:eastAsia="zh-CN"/>
              </w:rPr>
            </w:pPr>
            <w:r>
              <w:rPr>
                <w:rFonts w:hint="eastAsia" w:ascii="宋体" w:hAnsi="宋体" w:eastAsia="宋体"/>
                <w:sz w:val="24"/>
                <w:szCs w:val="24"/>
                <w:lang w:val="en-US" w:eastAsia="zh-CN"/>
              </w:rPr>
              <w:t>330</w:t>
            </w:r>
          </w:p>
        </w:tc>
        <w:tc>
          <w:tcPr>
            <w:tcW w:w="650" w:type="dxa"/>
            <w:vAlign w:val="top"/>
          </w:tcPr>
          <w:p>
            <w:pPr>
              <w:spacing w:line="480" w:lineRule="auto"/>
              <w:rPr>
                <w:rFonts w:hint="eastAsia" w:ascii="宋体" w:hAnsi="宋体" w:eastAsia="宋体" w:cs="Times New Roman"/>
                <w:kern w:val="2"/>
                <w:sz w:val="24"/>
                <w:szCs w:val="24"/>
                <w:highlight w:val="red"/>
                <w:lang w:val="en-US" w:eastAsia="zh-CN" w:bidi="ar-SA"/>
              </w:rPr>
            </w:pPr>
            <w:r>
              <w:rPr>
                <w:rFonts w:hint="eastAsia" w:ascii="宋体" w:hAnsi="宋体" w:eastAsia="宋体"/>
                <w:sz w:val="24"/>
                <w:szCs w:val="24"/>
                <w:lang w:val="en-US" w:eastAsia="zh-CN"/>
              </w:rPr>
              <w:t>9900</w:t>
            </w:r>
          </w:p>
        </w:tc>
        <w:tc>
          <w:tcPr>
            <w:tcW w:w="909" w:type="dxa"/>
          </w:tcPr>
          <w:p>
            <w:pPr>
              <w:spacing w:line="480" w:lineRule="auto"/>
              <w:rPr>
                <w:rFonts w:hint="eastAsia" w:ascii="宋体" w:hAnsi="宋体" w:eastAsia="宋体"/>
                <w:sz w:val="24"/>
                <w:szCs w:val="24"/>
              </w:rPr>
            </w:pPr>
          </w:p>
        </w:tc>
        <w:tc>
          <w:tcPr>
            <w:tcW w:w="1039" w:type="dxa"/>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spacing w:line="480" w:lineRule="auto"/>
              <w:rPr>
                <w:rFonts w:hint="eastAsia" w:ascii="宋体" w:hAnsi="宋体" w:eastAsia="宋体"/>
                <w:sz w:val="24"/>
                <w:szCs w:val="24"/>
              </w:rPr>
            </w:pPr>
            <w:r>
              <w:rPr>
                <w:rFonts w:hint="eastAsia" w:ascii="宋体" w:hAnsi="宋体" w:eastAsia="宋体"/>
                <w:sz w:val="24"/>
                <w:szCs w:val="24"/>
              </w:rPr>
              <w:t>3</w:t>
            </w:r>
          </w:p>
        </w:tc>
        <w:tc>
          <w:tcPr>
            <w:tcW w:w="1393" w:type="dxa"/>
          </w:tcPr>
          <w:p>
            <w:pPr>
              <w:spacing w:line="480" w:lineRule="auto"/>
              <w:rPr>
                <w:rFonts w:hint="eastAsia" w:ascii="宋体" w:hAnsi="宋体" w:eastAsia="宋体"/>
                <w:sz w:val="24"/>
                <w:szCs w:val="24"/>
              </w:rPr>
            </w:pPr>
            <w:r>
              <w:rPr>
                <w:rFonts w:hint="eastAsia" w:ascii="宋体" w:hAnsi="宋体" w:eastAsia="宋体"/>
                <w:sz w:val="24"/>
                <w:szCs w:val="24"/>
              </w:rPr>
              <w:t>脚踏冲水器</w:t>
            </w:r>
          </w:p>
        </w:tc>
        <w:tc>
          <w:tcPr>
            <w:tcW w:w="1924" w:type="dxa"/>
          </w:tcPr>
          <w:p>
            <w:pPr>
              <w:spacing w:line="480" w:lineRule="auto"/>
              <w:rPr>
                <w:rFonts w:hint="eastAsia" w:ascii="宋体" w:hAnsi="宋体" w:eastAsia="宋体"/>
                <w:sz w:val="24"/>
                <w:szCs w:val="24"/>
              </w:rPr>
            </w:pPr>
            <w:r>
              <w:rPr>
                <w:rFonts w:hint="eastAsia" w:ascii="宋体" w:hAnsi="宋体" w:eastAsia="宋体"/>
                <w:sz w:val="24"/>
                <w:szCs w:val="24"/>
                <w:lang w:eastAsia="zh-CN"/>
              </w:rPr>
              <w:t>全铜阀</w:t>
            </w:r>
          </w:p>
        </w:tc>
        <w:tc>
          <w:tcPr>
            <w:tcW w:w="779" w:type="dxa"/>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648" w:type="dxa"/>
          </w:tcPr>
          <w:p>
            <w:pPr>
              <w:spacing w:line="480" w:lineRule="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p>
        </w:tc>
        <w:tc>
          <w:tcPr>
            <w:tcW w:w="658" w:type="dxa"/>
            <w:vAlign w:val="top"/>
          </w:tcPr>
          <w:p>
            <w:pPr>
              <w:spacing w:line="480" w:lineRule="auto"/>
              <w:rPr>
                <w:rFonts w:hint="eastAsia" w:ascii="宋体" w:hAnsi="宋体" w:eastAsia="宋体"/>
                <w:sz w:val="24"/>
                <w:szCs w:val="24"/>
              </w:rPr>
            </w:pPr>
            <w:r>
              <w:rPr>
                <w:rFonts w:hint="eastAsia" w:ascii="宋体" w:hAnsi="宋体" w:eastAsia="宋体"/>
                <w:sz w:val="24"/>
                <w:szCs w:val="24"/>
                <w:lang w:val="en-US" w:eastAsia="zh-CN"/>
              </w:rPr>
              <w:t>250</w:t>
            </w:r>
          </w:p>
        </w:tc>
        <w:tc>
          <w:tcPr>
            <w:tcW w:w="650"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5500</w:t>
            </w:r>
          </w:p>
        </w:tc>
        <w:tc>
          <w:tcPr>
            <w:tcW w:w="909" w:type="dxa"/>
          </w:tcPr>
          <w:p>
            <w:pPr>
              <w:spacing w:line="480" w:lineRule="auto"/>
              <w:rPr>
                <w:rFonts w:hint="eastAsia" w:ascii="宋体" w:hAnsi="宋体" w:eastAsia="宋体"/>
                <w:sz w:val="24"/>
                <w:szCs w:val="24"/>
              </w:rPr>
            </w:pPr>
          </w:p>
        </w:tc>
        <w:tc>
          <w:tcPr>
            <w:tcW w:w="1039" w:type="dxa"/>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spacing w:line="480" w:lineRule="auto"/>
              <w:rPr>
                <w:rFonts w:hint="eastAsia" w:ascii="宋体" w:hAnsi="宋体" w:eastAsia="宋体"/>
                <w:sz w:val="24"/>
                <w:szCs w:val="24"/>
              </w:rPr>
            </w:pPr>
            <w:r>
              <w:rPr>
                <w:rFonts w:hint="eastAsia" w:ascii="宋体" w:hAnsi="宋体" w:eastAsia="宋体"/>
                <w:sz w:val="24"/>
                <w:szCs w:val="24"/>
              </w:rPr>
              <w:t>4</w:t>
            </w:r>
          </w:p>
        </w:tc>
        <w:tc>
          <w:tcPr>
            <w:tcW w:w="1393" w:type="dxa"/>
          </w:tcPr>
          <w:p>
            <w:pPr>
              <w:spacing w:line="480" w:lineRule="auto"/>
              <w:rPr>
                <w:rFonts w:hint="eastAsia" w:ascii="宋体" w:hAnsi="宋体" w:eastAsia="宋体"/>
                <w:sz w:val="24"/>
                <w:szCs w:val="24"/>
              </w:rPr>
            </w:pPr>
            <w:r>
              <w:rPr>
                <w:rFonts w:hint="eastAsia" w:ascii="宋体" w:hAnsi="宋体" w:eastAsia="宋体"/>
                <w:sz w:val="24"/>
                <w:szCs w:val="24"/>
              </w:rPr>
              <w:t>厕所挂钩</w:t>
            </w:r>
          </w:p>
        </w:tc>
        <w:tc>
          <w:tcPr>
            <w:tcW w:w="1924" w:type="dxa"/>
          </w:tcPr>
          <w:p>
            <w:pPr>
              <w:spacing w:line="480" w:lineRule="auto"/>
              <w:rPr>
                <w:rFonts w:hint="eastAsia" w:ascii="宋体" w:hAnsi="宋体" w:eastAsia="宋体"/>
                <w:sz w:val="24"/>
                <w:szCs w:val="24"/>
              </w:rPr>
            </w:pPr>
            <w:r>
              <w:rPr>
                <w:rFonts w:hint="eastAsia" w:ascii="宋体" w:hAnsi="宋体" w:eastAsia="宋体"/>
                <w:sz w:val="24"/>
                <w:szCs w:val="24"/>
                <w:lang w:eastAsia="zh-CN"/>
              </w:rPr>
              <w:t>不锈钢挂钩</w:t>
            </w:r>
          </w:p>
        </w:tc>
        <w:tc>
          <w:tcPr>
            <w:tcW w:w="779" w:type="dxa"/>
          </w:tcPr>
          <w:p>
            <w:pPr>
              <w:spacing w:line="480" w:lineRule="auto"/>
              <w:rPr>
                <w:rFonts w:hint="eastAsia" w:ascii="宋体" w:hAnsi="宋体" w:eastAsia="宋体"/>
                <w:sz w:val="24"/>
                <w:szCs w:val="24"/>
              </w:rPr>
            </w:pPr>
            <w:r>
              <w:rPr>
                <w:rFonts w:hint="eastAsia" w:ascii="宋体" w:hAnsi="宋体" w:eastAsia="宋体"/>
                <w:sz w:val="24"/>
                <w:szCs w:val="24"/>
              </w:rPr>
              <w:t>个</w:t>
            </w:r>
          </w:p>
        </w:tc>
        <w:tc>
          <w:tcPr>
            <w:tcW w:w="648" w:type="dxa"/>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658" w:type="dxa"/>
            <w:vAlign w:val="top"/>
          </w:tcPr>
          <w:p>
            <w:pPr>
              <w:spacing w:line="480" w:lineRule="auto"/>
              <w:rPr>
                <w:rFonts w:hint="eastAsia" w:ascii="宋体" w:hAnsi="宋体" w:eastAsia="宋体"/>
                <w:sz w:val="24"/>
                <w:szCs w:val="24"/>
              </w:rPr>
            </w:pPr>
            <w:r>
              <w:rPr>
                <w:rFonts w:hint="eastAsia" w:ascii="宋体" w:hAnsi="宋体" w:eastAsia="宋体"/>
                <w:sz w:val="24"/>
                <w:szCs w:val="24"/>
                <w:lang w:val="en-US" w:eastAsia="zh-CN"/>
              </w:rPr>
              <w:t>30</w:t>
            </w:r>
          </w:p>
        </w:tc>
        <w:tc>
          <w:tcPr>
            <w:tcW w:w="650"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900</w:t>
            </w:r>
          </w:p>
        </w:tc>
        <w:tc>
          <w:tcPr>
            <w:tcW w:w="909" w:type="dxa"/>
          </w:tcPr>
          <w:p>
            <w:pPr>
              <w:spacing w:line="480" w:lineRule="auto"/>
              <w:rPr>
                <w:rFonts w:hint="eastAsia" w:ascii="宋体" w:hAnsi="宋体" w:eastAsia="宋体"/>
                <w:sz w:val="24"/>
                <w:szCs w:val="24"/>
              </w:rPr>
            </w:pPr>
          </w:p>
        </w:tc>
        <w:tc>
          <w:tcPr>
            <w:tcW w:w="1039" w:type="dxa"/>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spacing w:line="480" w:lineRule="auto"/>
              <w:rPr>
                <w:rFonts w:hint="eastAsia" w:ascii="宋体" w:hAnsi="宋体" w:eastAsia="宋体"/>
                <w:sz w:val="24"/>
                <w:szCs w:val="24"/>
              </w:rPr>
            </w:pPr>
            <w:r>
              <w:rPr>
                <w:rFonts w:hint="eastAsia" w:ascii="宋体" w:hAnsi="宋体" w:eastAsia="宋体"/>
                <w:sz w:val="24"/>
                <w:szCs w:val="24"/>
              </w:rPr>
              <w:t>5</w:t>
            </w:r>
          </w:p>
        </w:tc>
        <w:tc>
          <w:tcPr>
            <w:tcW w:w="1393" w:type="dxa"/>
          </w:tcPr>
          <w:p>
            <w:pPr>
              <w:spacing w:line="480" w:lineRule="auto"/>
              <w:rPr>
                <w:rFonts w:hint="eastAsia" w:ascii="宋体" w:hAnsi="宋体" w:eastAsia="宋体"/>
                <w:sz w:val="24"/>
                <w:szCs w:val="24"/>
              </w:rPr>
            </w:pPr>
            <w:r>
              <w:rPr>
                <w:rFonts w:hint="eastAsia" w:ascii="宋体" w:hAnsi="宋体" w:eastAsia="宋体"/>
                <w:sz w:val="24"/>
                <w:szCs w:val="24"/>
              </w:rPr>
              <w:t>厕所瓷砖</w:t>
            </w:r>
          </w:p>
        </w:tc>
        <w:tc>
          <w:tcPr>
            <w:tcW w:w="1924" w:type="dxa"/>
          </w:tcPr>
          <w:p>
            <w:pPr>
              <w:spacing w:line="480" w:lineRule="auto"/>
              <w:rPr>
                <w:rFonts w:hint="eastAsia" w:ascii="宋体" w:hAnsi="宋体" w:eastAsia="宋体"/>
                <w:sz w:val="24"/>
                <w:szCs w:val="24"/>
              </w:rPr>
            </w:pPr>
            <w:r>
              <w:rPr>
                <w:rFonts w:hint="eastAsia" w:ascii="宋体" w:hAnsi="宋体" w:eastAsia="宋体"/>
                <w:sz w:val="24"/>
                <w:szCs w:val="24"/>
              </w:rPr>
              <w:t>防滑地面</w:t>
            </w:r>
          </w:p>
        </w:tc>
        <w:tc>
          <w:tcPr>
            <w:tcW w:w="779" w:type="dxa"/>
          </w:tcPr>
          <w:p>
            <w:pPr>
              <w:spacing w:line="480" w:lineRule="auto"/>
              <w:rPr>
                <w:rFonts w:hint="eastAsia" w:ascii="宋体" w:hAnsi="宋体" w:eastAsia="宋体"/>
                <w:sz w:val="24"/>
                <w:szCs w:val="24"/>
              </w:rPr>
            </w:pPr>
            <w:r>
              <w:rPr>
                <w:rFonts w:hint="eastAsia" w:ascii="宋体" w:hAnsi="宋体" w:eastAsia="宋体"/>
                <w:sz w:val="24"/>
                <w:szCs w:val="24"/>
              </w:rPr>
              <w:t>㎡</w:t>
            </w:r>
          </w:p>
        </w:tc>
        <w:tc>
          <w:tcPr>
            <w:tcW w:w="648" w:type="dxa"/>
          </w:tcPr>
          <w:p>
            <w:pPr>
              <w:spacing w:line="480" w:lineRule="auto"/>
              <w:rPr>
                <w:rFonts w:hint="eastAsia" w:ascii="宋体" w:hAnsi="宋体" w:eastAsia="宋体"/>
                <w:sz w:val="24"/>
                <w:szCs w:val="24"/>
              </w:rPr>
            </w:pPr>
            <w:r>
              <w:rPr>
                <w:rFonts w:hint="eastAsia" w:ascii="宋体" w:hAnsi="宋体"/>
                <w:sz w:val="24"/>
                <w:szCs w:val="24"/>
                <w:lang w:val="en-US" w:eastAsia="zh-CN"/>
              </w:rPr>
              <w:t>8</w:t>
            </w:r>
            <w:r>
              <w:rPr>
                <w:rFonts w:ascii="宋体" w:hAnsi="宋体" w:eastAsia="宋体"/>
                <w:sz w:val="24"/>
                <w:szCs w:val="24"/>
              </w:rPr>
              <w:t>0</w:t>
            </w:r>
          </w:p>
        </w:tc>
        <w:tc>
          <w:tcPr>
            <w:tcW w:w="658" w:type="dxa"/>
            <w:vAlign w:val="top"/>
          </w:tcPr>
          <w:p>
            <w:pPr>
              <w:spacing w:line="480" w:lineRule="auto"/>
              <w:rPr>
                <w:rFonts w:hint="eastAsia" w:ascii="宋体" w:hAnsi="宋体" w:eastAsia="宋体"/>
                <w:sz w:val="24"/>
                <w:szCs w:val="24"/>
              </w:rPr>
            </w:pPr>
            <w:r>
              <w:rPr>
                <w:rFonts w:hint="eastAsia" w:ascii="宋体" w:hAnsi="宋体" w:eastAsia="宋体"/>
                <w:sz w:val="24"/>
                <w:szCs w:val="24"/>
                <w:lang w:val="en-US" w:eastAsia="zh-CN"/>
              </w:rPr>
              <w:t>20</w:t>
            </w:r>
            <w:r>
              <w:rPr>
                <w:rFonts w:hint="eastAsia" w:ascii="宋体" w:hAnsi="宋体"/>
                <w:sz w:val="24"/>
                <w:szCs w:val="24"/>
                <w:lang w:val="en-US" w:eastAsia="zh-CN"/>
              </w:rPr>
              <w:t>5</w:t>
            </w:r>
          </w:p>
        </w:tc>
        <w:tc>
          <w:tcPr>
            <w:tcW w:w="650"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16</w:t>
            </w:r>
            <w:r>
              <w:rPr>
                <w:rFonts w:hint="eastAsia" w:ascii="宋体" w:hAnsi="宋体"/>
                <w:sz w:val="24"/>
                <w:szCs w:val="24"/>
                <w:lang w:val="en-US" w:eastAsia="zh-CN"/>
              </w:rPr>
              <w:t>4</w:t>
            </w:r>
            <w:r>
              <w:rPr>
                <w:rFonts w:hint="eastAsia" w:ascii="宋体" w:hAnsi="宋体" w:eastAsia="宋体"/>
                <w:sz w:val="24"/>
                <w:szCs w:val="24"/>
                <w:lang w:val="en-US" w:eastAsia="zh-CN"/>
              </w:rPr>
              <w:t>00</w:t>
            </w:r>
          </w:p>
        </w:tc>
        <w:tc>
          <w:tcPr>
            <w:tcW w:w="909" w:type="dxa"/>
          </w:tcPr>
          <w:p>
            <w:pPr>
              <w:spacing w:line="480" w:lineRule="auto"/>
              <w:rPr>
                <w:rFonts w:hint="eastAsia" w:ascii="宋体" w:hAnsi="宋体" w:eastAsia="宋体"/>
                <w:sz w:val="24"/>
                <w:szCs w:val="24"/>
              </w:rPr>
            </w:pPr>
          </w:p>
        </w:tc>
        <w:tc>
          <w:tcPr>
            <w:tcW w:w="1039" w:type="dxa"/>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6</w:t>
            </w:r>
          </w:p>
        </w:tc>
        <w:tc>
          <w:tcPr>
            <w:tcW w:w="1393"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隔断</w:t>
            </w:r>
          </w:p>
        </w:tc>
        <w:tc>
          <w:tcPr>
            <w:tcW w:w="192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蹲坑之间隔断和门</w:t>
            </w:r>
          </w:p>
        </w:tc>
        <w:tc>
          <w:tcPr>
            <w:tcW w:w="77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个</w:t>
            </w:r>
          </w:p>
        </w:tc>
        <w:tc>
          <w:tcPr>
            <w:tcW w:w="64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24</w:t>
            </w:r>
          </w:p>
        </w:tc>
        <w:tc>
          <w:tcPr>
            <w:tcW w:w="65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600</w:t>
            </w:r>
          </w:p>
        </w:tc>
        <w:tc>
          <w:tcPr>
            <w:tcW w:w="650"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14400</w:t>
            </w:r>
          </w:p>
        </w:tc>
        <w:tc>
          <w:tcPr>
            <w:tcW w:w="909" w:type="dxa"/>
          </w:tcPr>
          <w:p>
            <w:pPr>
              <w:spacing w:line="480" w:lineRule="auto"/>
              <w:rPr>
                <w:rFonts w:hint="eastAsia" w:ascii="宋体" w:hAnsi="宋体" w:eastAsia="宋体"/>
                <w:sz w:val="24"/>
                <w:szCs w:val="24"/>
              </w:rPr>
            </w:pPr>
          </w:p>
        </w:tc>
        <w:tc>
          <w:tcPr>
            <w:tcW w:w="1039" w:type="dxa"/>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7</w:t>
            </w:r>
          </w:p>
        </w:tc>
        <w:tc>
          <w:tcPr>
            <w:tcW w:w="1393"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地垫</w:t>
            </w:r>
          </w:p>
        </w:tc>
        <w:tc>
          <w:tcPr>
            <w:tcW w:w="192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防滑地垫</w:t>
            </w:r>
          </w:p>
        </w:tc>
        <w:tc>
          <w:tcPr>
            <w:tcW w:w="77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rPr>
              <w:t>㎡</w:t>
            </w:r>
          </w:p>
        </w:tc>
        <w:tc>
          <w:tcPr>
            <w:tcW w:w="64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20</w:t>
            </w:r>
          </w:p>
        </w:tc>
        <w:tc>
          <w:tcPr>
            <w:tcW w:w="65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65</w:t>
            </w:r>
          </w:p>
        </w:tc>
        <w:tc>
          <w:tcPr>
            <w:tcW w:w="650"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1300</w:t>
            </w:r>
          </w:p>
        </w:tc>
        <w:tc>
          <w:tcPr>
            <w:tcW w:w="909" w:type="dxa"/>
          </w:tcPr>
          <w:p>
            <w:pPr>
              <w:spacing w:line="480" w:lineRule="auto"/>
              <w:rPr>
                <w:rFonts w:hint="eastAsia" w:ascii="宋体" w:hAnsi="宋体" w:eastAsia="宋体"/>
                <w:sz w:val="24"/>
                <w:szCs w:val="24"/>
              </w:rPr>
            </w:pPr>
          </w:p>
        </w:tc>
        <w:tc>
          <w:tcPr>
            <w:tcW w:w="1039" w:type="dxa"/>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8</w:t>
            </w:r>
          </w:p>
        </w:tc>
        <w:tc>
          <w:tcPr>
            <w:tcW w:w="0" w:type="auto"/>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人工费</w:t>
            </w:r>
          </w:p>
        </w:tc>
        <w:tc>
          <w:tcPr>
            <w:tcW w:w="0" w:type="auto"/>
            <w:vAlign w:val="top"/>
          </w:tcPr>
          <w:p>
            <w:pPr>
              <w:spacing w:line="480" w:lineRule="auto"/>
              <w:rPr>
                <w:rFonts w:hint="eastAsia" w:ascii="宋体" w:hAnsi="宋体" w:eastAsia="宋体" w:cs="Times New Roman"/>
                <w:kern w:val="2"/>
                <w:sz w:val="24"/>
                <w:szCs w:val="24"/>
                <w:lang w:val="en-US" w:eastAsia="zh-CN" w:bidi="ar-SA"/>
              </w:rPr>
            </w:pPr>
          </w:p>
        </w:tc>
        <w:tc>
          <w:tcPr>
            <w:tcW w:w="0" w:type="auto"/>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日/人次</w:t>
            </w:r>
          </w:p>
        </w:tc>
        <w:tc>
          <w:tcPr>
            <w:tcW w:w="0" w:type="auto"/>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25</w:t>
            </w:r>
          </w:p>
        </w:tc>
        <w:tc>
          <w:tcPr>
            <w:tcW w:w="0" w:type="auto"/>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400</w:t>
            </w:r>
          </w:p>
        </w:tc>
        <w:tc>
          <w:tcPr>
            <w:tcW w:w="0" w:type="auto"/>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10000</w:t>
            </w:r>
          </w:p>
        </w:tc>
        <w:tc>
          <w:tcPr>
            <w:tcW w:w="0" w:type="auto"/>
          </w:tcPr>
          <w:p>
            <w:pPr>
              <w:spacing w:line="480" w:lineRule="auto"/>
              <w:rPr>
                <w:rFonts w:hint="eastAsia" w:ascii="宋体" w:hAnsi="宋体" w:eastAsia="宋体"/>
                <w:sz w:val="24"/>
                <w:szCs w:val="24"/>
              </w:rPr>
            </w:pPr>
          </w:p>
        </w:tc>
        <w:tc>
          <w:tcPr>
            <w:tcW w:w="0" w:type="auto"/>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sz w:val="24"/>
                <w:szCs w:val="24"/>
                <w:lang w:val="en-US" w:eastAsia="zh-CN"/>
              </w:rPr>
            </w:pPr>
          </w:p>
        </w:tc>
        <w:tc>
          <w:tcPr>
            <w:tcW w:w="1393" w:type="dxa"/>
            <w:vAlign w:val="top"/>
          </w:tcPr>
          <w:p>
            <w:pPr>
              <w:spacing w:line="480" w:lineRule="auto"/>
              <w:rPr>
                <w:rFonts w:hint="default" w:ascii="宋体" w:hAnsi="宋体" w:eastAsia="宋体"/>
                <w:sz w:val="24"/>
                <w:szCs w:val="24"/>
                <w:lang w:val="en-US" w:eastAsia="zh-CN"/>
              </w:rPr>
            </w:pPr>
            <w:r>
              <w:rPr>
                <w:rFonts w:hint="eastAsia" w:ascii="宋体" w:hAnsi="宋体"/>
                <w:sz w:val="24"/>
                <w:szCs w:val="24"/>
                <w:lang w:val="en-US" w:eastAsia="zh-CN"/>
              </w:rPr>
              <w:t>合计（元）</w:t>
            </w:r>
          </w:p>
        </w:tc>
        <w:tc>
          <w:tcPr>
            <w:tcW w:w="1924" w:type="dxa"/>
            <w:vAlign w:val="top"/>
          </w:tcPr>
          <w:p>
            <w:pPr>
              <w:spacing w:line="480" w:lineRule="auto"/>
              <w:rPr>
                <w:rFonts w:hint="eastAsia" w:ascii="宋体" w:hAnsi="宋体" w:eastAsia="宋体" w:cs="Times New Roman"/>
                <w:kern w:val="2"/>
                <w:sz w:val="24"/>
                <w:szCs w:val="24"/>
                <w:lang w:val="en-US" w:eastAsia="zh-CN" w:bidi="ar-SA"/>
              </w:rPr>
            </w:pPr>
          </w:p>
        </w:tc>
        <w:tc>
          <w:tcPr>
            <w:tcW w:w="779" w:type="dxa"/>
            <w:vAlign w:val="top"/>
          </w:tcPr>
          <w:p>
            <w:pPr>
              <w:spacing w:line="480" w:lineRule="auto"/>
              <w:rPr>
                <w:rFonts w:hint="eastAsia" w:ascii="宋体" w:hAnsi="宋体" w:eastAsia="宋体"/>
                <w:sz w:val="24"/>
                <w:szCs w:val="24"/>
                <w:lang w:val="en-US" w:eastAsia="zh-CN"/>
              </w:rPr>
            </w:pPr>
          </w:p>
        </w:tc>
        <w:tc>
          <w:tcPr>
            <w:tcW w:w="648" w:type="dxa"/>
            <w:vAlign w:val="top"/>
          </w:tcPr>
          <w:p>
            <w:pPr>
              <w:spacing w:line="480" w:lineRule="auto"/>
              <w:rPr>
                <w:rFonts w:hint="eastAsia" w:ascii="宋体" w:hAnsi="宋体" w:eastAsia="宋体"/>
                <w:sz w:val="24"/>
                <w:szCs w:val="24"/>
                <w:lang w:val="en-US" w:eastAsia="zh-CN"/>
              </w:rPr>
            </w:pPr>
          </w:p>
        </w:tc>
        <w:tc>
          <w:tcPr>
            <w:tcW w:w="658" w:type="dxa"/>
            <w:vAlign w:val="top"/>
          </w:tcPr>
          <w:p>
            <w:pPr>
              <w:spacing w:line="480" w:lineRule="auto"/>
              <w:rPr>
                <w:rFonts w:hint="eastAsia" w:ascii="宋体" w:hAnsi="宋体" w:eastAsia="宋体"/>
                <w:sz w:val="24"/>
                <w:szCs w:val="24"/>
                <w:lang w:val="en-US" w:eastAsia="zh-CN"/>
              </w:rPr>
            </w:pPr>
          </w:p>
        </w:tc>
        <w:tc>
          <w:tcPr>
            <w:tcW w:w="650" w:type="dxa"/>
            <w:vAlign w:val="top"/>
          </w:tcPr>
          <w:p>
            <w:pPr>
              <w:spacing w:line="480" w:lineRule="auto"/>
              <w:rPr>
                <w:rFonts w:hint="eastAsia" w:ascii="宋体" w:hAnsi="宋体" w:eastAsia="宋体"/>
                <w:sz w:val="24"/>
                <w:szCs w:val="24"/>
                <w:lang w:val="en-US" w:eastAsia="zh-CN"/>
              </w:rPr>
            </w:pPr>
          </w:p>
        </w:tc>
        <w:tc>
          <w:tcPr>
            <w:tcW w:w="909" w:type="dxa"/>
            <w:vAlign w:val="top"/>
          </w:tcPr>
          <w:p>
            <w:pPr>
              <w:spacing w:line="480" w:lineRule="auto"/>
              <w:rPr>
                <w:rFonts w:hint="eastAsia" w:ascii="宋体" w:hAnsi="宋体" w:eastAsia="宋体"/>
                <w:sz w:val="24"/>
                <w:szCs w:val="24"/>
              </w:rPr>
            </w:pPr>
          </w:p>
        </w:tc>
        <w:tc>
          <w:tcPr>
            <w:tcW w:w="1039" w:type="dxa"/>
            <w:vAlign w:val="top"/>
          </w:tcPr>
          <w:p>
            <w:pPr>
              <w:spacing w:line="480" w:lineRule="auto"/>
              <w:rPr>
                <w:rFonts w:hint="default" w:ascii="宋体" w:hAnsi="宋体" w:eastAsia="宋体"/>
                <w:sz w:val="24"/>
                <w:szCs w:val="24"/>
                <w:lang w:val="en-US" w:eastAsia="zh-CN"/>
              </w:rPr>
            </w:pPr>
            <w:r>
              <w:rPr>
                <w:rFonts w:hint="eastAsia" w:ascii="宋体" w:hAnsi="宋体"/>
                <w:sz w:val="24"/>
                <w:szCs w:val="24"/>
                <w:lang w:val="en-US" w:eastAsia="zh-CN"/>
              </w:rPr>
              <w:t>66000</w:t>
            </w:r>
          </w:p>
        </w:tc>
      </w:tr>
    </w:tbl>
    <w:p>
      <w:pPr>
        <w:spacing w:before="240" w:after="60"/>
        <w:jc w:val="left"/>
        <w:outlineLvl w:val="0"/>
        <w:rPr>
          <w:rFonts w:hint="default" w:asciiTheme="minorEastAsia" w:hAnsiTheme="minorEastAsia" w:eastAsiaTheme="minorEastAsia" w:cstheme="minorEastAsia"/>
          <w:b/>
          <w:bCs/>
          <w:sz w:val="24"/>
          <w:highlight w:val="lightGray"/>
          <w:lang w:val="en-US" w:eastAsia="zh-CN"/>
        </w:rPr>
      </w:pPr>
      <w:r>
        <w:rPr>
          <w:rFonts w:hint="eastAsia" w:asciiTheme="minorEastAsia" w:hAnsiTheme="minorEastAsia" w:eastAsiaTheme="minorEastAsia" w:cstheme="minorEastAsia"/>
          <w:b/>
          <w:bCs/>
          <w:sz w:val="24"/>
          <w:highlight w:val="lightGray"/>
          <w:lang w:eastAsia="zh-CN"/>
        </w:rPr>
        <w:t>注</w:t>
      </w:r>
      <w:r>
        <w:rPr>
          <w:rFonts w:hint="eastAsia" w:asciiTheme="minorEastAsia" w:hAnsiTheme="minorEastAsia" w:eastAsiaTheme="minorEastAsia" w:cstheme="minorEastAsia"/>
          <w:b/>
          <w:bCs/>
          <w:sz w:val="24"/>
          <w:highlight w:val="lightGray"/>
          <w:lang w:val="en-US" w:eastAsia="zh-CN"/>
        </w:rPr>
        <w:t>:报价单价和报价小计不得超过预算限价单价及限价小计，如超过则作为废标处理。</w:t>
      </w:r>
    </w:p>
    <w:p>
      <w:pPr>
        <w:spacing w:line="440" w:lineRule="exact"/>
        <w:rPr>
          <w:rFonts w:hint="default" w:asciiTheme="minorEastAsia" w:hAnsiTheme="minorEastAsia" w:eastAsiaTheme="minorEastAsia" w:cstheme="minorEastAsia"/>
          <w:sz w:val="24"/>
          <w:lang w:val="en-US" w:eastAsia="zh-CN"/>
        </w:rPr>
      </w:pP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二、合同草案条款</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2.1交付需求：</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2.1.1交货时间：合同签订之日起</w:t>
      </w:r>
      <w:r>
        <w:rPr>
          <w:rFonts w:hint="eastAsia" w:asciiTheme="minorEastAsia" w:hAnsiTheme="minorEastAsia" w:eastAsiaTheme="minorEastAsia" w:cstheme="minorEastAsia"/>
          <w:sz w:val="24"/>
          <w:szCs w:val="22"/>
          <w:lang w:val="en-US" w:eastAsia="zh-CN"/>
        </w:rPr>
        <w:t>30个工作日</w:t>
      </w:r>
      <w:r>
        <w:rPr>
          <w:rFonts w:hint="eastAsia" w:asciiTheme="minorEastAsia" w:hAnsiTheme="minorEastAsia" w:eastAsiaTheme="minorEastAsia" w:cstheme="minorEastAsia"/>
          <w:sz w:val="24"/>
          <w:szCs w:val="22"/>
        </w:rPr>
        <w:t>内实施完毕。</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2.1.2交货地点：湖北省文物考古研究院木兰湖考古整理基地(或采购人指定的地点) 。</w:t>
      </w:r>
    </w:p>
    <w:p>
      <w:pPr>
        <w:spacing w:line="440" w:lineRule="exact"/>
        <w:ind w:left="240" w:hanging="240" w:hangingChars="100"/>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2.1.3安装与调试：本项目由成交供应商负责项目的</w:t>
      </w:r>
      <w:r>
        <w:rPr>
          <w:rFonts w:hint="eastAsia" w:asciiTheme="minorEastAsia" w:hAnsiTheme="minorEastAsia" w:eastAsiaTheme="minorEastAsia" w:cstheme="minorEastAsia"/>
          <w:sz w:val="24"/>
          <w:szCs w:val="22"/>
          <w:lang w:val="en-US" w:eastAsia="zh-CN"/>
        </w:rPr>
        <w:t>厕所维修</w:t>
      </w:r>
      <w:r>
        <w:rPr>
          <w:rFonts w:hint="eastAsia" w:asciiTheme="minorEastAsia" w:hAnsiTheme="minorEastAsia" w:eastAsiaTheme="minorEastAsia" w:cstheme="minorEastAsia"/>
          <w:sz w:val="24"/>
          <w:szCs w:val="22"/>
        </w:rPr>
        <w:t>服务，故供应商报价应包含以上全部工作所需的一切费用，即投标总报价为“交钥匙”价。对在合同实施过程中可能发生的其它费用（如：增加耗材、材料涨价、人工、运输成本增加等因素），采购人概不负责。</w:t>
      </w:r>
    </w:p>
    <w:p>
      <w:pPr>
        <w:spacing w:line="440" w:lineRule="exact"/>
        <w:ind w:left="240" w:hanging="240" w:hangingChars="1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2.1.4验收要求：</w:t>
      </w:r>
      <w:bookmarkStart w:id="1" w:name="_GoBack"/>
      <w:bookmarkEnd w:id="1"/>
      <w:r>
        <w:rPr>
          <w:rFonts w:hint="eastAsia" w:asciiTheme="minorEastAsia" w:hAnsiTheme="minorEastAsia" w:eastAsiaTheme="minorEastAsia" w:cstheme="minorEastAsia"/>
          <w:sz w:val="24"/>
          <w:szCs w:val="22"/>
          <w:lang w:val="en-US" w:eastAsia="zh-CN"/>
        </w:rPr>
        <w:t>依据相关技术标准对8间厕所</w:t>
      </w:r>
      <w:r>
        <w:rPr>
          <w:rFonts w:hint="eastAsia" w:asciiTheme="minorEastAsia" w:hAnsiTheme="minorEastAsia" w:eastAsiaTheme="minorEastAsia" w:cstheme="minorEastAsia"/>
          <w:sz w:val="24"/>
          <w:szCs w:val="22"/>
        </w:rPr>
        <w:t>进行</w:t>
      </w:r>
      <w:r>
        <w:rPr>
          <w:rFonts w:hint="eastAsia" w:asciiTheme="minorEastAsia" w:hAnsiTheme="minorEastAsia" w:eastAsiaTheme="minorEastAsia" w:cstheme="minorEastAsia"/>
          <w:sz w:val="24"/>
          <w:szCs w:val="22"/>
          <w:lang w:val="en-US" w:eastAsia="zh-CN"/>
        </w:rPr>
        <w:t>维修，完成维修方案中要求的各项指标</w:t>
      </w:r>
      <w:r>
        <w:rPr>
          <w:rFonts w:hint="eastAsia" w:asciiTheme="minorEastAsia" w:hAnsiTheme="minorEastAsia" w:eastAsiaTheme="minorEastAsia" w:cstheme="minorEastAsia"/>
          <w:sz w:val="24"/>
          <w:szCs w:val="22"/>
        </w:rPr>
        <w:t>。</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2.1.5合同签订及付款方式。</w:t>
      </w:r>
    </w:p>
    <w:p>
      <w:pPr>
        <w:spacing w:line="44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2.1.6本次采购合同由采购人与成交供应商签订。</w:t>
      </w:r>
    </w:p>
    <w:p>
      <w:pPr>
        <w:spacing w:line="440" w:lineRule="exact"/>
        <w:ind w:left="420" w:hanging="420"/>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szCs w:val="22"/>
        </w:rPr>
        <w:t>2.1.7付款方式：</w:t>
      </w:r>
      <w:r>
        <w:rPr>
          <w:rFonts w:hint="eastAsia" w:asciiTheme="minorEastAsia" w:hAnsiTheme="minorEastAsia" w:eastAsiaTheme="minorEastAsia" w:cstheme="minorEastAsia"/>
          <w:sz w:val="24"/>
          <w:highlight w:val="yellow"/>
        </w:rPr>
        <w:t>按照相关技术标准完成</w:t>
      </w:r>
      <w:r>
        <w:rPr>
          <w:rFonts w:hint="eastAsia" w:asciiTheme="minorEastAsia" w:hAnsiTheme="minorEastAsia" w:eastAsiaTheme="minorEastAsia" w:cstheme="minorEastAsia"/>
          <w:sz w:val="24"/>
          <w:highlight w:val="yellow"/>
          <w:lang w:val="en-US" w:eastAsia="zh-CN"/>
        </w:rPr>
        <w:t>厕所维修服务</w:t>
      </w:r>
      <w:r>
        <w:rPr>
          <w:rFonts w:hint="eastAsia" w:asciiTheme="minorEastAsia" w:hAnsiTheme="minorEastAsia" w:eastAsiaTheme="minorEastAsia" w:cstheme="minorEastAsia"/>
          <w:sz w:val="24"/>
          <w:highlight w:val="yellow"/>
        </w:rPr>
        <w:t>并经验收合格后，</w:t>
      </w:r>
      <w:r>
        <w:rPr>
          <w:rFonts w:hint="eastAsia" w:asciiTheme="minorEastAsia" w:hAnsiTheme="minorEastAsia" w:eastAsiaTheme="minorEastAsia" w:cstheme="minorEastAsia"/>
          <w:sz w:val="24"/>
          <w:highlight w:val="lightGray"/>
          <w:lang w:eastAsia="zh-CN"/>
        </w:rPr>
        <w:t>经采购方委托的造价审计方审核后按照审计结算额办理结算，结算额不得超过合同金额，</w:t>
      </w:r>
      <w:r>
        <w:rPr>
          <w:rFonts w:hint="eastAsia" w:asciiTheme="minorEastAsia" w:hAnsiTheme="minorEastAsia" w:eastAsiaTheme="minorEastAsia" w:cstheme="minorEastAsia"/>
          <w:sz w:val="24"/>
          <w:highlight w:val="yellow"/>
        </w:rPr>
        <w:t>由服务商开具发票后，</w:t>
      </w:r>
      <w:r>
        <w:rPr>
          <w:rFonts w:hint="eastAsia" w:asciiTheme="minorEastAsia" w:hAnsiTheme="minorEastAsia" w:eastAsiaTheme="minorEastAsia" w:cstheme="minorEastAsia"/>
          <w:sz w:val="24"/>
          <w:highlight w:val="lightGray"/>
          <w:lang w:eastAsia="zh-CN"/>
        </w:rPr>
        <w:t>采购</w:t>
      </w:r>
      <w:r>
        <w:rPr>
          <w:rFonts w:hint="eastAsia" w:asciiTheme="minorEastAsia" w:hAnsiTheme="minorEastAsia" w:eastAsiaTheme="minorEastAsia" w:cstheme="minorEastAsia"/>
          <w:sz w:val="24"/>
          <w:highlight w:val="yellow"/>
        </w:rPr>
        <w:t>方在15个工作日内办理付款。</w:t>
      </w:r>
    </w:p>
    <w:p>
      <w:pPr>
        <w:spacing w:line="440" w:lineRule="exact"/>
        <w:ind w:left="420" w:hanging="420"/>
        <w:rPr>
          <w:rFonts w:asciiTheme="minorEastAsia" w:hAnsiTheme="minorEastAsia" w:eastAsiaTheme="minorEastAsia" w:cstheme="minorEastAsia"/>
          <w:sz w:val="24"/>
          <w:highlight w:val="yellow"/>
        </w:rPr>
      </w:pPr>
    </w:p>
    <w:p>
      <w:pPr>
        <w:spacing w:before="240" w:after="60"/>
        <w:jc w:val="lef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三、评审方法</w:t>
      </w:r>
    </w:p>
    <w:p>
      <w:pPr>
        <w:shd w:val="clear" w:color="auto" w:fill="FFFFFF"/>
        <w:spacing w:line="360" w:lineRule="auto"/>
        <w:ind w:firstLine="240" w:firstLineChars="100"/>
        <w:rPr>
          <w:rFonts w:asciiTheme="minorEastAsia" w:hAnsiTheme="minorEastAsia" w:eastAsiaTheme="minorEastAsia" w:cstheme="minorEastAsia"/>
          <w:caps/>
          <w:sz w:val="24"/>
        </w:rPr>
      </w:pPr>
      <w:r>
        <w:rPr>
          <w:rFonts w:hint="eastAsia" w:asciiTheme="minorEastAsia" w:hAnsiTheme="minorEastAsia" w:eastAsiaTheme="minorEastAsia" w:cstheme="minorEastAsia"/>
          <w:caps/>
          <w:sz w:val="24"/>
        </w:rPr>
        <w:t>根据符合采购需求、质量和服务相等且报价（评审价）最低的原则确定成交候选供应商。</w:t>
      </w: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shd w:val="clear" w:color="auto" w:fill="FFFFFF"/>
        <w:spacing w:line="360" w:lineRule="auto"/>
        <w:rPr>
          <w:rFonts w:asciiTheme="minorEastAsia" w:hAnsiTheme="minorEastAsia" w:eastAsiaTheme="minorEastAsia" w:cstheme="minorEastAsia"/>
          <w:sz w:val="24"/>
        </w:rPr>
      </w:pPr>
    </w:p>
    <w:p>
      <w:pPr>
        <w:tabs>
          <w:tab w:val="left" w:pos="7665"/>
        </w:tabs>
        <w:ind w:firstLine="705" w:firstLineChars="196"/>
        <w:jc w:val="center"/>
        <w:outlineLvl w:val="1"/>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36"/>
          <w:szCs w:val="36"/>
        </w:rPr>
        <w:t>第四章  合同书（格式）</w:t>
      </w:r>
    </w:p>
    <w:p>
      <w:pPr>
        <w:spacing w:line="440" w:lineRule="exact"/>
        <w:jc w:val="center"/>
        <w:rPr>
          <w:rFonts w:asciiTheme="minorEastAsia" w:hAnsiTheme="minorEastAsia" w:eastAsiaTheme="minorEastAsia" w:cstheme="minorEastAsia"/>
          <w:sz w:val="44"/>
          <w:szCs w:val="44"/>
        </w:rPr>
      </w:pP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根据《政府采购法》和《民法典》。采购人和供应商之间的权利和义务，应当按照平等的原则以合同方式约定。此合同书仅作为签订正式合同时的参考，正式合同书应包括本参考格式之内容。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rFonts w:asciiTheme="minorEastAsia" w:hAnsiTheme="minorEastAsia" w:eastAsiaTheme="minorEastAsia" w:cstheme="minorEastAsia"/>
          <w:spacing w:val="-10"/>
          <w:sz w:val="24"/>
        </w:rPr>
      </w:pPr>
    </w:p>
    <w:p>
      <w:pPr>
        <w:spacing w:line="500" w:lineRule="exact"/>
        <w:ind w:firstLine="540"/>
        <w:jc w:val="center"/>
        <w:rPr>
          <w:rFonts w:asciiTheme="minorEastAsia" w:hAnsiTheme="minorEastAsia" w:eastAsiaTheme="minorEastAsia" w:cstheme="minorEastAsia"/>
          <w:kern w:val="0"/>
          <w:sz w:val="36"/>
          <w:szCs w:val="36"/>
        </w:rPr>
      </w:pPr>
      <w:r>
        <w:rPr>
          <w:rFonts w:hint="eastAsia" w:asciiTheme="minorEastAsia" w:hAnsiTheme="minorEastAsia" w:eastAsiaTheme="minorEastAsia" w:cstheme="minorEastAsia"/>
          <w:kern w:val="0"/>
          <w:sz w:val="36"/>
          <w:szCs w:val="36"/>
        </w:rPr>
        <w:t>合同书</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项目名称：</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合同编号：</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签订日期：</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签订合同地点：</w:t>
      </w:r>
    </w:p>
    <w:p>
      <w:pPr>
        <w:spacing w:line="500" w:lineRule="exact"/>
        <w:ind w:firstLine="480" w:firstLineChars="200"/>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本合同由（以下简称“需方”）与（以下简称“供方”）签订。</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经双方协商，同意按下列条文执行：</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4.合同文件</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下列文件为本合同不可分割的部分：</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4.1谈判文件(编号：　　　　)；</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4.2供方成交的响应文件（副本）；</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4.3合同书；</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4.4合同条款；</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4.5（集中采购机构名称）发出的成交通知书；</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5.合同范围和条件</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本合同的范围和条件应与上述规定的合同文件内容相一致。</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6.货物（服务）及数量</w:t>
      </w:r>
    </w:p>
    <w:p>
      <w:pPr>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7.付款方式</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本合同的付款条件在谈判文件中有明确规定。</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8.合同金额</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合同总金额：人民币</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9.实施时间和地点</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本合同中货物（服务）的实施时间、地点在谈判文件中有明确规定。</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10.合同生效</w:t>
      </w:r>
    </w:p>
    <w:p>
      <w:pPr>
        <w:autoSpaceDE w:val="0"/>
        <w:autoSpaceDN w:val="0"/>
        <w:adjustRightInd w:val="0"/>
        <w:spacing w:line="500" w:lineRule="exact"/>
        <w:ind w:firstLine="480" w:firstLineChars="200"/>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11.合同的份数</w:t>
      </w:r>
    </w:p>
    <w:p>
      <w:pPr>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本合同正本一式　　份，需方执　　份，供方执　　份；副本一式　　份，需方执　　份，供方执　　份，湖北省财政厅政府采购管理处壹份备案。</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需　　方：</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供　　方：</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单位名称（盖章）：</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单位名称（盖章）：</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单位地址：</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单位地址：</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法人（负责人）代表授权人(签字)：</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法人（负责人）代表授权人(签字)：</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联系人：</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联系人：</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电　　话：</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电　　话：</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传　　真：</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传　　真：</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邮政编码：</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邮政编码：</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开户银行：</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开户银行：</w:t>
      </w:r>
    </w:p>
    <w:p>
      <w:pPr>
        <w:tabs>
          <w:tab w:val="left" w:pos="4860"/>
        </w:tabs>
        <w:autoSpaceDE w:val="0"/>
        <w:autoSpaceDN w:val="0"/>
        <w:adjustRightInd w:val="0"/>
        <w:spacing w:line="500" w:lineRule="exact"/>
        <w:ind w:firstLine="480" w:firstLineChars="200"/>
        <w:jc w:val="left"/>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帐　　号：</w:t>
      </w: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帐　　号：</w:t>
      </w:r>
    </w:p>
    <w:p>
      <w:pPr>
        <w:spacing w:line="440" w:lineRule="exact"/>
        <w:ind w:left="3" w:leftChars="1" w:firstLine="120" w:firstLineChars="50"/>
        <w:jc w:val="left"/>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kern w:val="0"/>
          <w:sz w:val="24"/>
          <w:szCs w:val="20"/>
        </w:rPr>
        <w:tab/>
      </w:r>
      <w:r>
        <w:rPr>
          <w:rFonts w:hint="eastAsia" w:asciiTheme="minorEastAsia" w:hAnsiTheme="minorEastAsia" w:eastAsiaTheme="minorEastAsia" w:cstheme="minorEastAsia"/>
          <w:kern w:val="0"/>
          <w:sz w:val="24"/>
          <w:szCs w:val="20"/>
        </w:rPr>
        <w:t>税　　号：                           税　　号：</w:t>
      </w:r>
    </w:p>
    <w:p>
      <w:pPr>
        <w:adjustRightInd w:val="0"/>
        <w:snapToGrid w:val="0"/>
        <w:jc w:val="center"/>
        <w:outlineLvl w:val="0"/>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第五章  响应文件格式</w:t>
      </w:r>
    </w:p>
    <w:p>
      <w:pPr>
        <w:adjustRightInd w:val="0"/>
        <w:snapToGrid w:val="0"/>
        <w:jc w:val="center"/>
        <w:outlineLvl w:val="0"/>
        <w:rPr>
          <w:rFonts w:asciiTheme="minorEastAsia" w:hAnsiTheme="minorEastAsia" w:eastAsiaTheme="minorEastAsia" w:cstheme="minorEastAsia"/>
          <w:sz w:val="18"/>
          <w:szCs w:val="18"/>
        </w:rPr>
      </w:pPr>
    </w:p>
    <w:p>
      <w:pPr>
        <w:adjustRightInd w:val="0"/>
        <w:snapToGrid w:val="0"/>
        <w:outlineLvl w:val="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封面：</w:t>
      </w:r>
    </w:p>
    <w:p>
      <w:pPr>
        <w:pStyle w:val="18"/>
        <w:tabs>
          <w:tab w:val="left" w:pos="1260"/>
        </w:tabs>
        <w:jc w:val="center"/>
        <w:rPr>
          <w:rFonts w:asciiTheme="minorEastAsia" w:hAnsiTheme="minorEastAsia" w:eastAsiaTheme="minorEastAsia" w:cstheme="minorEastAsia"/>
          <w:spacing w:val="100"/>
          <w:w w:val="110"/>
          <w:kern w:val="0"/>
          <w:sz w:val="52"/>
          <w:szCs w:val="52"/>
        </w:rPr>
      </w:pPr>
    </w:p>
    <w:p>
      <w:pPr>
        <w:pStyle w:val="18"/>
        <w:tabs>
          <w:tab w:val="left" w:pos="1260"/>
        </w:tabs>
        <w:jc w:val="center"/>
        <w:rPr>
          <w:rFonts w:asciiTheme="minorEastAsia" w:hAnsiTheme="minorEastAsia" w:eastAsiaTheme="minorEastAsia" w:cstheme="minorEastAsia"/>
          <w:spacing w:val="100"/>
          <w:w w:val="110"/>
          <w:sz w:val="100"/>
          <w:szCs w:val="100"/>
        </w:rPr>
      </w:pPr>
      <w:r>
        <w:rPr>
          <w:rFonts w:hint="eastAsia" w:asciiTheme="minorEastAsia" w:hAnsiTheme="minorEastAsia" w:eastAsiaTheme="minorEastAsia" w:cstheme="minorEastAsia"/>
          <w:spacing w:val="100"/>
          <w:w w:val="110"/>
          <w:kern w:val="0"/>
          <w:sz w:val="100"/>
          <w:szCs w:val="100"/>
        </w:rPr>
        <w:t>响应文件</w:t>
      </w:r>
    </w:p>
    <w:p>
      <w:pPr>
        <w:pStyle w:val="18"/>
        <w:jc w:val="center"/>
        <w:rPr>
          <w:rFonts w:asciiTheme="minorEastAsia" w:hAnsiTheme="minorEastAsia" w:eastAsiaTheme="minorEastAsia" w:cstheme="minorEastAsia"/>
          <w:sz w:val="44"/>
        </w:rPr>
      </w:pPr>
      <w:r>
        <w:rPr>
          <w:rFonts w:hint="eastAsia" w:asciiTheme="minorEastAsia" w:hAnsiTheme="minorEastAsia" w:eastAsiaTheme="minorEastAsia" w:cstheme="minorEastAsia"/>
          <w:sz w:val="44"/>
        </w:rPr>
        <w:t>（正本）</w:t>
      </w:r>
    </w:p>
    <w:p>
      <w:pPr>
        <w:pStyle w:val="18"/>
        <w:jc w:val="center"/>
        <w:rPr>
          <w:rFonts w:asciiTheme="minorEastAsia" w:hAnsiTheme="minorEastAsia" w:eastAsiaTheme="minorEastAsia" w:cstheme="minorEastAsia"/>
          <w:sz w:val="44"/>
        </w:rPr>
      </w:pPr>
    </w:p>
    <w:p>
      <w:pPr>
        <w:pStyle w:val="18"/>
        <w:jc w:val="center"/>
        <w:rPr>
          <w:rFonts w:asciiTheme="minorEastAsia" w:hAnsiTheme="minorEastAsia" w:eastAsiaTheme="minorEastAsia" w:cstheme="minorEastAsia"/>
          <w:sz w:val="44"/>
        </w:rPr>
      </w:pPr>
    </w:p>
    <w:p>
      <w:pPr>
        <w:pStyle w:val="18"/>
        <w:spacing w:line="360" w:lineRule="auto"/>
        <w:ind w:firstLine="1280" w:firstLineChars="400"/>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项目编号：</w:t>
      </w:r>
    </w:p>
    <w:p>
      <w:pPr>
        <w:pStyle w:val="16"/>
        <w:spacing w:line="360" w:lineRule="auto"/>
        <w:ind w:firstLine="1280" w:firstLineChars="400"/>
        <w:rPr>
          <w:rFonts w:asciiTheme="minorEastAsia" w:hAnsiTheme="minorEastAsia" w:eastAsiaTheme="minorEastAsia" w:cstheme="minorEastAsia"/>
          <w:szCs w:val="32"/>
          <w:u w:val="single"/>
        </w:rPr>
      </w:pPr>
      <w:r>
        <w:rPr>
          <w:rFonts w:hint="eastAsia" w:asciiTheme="minorEastAsia" w:hAnsiTheme="minorEastAsia" w:eastAsiaTheme="minorEastAsia" w:cstheme="minorEastAsia"/>
          <w:szCs w:val="32"/>
        </w:rPr>
        <w:t>项目名称：</w:t>
      </w:r>
    </w:p>
    <w:p>
      <w:pPr>
        <w:pStyle w:val="18"/>
        <w:spacing w:line="360" w:lineRule="auto"/>
        <w:ind w:firstLine="1280" w:firstLineChars="400"/>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谈判内容：</w:t>
      </w:r>
    </w:p>
    <w:p>
      <w:pPr>
        <w:pStyle w:val="18"/>
        <w:ind w:firstLine="1320" w:firstLineChars="300"/>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rPr>
          <w:rFonts w:asciiTheme="minorEastAsia" w:hAnsiTheme="minorEastAsia" w:eastAsiaTheme="minorEastAsia" w:cstheme="minorEastAsia"/>
          <w:sz w:val="44"/>
        </w:rPr>
      </w:pPr>
    </w:p>
    <w:p>
      <w:pPr>
        <w:pStyle w:val="18"/>
        <w:ind w:firstLine="1320" w:firstLineChars="300"/>
        <w:rPr>
          <w:rFonts w:asciiTheme="minorEastAsia" w:hAnsiTheme="minorEastAsia" w:eastAsiaTheme="minorEastAsia" w:cstheme="minorEastAsia"/>
          <w:sz w:val="44"/>
        </w:rPr>
      </w:pPr>
    </w:p>
    <w:p>
      <w:pPr>
        <w:pStyle w:val="18"/>
        <w:spacing w:line="360" w:lineRule="auto"/>
        <w:ind w:firstLine="1584" w:firstLineChars="495"/>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供应商名称：</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p>
      <w:pPr>
        <w:adjustRightInd w:val="0"/>
        <w:snapToGrid w:val="0"/>
        <w:jc w:val="center"/>
        <w:outlineLvl w:val="0"/>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sz w:val="44"/>
          <w:szCs w:val="44"/>
        </w:rPr>
        <w:t>目  录</w:t>
      </w:r>
    </w:p>
    <w:p>
      <w:pPr>
        <w:adjustRightInd w:val="0"/>
        <w:snapToGrid w:val="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sz w:val="24"/>
        </w:rPr>
        <w:t>附件1</w:t>
      </w:r>
    </w:p>
    <w:p>
      <w:pPr>
        <w:adjustRightInd w:val="0"/>
        <w:snapToGrid w:val="0"/>
        <w:jc w:val="center"/>
        <w:outlineLvl w:val="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谈判书</w:t>
      </w:r>
    </w:p>
    <w:p>
      <w:pPr>
        <w:spacing w:line="500" w:lineRule="exact"/>
        <w:ind w:left="-118" w:leftChars="-42"/>
        <w:rPr>
          <w:rFonts w:asciiTheme="minorEastAsia" w:hAnsiTheme="minorEastAsia" w:eastAsiaTheme="minorEastAsia" w:cstheme="minorEastAsia"/>
          <w:szCs w:val="28"/>
        </w:rPr>
      </w:pPr>
    </w:p>
    <w:p>
      <w:pPr>
        <w:pStyle w:val="18"/>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(湖北省文物考古研究院)</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根据贵方</w:t>
      </w:r>
      <w:r>
        <w:rPr>
          <w:rFonts w:hint="eastAsia" w:asciiTheme="minorEastAsia" w:hAnsiTheme="minorEastAsia" w:eastAsiaTheme="minorEastAsia" w:cstheme="minorEastAsia"/>
          <w:sz w:val="24"/>
          <w:u w:val="single"/>
        </w:rPr>
        <w:t>（项目名称/项目编号）</w:t>
      </w:r>
      <w:r>
        <w:rPr>
          <w:rFonts w:hint="eastAsia" w:asciiTheme="minorEastAsia" w:hAnsiTheme="minorEastAsia" w:eastAsiaTheme="minorEastAsia" w:cstheme="minorEastAsia"/>
          <w:sz w:val="24"/>
        </w:rPr>
        <w:t>项目政府采购的谈判邀请，</w:t>
      </w:r>
      <w:r>
        <w:rPr>
          <w:rFonts w:hint="eastAsia" w:asciiTheme="minorEastAsia" w:hAnsiTheme="minorEastAsia" w:eastAsiaTheme="minorEastAsia" w:cstheme="minorEastAsia"/>
          <w:sz w:val="24"/>
          <w:u w:val="single"/>
        </w:rPr>
        <w:t>签字代表</w:t>
      </w:r>
      <w:r>
        <w:rPr>
          <w:rFonts w:hint="eastAsia" w:asciiTheme="minorEastAsia" w:hAnsiTheme="minorEastAsia" w:eastAsiaTheme="minorEastAsia" w:cstheme="minorEastAsia"/>
          <w:sz w:val="24"/>
        </w:rPr>
        <w:t>（姓名和职务）经正式授权并代表谈判供应商</w:t>
      </w:r>
      <w:r>
        <w:rPr>
          <w:rFonts w:hint="eastAsia" w:asciiTheme="minorEastAsia" w:hAnsiTheme="minorEastAsia" w:eastAsiaTheme="minorEastAsia" w:cstheme="minorEastAsia"/>
          <w:sz w:val="24"/>
          <w:u w:val="single"/>
        </w:rPr>
        <w:t>（谈判供应商名称、地址）</w:t>
      </w:r>
      <w:r>
        <w:rPr>
          <w:rFonts w:hint="eastAsia" w:asciiTheme="minorEastAsia" w:hAnsiTheme="minorEastAsia" w:eastAsiaTheme="minorEastAsia" w:cstheme="minorEastAsia"/>
          <w:sz w:val="24"/>
        </w:rPr>
        <w:t>提交下述响应文件正本一份。</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1.谈判书(附件1)；</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2.报价组成情况表(附件2)；</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3.货物（服务）清单(附件3)；</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4.资格性符合性检查对照表(附件4)；</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5.技术响应、偏离情况说明表(附件5)；</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6.合同草案条款响应、偏离情况说明表(附件6)；</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7.法人（负责人）代表授权书(附件7)；</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8.法人或者其他组织的营业执照等证明文件，自然人的身份证明(附件8)；</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9.具备履行合同所必需的设备和专业技术能力的证明材料(附件9)；</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10.本文件要求提供的其他资格证明文件及资料。</w:t>
      </w:r>
    </w:p>
    <w:p>
      <w:pPr>
        <w:pStyle w:val="18"/>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在此，我方宣布同意如下：</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将按竞争性响应文件的规定履行合同责任和义务；</w:t>
      </w:r>
    </w:p>
    <w:p>
      <w:pPr>
        <w:pStyle w:val="18"/>
        <w:spacing w:line="440" w:lineRule="exact"/>
        <w:ind w:left="840" w:hanging="36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已详细审查全部竞争性谈判文件，包括第（编号、补遗书）（如果有的话）；我们完全理解并同意放弃对这方面有不明及误解的权力；</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本响应文件有效期为自谈判之日起</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个日历日；</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同意提供按照贵方可能要求的与其谈判有关的一切数据或资料；</w:t>
      </w:r>
    </w:p>
    <w:p>
      <w:pPr>
        <w:pStyle w:val="18"/>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与本谈判有关的一切正式往来信函请寄：</w:t>
      </w:r>
    </w:p>
    <w:p>
      <w:pPr>
        <w:pStyle w:val="18"/>
        <w:spacing w:line="440" w:lineRule="exact"/>
        <w:ind w:firstLine="84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电话/传真：</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电子信箱：</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谈判供应商（授权）代表签字：</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谈判供应商名称（公章）：</w:t>
      </w: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附件2</w:t>
      </w:r>
    </w:p>
    <w:p>
      <w:pPr>
        <w:ind w:firstLine="3040" w:firstLineChars="9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报价组成情况表</w:t>
      </w:r>
    </w:p>
    <w:p>
      <w:pPr>
        <w:ind w:firstLine="3040" w:firstLineChars="950"/>
        <w:rPr>
          <w:rFonts w:hint="eastAsia" w:asciiTheme="minorEastAsia" w:hAnsiTheme="minorEastAsia" w:eastAsiaTheme="minorEastAsia" w:cstheme="minorEastAsia"/>
          <w:sz w:val="32"/>
          <w:szCs w:val="32"/>
        </w:rPr>
      </w:pP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项目编号（包号）：</w:t>
      </w: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338"/>
        <w:gridCol w:w="1776"/>
        <w:gridCol w:w="912"/>
        <w:gridCol w:w="625"/>
        <w:gridCol w:w="657"/>
        <w:gridCol w:w="841"/>
        <w:gridCol w:w="77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序号</w:t>
            </w:r>
          </w:p>
        </w:tc>
        <w:tc>
          <w:tcPr>
            <w:tcW w:w="1393"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项目名称</w:t>
            </w:r>
          </w:p>
        </w:tc>
        <w:tc>
          <w:tcPr>
            <w:tcW w:w="1924"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highlight w:val="red"/>
              </w:rPr>
              <w:t>项目特征描述</w:t>
            </w:r>
          </w:p>
        </w:tc>
        <w:tc>
          <w:tcPr>
            <w:tcW w:w="779"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计量单位</w:t>
            </w:r>
          </w:p>
        </w:tc>
        <w:tc>
          <w:tcPr>
            <w:tcW w:w="648" w:type="dxa"/>
            <w:vMerge w:val="restart"/>
            <w:vAlign w:val="top"/>
          </w:tcPr>
          <w:p>
            <w:pPr>
              <w:spacing w:line="480" w:lineRule="auto"/>
              <w:rPr>
                <w:rFonts w:hint="eastAsia" w:ascii="宋体" w:hAnsi="宋体" w:eastAsia="宋体"/>
                <w:sz w:val="24"/>
                <w:szCs w:val="24"/>
              </w:rPr>
            </w:pPr>
            <w:r>
              <w:rPr>
                <w:rFonts w:hint="eastAsia" w:ascii="宋体" w:hAnsi="宋体" w:eastAsia="宋体"/>
                <w:sz w:val="24"/>
                <w:szCs w:val="24"/>
              </w:rPr>
              <w:t>工程量</w:t>
            </w:r>
          </w:p>
        </w:tc>
        <w:tc>
          <w:tcPr>
            <w:tcW w:w="1308" w:type="dxa"/>
            <w:gridSpan w:val="2"/>
            <w:vAlign w:val="top"/>
          </w:tcPr>
          <w:p>
            <w:pPr>
              <w:spacing w:line="480" w:lineRule="auto"/>
              <w:rPr>
                <w:rFonts w:hint="eastAsia" w:ascii="宋体" w:hAnsi="宋体" w:eastAsia="宋体"/>
                <w:sz w:val="24"/>
                <w:szCs w:val="24"/>
                <w:highlight w:val="lightGray"/>
              </w:rPr>
            </w:pPr>
            <w:r>
              <w:rPr>
                <w:rFonts w:hint="eastAsia" w:ascii="宋体" w:hAnsi="宋体"/>
                <w:sz w:val="24"/>
                <w:szCs w:val="24"/>
                <w:highlight w:val="lightGray"/>
                <w:lang w:eastAsia="zh-CN"/>
              </w:rPr>
              <w:t>预算</w:t>
            </w:r>
            <w:r>
              <w:rPr>
                <w:rFonts w:hint="eastAsia" w:ascii="宋体" w:hAnsi="宋体" w:eastAsia="宋体"/>
                <w:sz w:val="21"/>
                <w:szCs w:val="21"/>
                <w:highlight w:val="lightGray"/>
              </w:rPr>
              <w:t>限价</w:t>
            </w:r>
            <w:r>
              <w:rPr>
                <w:rFonts w:hint="eastAsia" w:ascii="宋体" w:hAnsi="宋体" w:eastAsia="宋体"/>
                <w:sz w:val="24"/>
                <w:szCs w:val="24"/>
                <w:highlight w:val="lightGray"/>
              </w:rPr>
              <w:t>金额</w:t>
            </w:r>
          </w:p>
        </w:tc>
        <w:tc>
          <w:tcPr>
            <w:tcW w:w="1948" w:type="dxa"/>
            <w:gridSpan w:val="2"/>
            <w:vAlign w:val="top"/>
          </w:tcPr>
          <w:p>
            <w:pPr>
              <w:spacing w:line="480" w:lineRule="auto"/>
              <w:jc w:val="center"/>
              <w:rPr>
                <w:rFonts w:hint="eastAsia" w:ascii="宋体" w:hAnsi="宋体" w:eastAsia="宋体"/>
                <w:sz w:val="24"/>
                <w:szCs w:val="24"/>
                <w:highlight w:val="lightGray"/>
              </w:rPr>
            </w:pPr>
            <w:r>
              <w:rPr>
                <w:rFonts w:hint="eastAsia" w:ascii="宋体" w:hAnsi="宋体"/>
                <w:sz w:val="24"/>
                <w:szCs w:val="24"/>
                <w:highlight w:val="lightGray"/>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vAlign w:val="top"/>
          </w:tcPr>
          <w:p>
            <w:pPr>
              <w:spacing w:line="480" w:lineRule="auto"/>
              <w:rPr>
                <w:rFonts w:hint="eastAsia" w:ascii="宋体" w:hAnsi="宋体" w:eastAsia="宋体"/>
                <w:sz w:val="24"/>
                <w:szCs w:val="24"/>
              </w:rPr>
            </w:pPr>
          </w:p>
        </w:tc>
        <w:tc>
          <w:tcPr>
            <w:tcW w:w="1393" w:type="dxa"/>
            <w:vMerge w:val="continue"/>
            <w:vAlign w:val="top"/>
          </w:tcPr>
          <w:p>
            <w:pPr>
              <w:spacing w:line="480" w:lineRule="auto"/>
              <w:rPr>
                <w:rFonts w:hint="eastAsia" w:ascii="宋体" w:hAnsi="宋体" w:eastAsia="宋体"/>
                <w:sz w:val="24"/>
                <w:szCs w:val="24"/>
              </w:rPr>
            </w:pPr>
          </w:p>
        </w:tc>
        <w:tc>
          <w:tcPr>
            <w:tcW w:w="1924" w:type="dxa"/>
            <w:vMerge w:val="continue"/>
            <w:vAlign w:val="top"/>
          </w:tcPr>
          <w:p>
            <w:pPr>
              <w:spacing w:line="480" w:lineRule="auto"/>
              <w:rPr>
                <w:rFonts w:hint="eastAsia" w:ascii="宋体" w:hAnsi="宋体" w:eastAsia="宋体"/>
                <w:sz w:val="24"/>
                <w:szCs w:val="24"/>
              </w:rPr>
            </w:pPr>
          </w:p>
        </w:tc>
        <w:tc>
          <w:tcPr>
            <w:tcW w:w="779" w:type="dxa"/>
            <w:vMerge w:val="continue"/>
            <w:vAlign w:val="top"/>
          </w:tcPr>
          <w:p>
            <w:pPr>
              <w:spacing w:line="480" w:lineRule="auto"/>
              <w:rPr>
                <w:rFonts w:hint="eastAsia" w:ascii="宋体" w:hAnsi="宋体" w:eastAsia="宋体"/>
                <w:sz w:val="24"/>
                <w:szCs w:val="24"/>
              </w:rPr>
            </w:pPr>
          </w:p>
        </w:tc>
        <w:tc>
          <w:tcPr>
            <w:tcW w:w="648" w:type="dxa"/>
            <w:vMerge w:val="continue"/>
            <w:vAlign w:val="top"/>
          </w:tcPr>
          <w:p>
            <w:pPr>
              <w:spacing w:line="480" w:lineRule="auto"/>
              <w:rPr>
                <w:rFonts w:hint="eastAsia" w:ascii="宋体" w:hAnsi="宋体" w:eastAsia="宋体"/>
                <w:sz w:val="24"/>
                <w:szCs w:val="24"/>
              </w:rPr>
            </w:pPr>
          </w:p>
        </w:tc>
        <w:tc>
          <w:tcPr>
            <w:tcW w:w="668" w:type="dxa"/>
            <w:vAlign w:val="top"/>
          </w:tcPr>
          <w:p>
            <w:pPr>
              <w:spacing w:line="480" w:lineRule="auto"/>
              <w:rPr>
                <w:rFonts w:hint="eastAsia" w:ascii="宋体" w:hAnsi="宋体" w:eastAsia="宋体"/>
                <w:sz w:val="21"/>
                <w:szCs w:val="21"/>
                <w:highlight w:val="lightGray"/>
              </w:rPr>
            </w:pPr>
            <w:r>
              <w:rPr>
                <w:rFonts w:hint="eastAsia" w:ascii="宋体" w:hAnsi="宋体" w:eastAsia="宋体"/>
                <w:sz w:val="21"/>
                <w:szCs w:val="21"/>
                <w:highlight w:val="lightGray"/>
              </w:rPr>
              <w:t>限价单价</w:t>
            </w:r>
          </w:p>
        </w:tc>
        <w:tc>
          <w:tcPr>
            <w:tcW w:w="844" w:type="dxa"/>
            <w:vAlign w:val="top"/>
          </w:tcPr>
          <w:p>
            <w:pPr>
              <w:spacing w:line="480" w:lineRule="auto"/>
              <w:rPr>
                <w:rFonts w:hint="eastAsia" w:ascii="宋体" w:hAnsi="宋体" w:eastAsia="宋体"/>
                <w:sz w:val="21"/>
                <w:szCs w:val="21"/>
                <w:highlight w:val="lightGray"/>
                <w:lang w:eastAsia="zh-CN"/>
              </w:rPr>
            </w:pPr>
            <w:r>
              <w:rPr>
                <w:rFonts w:hint="eastAsia" w:ascii="宋体" w:hAnsi="宋体" w:eastAsia="宋体"/>
                <w:sz w:val="21"/>
                <w:szCs w:val="21"/>
                <w:highlight w:val="lightGray"/>
              </w:rPr>
              <w:t>限价</w:t>
            </w:r>
            <w:r>
              <w:rPr>
                <w:rFonts w:hint="eastAsia" w:ascii="宋体" w:hAnsi="宋体"/>
                <w:sz w:val="21"/>
                <w:szCs w:val="21"/>
                <w:highlight w:val="lightGray"/>
                <w:lang w:eastAsia="zh-CN"/>
              </w:rPr>
              <w:t>小</w:t>
            </w:r>
            <w:r>
              <w:rPr>
                <w:rFonts w:hint="eastAsia" w:ascii="宋体" w:hAnsi="宋体" w:eastAsia="宋体"/>
                <w:sz w:val="21"/>
                <w:szCs w:val="21"/>
                <w:highlight w:val="lightGray"/>
                <w:lang w:eastAsia="zh-CN"/>
              </w:rPr>
              <w:t>计</w:t>
            </w:r>
          </w:p>
        </w:tc>
        <w:tc>
          <w:tcPr>
            <w:tcW w:w="819" w:type="dxa"/>
            <w:vAlign w:val="top"/>
          </w:tcPr>
          <w:p>
            <w:pPr>
              <w:spacing w:line="480" w:lineRule="auto"/>
              <w:rPr>
                <w:rFonts w:hint="eastAsia" w:ascii="宋体" w:hAnsi="宋体"/>
                <w:sz w:val="21"/>
                <w:szCs w:val="21"/>
                <w:highlight w:val="lightGray"/>
                <w:lang w:eastAsia="zh-CN"/>
              </w:rPr>
            </w:pPr>
            <w:r>
              <w:rPr>
                <w:rFonts w:hint="eastAsia" w:ascii="宋体" w:hAnsi="宋体"/>
                <w:sz w:val="21"/>
                <w:szCs w:val="21"/>
                <w:highlight w:val="lightGray"/>
                <w:lang w:eastAsia="zh-CN"/>
              </w:rPr>
              <w:t>报价</w:t>
            </w:r>
          </w:p>
          <w:p>
            <w:pPr>
              <w:spacing w:line="480" w:lineRule="auto"/>
              <w:rPr>
                <w:rFonts w:hint="eastAsia" w:ascii="宋体" w:hAnsi="宋体" w:eastAsia="宋体"/>
                <w:sz w:val="24"/>
                <w:szCs w:val="24"/>
                <w:highlight w:val="lightGray"/>
              </w:rPr>
            </w:pPr>
            <w:r>
              <w:rPr>
                <w:rFonts w:hint="eastAsia" w:ascii="宋体" w:hAnsi="宋体" w:eastAsia="宋体"/>
                <w:sz w:val="21"/>
                <w:szCs w:val="21"/>
                <w:highlight w:val="lightGray"/>
              </w:rPr>
              <w:t>单价</w:t>
            </w:r>
          </w:p>
        </w:tc>
        <w:tc>
          <w:tcPr>
            <w:tcW w:w="981" w:type="dxa"/>
            <w:vAlign w:val="top"/>
          </w:tcPr>
          <w:p>
            <w:pPr>
              <w:spacing w:line="480" w:lineRule="auto"/>
              <w:rPr>
                <w:rFonts w:hint="eastAsia" w:ascii="宋体" w:hAnsi="宋体"/>
                <w:sz w:val="21"/>
                <w:szCs w:val="21"/>
                <w:highlight w:val="lightGray"/>
                <w:lang w:eastAsia="zh-CN"/>
              </w:rPr>
            </w:pPr>
            <w:r>
              <w:rPr>
                <w:rFonts w:hint="eastAsia" w:ascii="宋体" w:hAnsi="宋体"/>
                <w:sz w:val="21"/>
                <w:szCs w:val="21"/>
                <w:highlight w:val="lightGray"/>
                <w:lang w:eastAsia="zh-CN"/>
              </w:rPr>
              <w:t>报价</w:t>
            </w:r>
          </w:p>
          <w:p>
            <w:pPr>
              <w:spacing w:line="480" w:lineRule="auto"/>
              <w:rPr>
                <w:rFonts w:hint="eastAsia" w:ascii="宋体" w:hAnsi="宋体" w:eastAsia="宋体"/>
                <w:sz w:val="24"/>
                <w:szCs w:val="24"/>
                <w:highlight w:val="lightGray"/>
              </w:rPr>
            </w:pPr>
            <w:r>
              <w:rPr>
                <w:rFonts w:hint="eastAsia" w:ascii="宋体" w:hAnsi="宋体"/>
                <w:sz w:val="21"/>
                <w:szCs w:val="21"/>
                <w:highlight w:val="lightGray"/>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sz w:val="24"/>
                <w:szCs w:val="24"/>
              </w:rPr>
            </w:pPr>
            <w:r>
              <w:rPr>
                <w:rFonts w:hint="eastAsia" w:ascii="宋体" w:hAnsi="宋体" w:eastAsia="宋体"/>
                <w:sz w:val="24"/>
                <w:szCs w:val="24"/>
              </w:rPr>
              <w:t>1</w:t>
            </w:r>
          </w:p>
        </w:tc>
        <w:tc>
          <w:tcPr>
            <w:tcW w:w="1393" w:type="dxa"/>
            <w:vAlign w:val="top"/>
          </w:tcPr>
          <w:p>
            <w:pPr>
              <w:spacing w:line="480" w:lineRule="auto"/>
              <w:rPr>
                <w:rFonts w:hint="eastAsia" w:ascii="宋体" w:hAnsi="宋体" w:eastAsia="宋体"/>
                <w:sz w:val="24"/>
                <w:szCs w:val="24"/>
              </w:rPr>
            </w:pPr>
            <w:r>
              <w:rPr>
                <w:rFonts w:hint="eastAsia" w:ascii="宋体" w:hAnsi="宋体" w:eastAsia="宋体"/>
                <w:sz w:val="24"/>
                <w:szCs w:val="24"/>
              </w:rPr>
              <w:t>坐式马桶</w:t>
            </w:r>
          </w:p>
        </w:tc>
        <w:tc>
          <w:tcPr>
            <w:tcW w:w="1924" w:type="dxa"/>
            <w:vAlign w:val="top"/>
          </w:tcPr>
          <w:p>
            <w:pPr>
              <w:spacing w:line="480" w:lineRule="auto"/>
              <w:rPr>
                <w:rFonts w:hint="eastAsia" w:ascii="宋体" w:hAnsi="宋体" w:eastAsia="宋体"/>
                <w:sz w:val="24"/>
                <w:szCs w:val="24"/>
              </w:rPr>
            </w:pPr>
            <w:r>
              <w:rPr>
                <w:rFonts w:hint="eastAsia" w:ascii="宋体" w:hAnsi="宋体" w:eastAsia="宋体"/>
                <w:sz w:val="24"/>
                <w:szCs w:val="24"/>
              </w:rPr>
              <w:t>老年人及无障碍厕位</w:t>
            </w:r>
          </w:p>
        </w:tc>
        <w:tc>
          <w:tcPr>
            <w:tcW w:w="779" w:type="dxa"/>
            <w:vAlign w:val="top"/>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648" w:type="dxa"/>
            <w:vAlign w:val="top"/>
          </w:tcPr>
          <w:p>
            <w:pPr>
              <w:spacing w:line="480" w:lineRule="auto"/>
              <w:rPr>
                <w:rFonts w:hint="eastAsia" w:ascii="宋体" w:hAnsi="宋体" w:eastAsia="宋体"/>
                <w:sz w:val="24"/>
                <w:szCs w:val="24"/>
              </w:rPr>
            </w:pPr>
            <w:r>
              <w:rPr>
                <w:rFonts w:hint="eastAsia" w:ascii="宋体" w:hAnsi="宋体" w:eastAsia="宋体"/>
                <w:sz w:val="24"/>
                <w:szCs w:val="24"/>
              </w:rPr>
              <w:t>8</w:t>
            </w:r>
          </w:p>
        </w:tc>
        <w:tc>
          <w:tcPr>
            <w:tcW w:w="668" w:type="dxa"/>
            <w:vAlign w:val="top"/>
          </w:tcPr>
          <w:p>
            <w:pPr>
              <w:spacing w:line="480" w:lineRule="auto"/>
              <w:rPr>
                <w:rFonts w:hint="default" w:ascii="宋体" w:hAnsi="宋体" w:eastAsia="宋体"/>
                <w:sz w:val="24"/>
                <w:szCs w:val="24"/>
                <w:highlight w:val="red"/>
                <w:lang w:val="en-US" w:eastAsia="zh-CN"/>
              </w:rPr>
            </w:pPr>
            <w:r>
              <w:rPr>
                <w:rFonts w:hint="eastAsia" w:ascii="宋体" w:hAnsi="宋体"/>
                <w:sz w:val="24"/>
                <w:szCs w:val="24"/>
                <w:highlight w:val="red"/>
                <w:lang w:val="en-US" w:eastAsia="zh-CN"/>
              </w:rPr>
              <w:t>950</w:t>
            </w:r>
          </w:p>
        </w:tc>
        <w:tc>
          <w:tcPr>
            <w:tcW w:w="844" w:type="dxa"/>
            <w:vAlign w:val="top"/>
          </w:tcPr>
          <w:p>
            <w:pPr>
              <w:spacing w:line="480" w:lineRule="auto"/>
              <w:rPr>
                <w:rFonts w:hint="default" w:ascii="宋体" w:hAnsi="宋体" w:eastAsia="宋体" w:cs="Times New Roman"/>
                <w:kern w:val="2"/>
                <w:sz w:val="24"/>
                <w:szCs w:val="24"/>
                <w:highlight w:val="red"/>
                <w:lang w:val="en-US" w:eastAsia="zh-CN" w:bidi="ar-SA"/>
              </w:rPr>
            </w:pPr>
            <w:r>
              <w:rPr>
                <w:rFonts w:hint="eastAsia" w:ascii="宋体" w:hAnsi="宋体"/>
                <w:sz w:val="24"/>
                <w:szCs w:val="24"/>
                <w:highlight w:val="red"/>
                <w:lang w:val="en-US" w:eastAsia="zh-CN"/>
              </w:rPr>
              <w:t>7600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sz w:val="24"/>
                <w:szCs w:val="24"/>
              </w:rPr>
            </w:pPr>
            <w:r>
              <w:rPr>
                <w:rFonts w:hint="eastAsia" w:ascii="宋体" w:hAnsi="宋体" w:eastAsia="宋体"/>
                <w:sz w:val="24"/>
                <w:szCs w:val="24"/>
              </w:rPr>
              <w:t>2</w:t>
            </w:r>
          </w:p>
        </w:tc>
        <w:tc>
          <w:tcPr>
            <w:tcW w:w="1393" w:type="dxa"/>
            <w:vAlign w:val="top"/>
          </w:tcPr>
          <w:p>
            <w:pPr>
              <w:spacing w:line="480" w:lineRule="auto"/>
              <w:rPr>
                <w:rFonts w:hint="eastAsia" w:ascii="宋体" w:hAnsi="宋体" w:eastAsia="宋体"/>
                <w:sz w:val="24"/>
                <w:szCs w:val="24"/>
              </w:rPr>
            </w:pPr>
            <w:r>
              <w:rPr>
                <w:rFonts w:hint="eastAsia" w:ascii="宋体" w:hAnsi="宋体" w:eastAsia="宋体"/>
                <w:sz w:val="24"/>
                <w:szCs w:val="24"/>
              </w:rPr>
              <w:t>厕所无障碍设施</w:t>
            </w:r>
          </w:p>
        </w:tc>
        <w:tc>
          <w:tcPr>
            <w:tcW w:w="1924" w:type="dxa"/>
            <w:vAlign w:val="top"/>
          </w:tcPr>
          <w:p>
            <w:pPr>
              <w:spacing w:line="480" w:lineRule="auto"/>
              <w:rPr>
                <w:rFonts w:hint="eastAsia" w:ascii="宋体" w:hAnsi="宋体" w:eastAsia="宋体"/>
                <w:sz w:val="24"/>
                <w:szCs w:val="24"/>
              </w:rPr>
            </w:pPr>
            <w:r>
              <w:rPr>
                <w:rFonts w:hint="eastAsia" w:ascii="宋体" w:hAnsi="宋体" w:eastAsia="宋体"/>
                <w:sz w:val="24"/>
                <w:szCs w:val="24"/>
              </w:rPr>
              <w:t>蹲位扶手、安全抓手等</w:t>
            </w:r>
          </w:p>
        </w:tc>
        <w:tc>
          <w:tcPr>
            <w:tcW w:w="779" w:type="dxa"/>
            <w:vAlign w:val="top"/>
          </w:tcPr>
          <w:p>
            <w:pPr>
              <w:spacing w:line="480" w:lineRule="auto"/>
              <w:rPr>
                <w:rFonts w:hint="eastAsia" w:ascii="宋体" w:hAnsi="宋体" w:eastAsia="宋体"/>
                <w:sz w:val="24"/>
                <w:szCs w:val="24"/>
              </w:rPr>
            </w:pPr>
            <w:r>
              <w:rPr>
                <w:rFonts w:hint="eastAsia" w:ascii="宋体" w:hAnsi="宋体" w:eastAsia="宋体"/>
                <w:sz w:val="24"/>
                <w:szCs w:val="24"/>
              </w:rPr>
              <w:t>组</w:t>
            </w:r>
          </w:p>
        </w:tc>
        <w:tc>
          <w:tcPr>
            <w:tcW w:w="648" w:type="dxa"/>
            <w:vAlign w:val="top"/>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668" w:type="dxa"/>
            <w:vAlign w:val="top"/>
          </w:tcPr>
          <w:p>
            <w:pPr>
              <w:spacing w:line="480" w:lineRule="auto"/>
              <w:rPr>
                <w:rFonts w:hint="default" w:ascii="宋体" w:hAnsi="宋体" w:eastAsia="宋体"/>
                <w:sz w:val="24"/>
                <w:szCs w:val="24"/>
                <w:highlight w:val="red"/>
                <w:lang w:val="en-US" w:eastAsia="zh-CN"/>
              </w:rPr>
            </w:pPr>
            <w:r>
              <w:rPr>
                <w:rFonts w:hint="eastAsia" w:ascii="宋体" w:hAnsi="宋体" w:eastAsia="宋体"/>
                <w:sz w:val="24"/>
                <w:szCs w:val="24"/>
                <w:lang w:val="en-US" w:eastAsia="zh-CN"/>
              </w:rPr>
              <w:t>330</w:t>
            </w:r>
          </w:p>
        </w:tc>
        <w:tc>
          <w:tcPr>
            <w:tcW w:w="844" w:type="dxa"/>
            <w:vAlign w:val="top"/>
          </w:tcPr>
          <w:p>
            <w:pPr>
              <w:spacing w:line="480" w:lineRule="auto"/>
              <w:rPr>
                <w:rFonts w:hint="eastAsia" w:ascii="宋体" w:hAnsi="宋体" w:eastAsia="宋体" w:cs="Times New Roman"/>
                <w:kern w:val="2"/>
                <w:sz w:val="24"/>
                <w:szCs w:val="24"/>
                <w:highlight w:val="red"/>
                <w:lang w:val="en-US" w:eastAsia="zh-CN" w:bidi="ar-SA"/>
              </w:rPr>
            </w:pPr>
            <w:r>
              <w:rPr>
                <w:rFonts w:hint="eastAsia" w:ascii="宋体" w:hAnsi="宋体" w:eastAsia="宋体"/>
                <w:sz w:val="24"/>
                <w:szCs w:val="24"/>
                <w:lang w:val="en-US" w:eastAsia="zh-CN"/>
              </w:rPr>
              <w:t>9900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sz w:val="24"/>
                <w:szCs w:val="24"/>
              </w:rPr>
            </w:pPr>
            <w:r>
              <w:rPr>
                <w:rFonts w:hint="eastAsia" w:ascii="宋体" w:hAnsi="宋体" w:eastAsia="宋体"/>
                <w:sz w:val="24"/>
                <w:szCs w:val="24"/>
              </w:rPr>
              <w:t>3</w:t>
            </w:r>
          </w:p>
        </w:tc>
        <w:tc>
          <w:tcPr>
            <w:tcW w:w="1393" w:type="dxa"/>
            <w:vAlign w:val="top"/>
          </w:tcPr>
          <w:p>
            <w:pPr>
              <w:spacing w:line="480" w:lineRule="auto"/>
              <w:rPr>
                <w:rFonts w:hint="eastAsia" w:ascii="宋体" w:hAnsi="宋体" w:eastAsia="宋体"/>
                <w:sz w:val="24"/>
                <w:szCs w:val="24"/>
              </w:rPr>
            </w:pPr>
            <w:r>
              <w:rPr>
                <w:rFonts w:hint="eastAsia" w:ascii="宋体" w:hAnsi="宋体" w:eastAsia="宋体"/>
                <w:sz w:val="24"/>
                <w:szCs w:val="24"/>
              </w:rPr>
              <w:t>脚踏冲水器</w:t>
            </w:r>
          </w:p>
        </w:tc>
        <w:tc>
          <w:tcPr>
            <w:tcW w:w="1924" w:type="dxa"/>
            <w:vAlign w:val="top"/>
          </w:tcPr>
          <w:p>
            <w:pPr>
              <w:spacing w:line="480" w:lineRule="auto"/>
              <w:rPr>
                <w:rFonts w:hint="eastAsia" w:ascii="宋体" w:hAnsi="宋体" w:eastAsia="宋体"/>
                <w:sz w:val="24"/>
                <w:szCs w:val="24"/>
              </w:rPr>
            </w:pPr>
            <w:r>
              <w:rPr>
                <w:rFonts w:hint="eastAsia" w:ascii="宋体" w:hAnsi="宋体" w:eastAsia="宋体"/>
                <w:sz w:val="24"/>
                <w:szCs w:val="24"/>
                <w:lang w:eastAsia="zh-CN"/>
              </w:rPr>
              <w:t>全铜阀</w:t>
            </w:r>
          </w:p>
        </w:tc>
        <w:tc>
          <w:tcPr>
            <w:tcW w:w="779" w:type="dxa"/>
            <w:vAlign w:val="top"/>
          </w:tcPr>
          <w:p>
            <w:pPr>
              <w:spacing w:line="480" w:lineRule="auto"/>
              <w:rPr>
                <w:rFonts w:hint="eastAsia" w:ascii="宋体" w:hAnsi="宋体" w:eastAsia="宋体"/>
                <w:sz w:val="24"/>
                <w:szCs w:val="24"/>
              </w:rPr>
            </w:pPr>
            <w:r>
              <w:rPr>
                <w:rFonts w:hint="eastAsia" w:ascii="宋体" w:hAnsi="宋体" w:eastAsia="宋体"/>
                <w:sz w:val="24"/>
                <w:szCs w:val="24"/>
              </w:rPr>
              <w:t>套</w:t>
            </w:r>
          </w:p>
        </w:tc>
        <w:tc>
          <w:tcPr>
            <w:tcW w:w="648" w:type="dxa"/>
            <w:vAlign w:val="top"/>
          </w:tcPr>
          <w:p>
            <w:pPr>
              <w:spacing w:line="480" w:lineRule="auto"/>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2</w:t>
            </w:r>
          </w:p>
        </w:tc>
        <w:tc>
          <w:tcPr>
            <w:tcW w:w="668" w:type="dxa"/>
            <w:vAlign w:val="top"/>
          </w:tcPr>
          <w:p>
            <w:pPr>
              <w:spacing w:line="480" w:lineRule="auto"/>
              <w:rPr>
                <w:rFonts w:hint="eastAsia" w:ascii="宋体" w:hAnsi="宋体" w:eastAsia="宋体"/>
                <w:sz w:val="24"/>
                <w:szCs w:val="24"/>
              </w:rPr>
            </w:pPr>
            <w:r>
              <w:rPr>
                <w:rFonts w:hint="eastAsia" w:ascii="宋体" w:hAnsi="宋体" w:eastAsia="宋体"/>
                <w:sz w:val="24"/>
                <w:szCs w:val="24"/>
                <w:lang w:val="en-US" w:eastAsia="zh-CN"/>
              </w:rPr>
              <w:t>250</w:t>
            </w:r>
          </w:p>
        </w:tc>
        <w:tc>
          <w:tcPr>
            <w:tcW w:w="84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5500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sz w:val="24"/>
                <w:szCs w:val="24"/>
              </w:rPr>
            </w:pPr>
            <w:r>
              <w:rPr>
                <w:rFonts w:hint="eastAsia" w:ascii="宋体" w:hAnsi="宋体" w:eastAsia="宋体"/>
                <w:sz w:val="24"/>
                <w:szCs w:val="24"/>
              </w:rPr>
              <w:t>4</w:t>
            </w:r>
          </w:p>
        </w:tc>
        <w:tc>
          <w:tcPr>
            <w:tcW w:w="1393" w:type="dxa"/>
            <w:vAlign w:val="top"/>
          </w:tcPr>
          <w:p>
            <w:pPr>
              <w:spacing w:line="480" w:lineRule="auto"/>
              <w:rPr>
                <w:rFonts w:hint="eastAsia" w:ascii="宋体" w:hAnsi="宋体" w:eastAsia="宋体"/>
                <w:sz w:val="24"/>
                <w:szCs w:val="24"/>
              </w:rPr>
            </w:pPr>
            <w:r>
              <w:rPr>
                <w:rFonts w:hint="eastAsia" w:ascii="宋体" w:hAnsi="宋体" w:eastAsia="宋体"/>
                <w:sz w:val="24"/>
                <w:szCs w:val="24"/>
              </w:rPr>
              <w:t>厕所挂钩</w:t>
            </w:r>
          </w:p>
        </w:tc>
        <w:tc>
          <w:tcPr>
            <w:tcW w:w="1924" w:type="dxa"/>
            <w:vAlign w:val="top"/>
          </w:tcPr>
          <w:p>
            <w:pPr>
              <w:spacing w:line="480" w:lineRule="auto"/>
              <w:rPr>
                <w:rFonts w:hint="eastAsia" w:ascii="宋体" w:hAnsi="宋体" w:eastAsia="宋体"/>
                <w:sz w:val="24"/>
                <w:szCs w:val="24"/>
              </w:rPr>
            </w:pPr>
            <w:r>
              <w:rPr>
                <w:rFonts w:hint="eastAsia" w:ascii="宋体" w:hAnsi="宋体" w:eastAsia="宋体"/>
                <w:sz w:val="24"/>
                <w:szCs w:val="24"/>
                <w:lang w:eastAsia="zh-CN"/>
              </w:rPr>
              <w:t>不锈钢挂钩</w:t>
            </w:r>
          </w:p>
        </w:tc>
        <w:tc>
          <w:tcPr>
            <w:tcW w:w="779" w:type="dxa"/>
            <w:vAlign w:val="top"/>
          </w:tcPr>
          <w:p>
            <w:pPr>
              <w:spacing w:line="480" w:lineRule="auto"/>
              <w:rPr>
                <w:rFonts w:hint="eastAsia" w:ascii="宋体" w:hAnsi="宋体" w:eastAsia="宋体"/>
                <w:sz w:val="24"/>
                <w:szCs w:val="24"/>
              </w:rPr>
            </w:pPr>
            <w:r>
              <w:rPr>
                <w:rFonts w:hint="eastAsia" w:ascii="宋体" w:hAnsi="宋体" w:eastAsia="宋体"/>
                <w:sz w:val="24"/>
                <w:szCs w:val="24"/>
              </w:rPr>
              <w:t>个</w:t>
            </w:r>
          </w:p>
        </w:tc>
        <w:tc>
          <w:tcPr>
            <w:tcW w:w="648" w:type="dxa"/>
            <w:vAlign w:val="top"/>
          </w:tcPr>
          <w:p>
            <w:pPr>
              <w:spacing w:line="480" w:lineRule="auto"/>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w:t>
            </w:r>
          </w:p>
        </w:tc>
        <w:tc>
          <w:tcPr>
            <w:tcW w:w="668" w:type="dxa"/>
            <w:vAlign w:val="top"/>
          </w:tcPr>
          <w:p>
            <w:pPr>
              <w:spacing w:line="480" w:lineRule="auto"/>
              <w:rPr>
                <w:rFonts w:hint="eastAsia" w:ascii="宋体" w:hAnsi="宋体" w:eastAsia="宋体"/>
                <w:sz w:val="24"/>
                <w:szCs w:val="24"/>
              </w:rPr>
            </w:pPr>
            <w:r>
              <w:rPr>
                <w:rFonts w:hint="eastAsia" w:ascii="宋体" w:hAnsi="宋体" w:eastAsia="宋体"/>
                <w:sz w:val="24"/>
                <w:szCs w:val="24"/>
                <w:lang w:val="en-US" w:eastAsia="zh-CN"/>
              </w:rPr>
              <w:t>30</w:t>
            </w:r>
          </w:p>
        </w:tc>
        <w:tc>
          <w:tcPr>
            <w:tcW w:w="84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900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sz w:val="24"/>
                <w:szCs w:val="24"/>
              </w:rPr>
            </w:pPr>
            <w:r>
              <w:rPr>
                <w:rFonts w:hint="eastAsia" w:ascii="宋体" w:hAnsi="宋体" w:eastAsia="宋体"/>
                <w:sz w:val="24"/>
                <w:szCs w:val="24"/>
              </w:rPr>
              <w:t>5</w:t>
            </w:r>
          </w:p>
        </w:tc>
        <w:tc>
          <w:tcPr>
            <w:tcW w:w="1393" w:type="dxa"/>
            <w:vAlign w:val="top"/>
          </w:tcPr>
          <w:p>
            <w:pPr>
              <w:spacing w:line="480" w:lineRule="auto"/>
              <w:rPr>
                <w:rFonts w:hint="eastAsia" w:ascii="宋体" w:hAnsi="宋体" w:eastAsia="宋体"/>
                <w:sz w:val="24"/>
                <w:szCs w:val="24"/>
              </w:rPr>
            </w:pPr>
            <w:r>
              <w:rPr>
                <w:rFonts w:hint="eastAsia" w:ascii="宋体" w:hAnsi="宋体" w:eastAsia="宋体"/>
                <w:sz w:val="24"/>
                <w:szCs w:val="24"/>
              </w:rPr>
              <w:t>厕所瓷砖</w:t>
            </w:r>
          </w:p>
        </w:tc>
        <w:tc>
          <w:tcPr>
            <w:tcW w:w="1924" w:type="dxa"/>
            <w:vAlign w:val="top"/>
          </w:tcPr>
          <w:p>
            <w:pPr>
              <w:spacing w:line="480" w:lineRule="auto"/>
              <w:rPr>
                <w:rFonts w:hint="eastAsia" w:ascii="宋体" w:hAnsi="宋体" w:eastAsia="宋体"/>
                <w:sz w:val="24"/>
                <w:szCs w:val="24"/>
              </w:rPr>
            </w:pPr>
            <w:r>
              <w:rPr>
                <w:rFonts w:hint="eastAsia" w:ascii="宋体" w:hAnsi="宋体" w:eastAsia="宋体"/>
                <w:sz w:val="24"/>
                <w:szCs w:val="24"/>
              </w:rPr>
              <w:t>防滑地面</w:t>
            </w:r>
          </w:p>
        </w:tc>
        <w:tc>
          <w:tcPr>
            <w:tcW w:w="779" w:type="dxa"/>
            <w:vAlign w:val="top"/>
          </w:tcPr>
          <w:p>
            <w:pPr>
              <w:spacing w:line="480" w:lineRule="auto"/>
              <w:rPr>
                <w:rFonts w:hint="eastAsia" w:ascii="宋体" w:hAnsi="宋体" w:eastAsia="宋体"/>
                <w:sz w:val="24"/>
                <w:szCs w:val="24"/>
              </w:rPr>
            </w:pPr>
            <w:r>
              <w:rPr>
                <w:rFonts w:hint="eastAsia" w:ascii="宋体" w:hAnsi="宋体" w:eastAsia="宋体"/>
                <w:sz w:val="24"/>
                <w:szCs w:val="24"/>
              </w:rPr>
              <w:t>㎡</w:t>
            </w:r>
          </w:p>
        </w:tc>
        <w:tc>
          <w:tcPr>
            <w:tcW w:w="648" w:type="dxa"/>
            <w:vAlign w:val="top"/>
          </w:tcPr>
          <w:p>
            <w:pPr>
              <w:spacing w:line="480" w:lineRule="auto"/>
              <w:rPr>
                <w:rFonts w:hint="eastAsia" w:ascii="宋体" w:hAnsi="宋体" w:eastAsia="宋体"/>
                <w:sz w:val="24"/>
                <w:szCs w:val="24"/>
              </w:rPr>
            </w:pPr>
            <w:r>
              <w:rPr>
                <w:rFonts w:hint="eastAsia" w:ascii="宋体" w:hAnsi="宋体"/>
                <w:sz w:val="24"/>
                <w:szCs w:val="24"/>
                <w:lang w:val="en-US" w:eastAsia="zh-CN"/>
              </w:rPr>
              <w:t>8</w:t>
            </w:r>
            <w:r>
              <w:rPr>
                <w:rFonts w:ascii="宋体" w:hAnsi="宋体" w:eastAsia="宋体"/>
                <w:sz w:val="24"/>
                <w:szCs w:val="24"/>
              </w:rPr>
              <w:t>0</w:t>
            </w:r>
          </w:p>
        </w:tc>
        <w:tc>
          <w:tcPr>
            <w:tcW w:w="668" w:type="dxa"/>
            <w:vAlign w:val="top"/>
          </w:tcPr>
          <w:p>
            <w:pPr>
              <w:spacing w:line="480" w:lineRule="auto"/>
              <w:rPr>
                <w:rFonts w:hint="eastAsia" w:ascii="宋体" w:hAnsi="宋体" w:eastAsia="宋体"/>
                <w:sz w:val="24"/>
                <w:szCs w:val="24"/>
              </w:rPr>
            </w:pPr>
            <w:r>
              <w:rPr>
                <w:rFonts w:hint="eastAsia" w:ascii="宋体" w:hAnsi="宋体" w:eastAsia="宋体"/>
                <w:sz w:val="24"/>
                <w:szCs w:val="24"/>
                <w:lang w:val="en-US" w:eastAsia="zh-CN"/>
              </w:rPr>
              <w:t>20</w:t>
            </w:r>
            <w:r>
              <w:rPr>
                <w:rFonts w:hint="eastAsia" w:ascii="宋体" w:hAnsi="宋体"/>
                <w:sz w:val="24"/>
                <w:szCs w:val="24"/>
                <w:lang w:val="en-US" w:eastAsia="zh-CN"/>
              </w:rPr>
              <w:t>5</w:t>
            </w:r>
          </w:p>
        </w:tc>
        <w:tc>
          <w:tcPr>
            <w:tcW w:w="84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16</w:t>
            </w:r>
            <w:r>
              <w:rPr>
                <w:rFonts w:hint="eastAsia" w:ascii="宋体" w:hAnsi="宋体"/>
                <w:sz w:val="24"/>
                <w:szCs w:val="24"/>
                <w:lang w:val="en-US" w:eastAsia="zh-CN"/>
              </w:rPr>
              <w:t>4</w:t>
            </w:r>
            <w:r>
              <w:rPr>
                <w:rFonts w:hint="eastAsia" w:ascii="宋体" w:hAnsi="宋体" w:eastAsia="宋体"/>
                <w:sz w:val="24"/>
                <w:szCs w:val="24"/>
                <w:lang w:val="en-US" w:eastAsia="zh-CN"/>
              </w:rPr>
              <w:t>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6</w:t>
            </w:r>
          </w:p>
        </w:tc>
        <w:tc>
          <w:tcPr>
            <w:tcW w:w="1393"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隔断</w:t>
            </w:r>
          </w:p>
        </w:tc>
        <w:tc>
          <w:tcPr>
            <w:tcW w:w="192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蹲坑之间隔断和门</w:t>
            </w:r>
          </w:p>
        </w:tc>
        <w:tc>
          <w:tcPr>
            <w:tcW w:w="77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个</w:t>
            </w:r>
          </w:p>
        </w:tc>
        <w:tc>
          <w:tcPr>
            <w:tcW w:w="64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24</w:t>
            </w:r>
          </w:p>
        </w:tc>
        <w:tc>
          <w:tcPr>
            <w:tcW w:w="66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600</w:t>
            </w:r>
          </w:p>
        </w:tc>
        <w:tc>
          <w:tcPr>
            <w:tcW w:w="84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14400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7</w:t>
            </w:r>
          </w:p>
        </w:tc>
        <w:tc>
          <w:tcPr>
            <w:tcW w:w="1393"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地垫</w:t>
            </w:r>
          </w:p>
        </w:tc>
        <w:tc>
          <w:tcPr>
            <w:tcW w:w="192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防滑地垫</w:t>
            </w:r>
          </w:p>
        </w:tc>
        <w:tc>
          <w:tcPr>
            <w:tcW w:w="779"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rPr>
              <w:t>㎡</w:t>
            </w:r>
          </w:p>
        </w:tc>
        <w:tc>
          <w:tcPr>
            <w:tcW w:w="64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20</w:t>
            </w:r>
          </w:p>
        </w:tc>
        <w:tc>
          <w:tcPr>
            <w:tcW w:w="66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65</w:t>
            </w:r>
          </w:p>
        </w:tc>
        <w:tc>
          <w:tcPr>
            <w:tcW w:w="84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1300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8</w:t>
            </w:r>
          </w:p>
        </w:tc>
        <w:tc>
          <w:tcPr>
            <w:tcW w:w="1331"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eastAsia="zh-CN"/>
              </w:rPr>
              <w:t>人工费</w:t>
            </w:r>
          </w:p>
        </w:tc>
        <w:tc>
          <w:tcPr>
            <w:tcW w:w="1757" w:type="dxa"/>
            <w:vAlign w:val="top"/>
          </w:tcPr>
          <w:p>
            <w:pPr>
              <w:spacing w:line="480" w:lineRule="auto"/>
              <w:rPr>
                <w:rFonts w:hint="eastAsia" w:ascii="宋体" w:hAnsi="宋体" w:eastAsia="宋体" w:cs="Times New Roman"/>
                <w:kern w:val="2"/>
                <w:sz w:val="24"/>
                <w:szCs w:val="24"/>
                <w:lang w:val="en-US" w:eastAsia="zh-CN" w:bidi="ar-SA"/>
              </w:rPr>
            </w:pPr>
          </w:p>
        </w:tc>
        <w:tc>
          <w:tcPr>
            <w:tcW w:w="97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日/人次</w:t>
            </w:r>
          </w:p>
        </w:tc>
        <w:tc>
          <w:tcPr>
            <w:tcW w:w="63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25</w:t>
            </w:r>
          </w:p>
        </w:tc>
        <w:tc>
          <w:tcPr>
            <w:tcW w:w="668"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400</w:t>
            </w:r>
          </w:p>
        </w:tc>
        <w:tc>
          <w:tcPr>
            <w:tcW w:w="844" w:type="dxa"/>
            <w:vAlign w:val="top"/>
          </w:tcPr>
          <w:p>
            <w:pPr>
              <w:spacing w:line="480" w:lineRule="auto"/>
              <w:rPr>
                <w:rFonts w:hint="eastAsia" w:ascii="宋体" w:hAnsi="宋体" w:eastAsia="宋体" w:cs="Times New Roman"/>
                <w:kern w:val="2"/>
                <w:sz w:val="24"/>
                <w:szCs w:val="24"/>
                <w:lang w:val="en-US" w:eastAsia="zh-CN" w:bidi="ar-SA"/>
              </w:rPr>
            </w:pPr>
            <w:r>
              <w:rPr>
                <w:rFonts w:hint="eastAsia" w:ascii="宋体" w:hAnsi="宋体" w:eastAsia="宋体"/>
                <w:sz w:val="24"/>
                <w:szCs w:val="24"/>
                <w:lang w:val="en-US" w:eastAsia="zh-CN"/>
              </w:rPr>
              <w:t>10000</w:t>
            </w: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Align w:val="top"/>
          </w:tcPr>
          <w:p>
            <w:pPr>
              <w:spacing w:line="480" w:lineRule="auto"/>
              <w:rPr>
                <w:rFonts w:hint="eastAsia" w:ascii="宋体" w:hAnsi="宋体" w:eastAsia="宋体"/>
                <w:sz w:val="24"/>
                <w:szCs w:val="24"/>
                <w:lang w:val="en-US" w:eastAsia="zh-CN"/>
              </w:rPr>
            </w:pPr>
          </w:p>
        </w:tc>
        <w:tc>
          <w:tcPr>
            <w:tcW w:w="1393" w:type="dxa"/>
            <w:vAlign w:val="top"/>
          </w:tcPr>
          <w:p>
            <w:pPr>
              <w:spacing w:line="480" w:lineRule="auto"/>
              <w:rPr>
                <w:rFonts w:hint="default" w:ascii="宋体" w:hAnsi="宋体" w:eastAsia="宋体"/>
                <w:sz w:val="24"/>
                <w:szCs w:val="24"/>
                <w:lang w:val="en-US" w:eastAsia="zh-CN"/>
              </w:rPr>
            </w:pPr>
            <w:r>
              <w:rPr>
                <w:rFonts w:hint="eastAsia" w:ascii="宋体" w:hAnsi="宋体"/>
                <w:sz w:val="24"/>
                <w:szCs w:val="24"/>
                <w:lang w:val="en-US" w:eastAsia="zh-CN"/>
              </w:rPr>
              <w:t>合计（元）</w:t>
            </w:r>
          </w:p>
        </w:tc>
        <w:tc>
          <w:tcPr>
            <w:tcW w:w="1924" w:type="dxa"/>
            <w:vAlign w:val="top"/>
          </w:tcPr>
          <w:p>
            <w:pPr>
              <w:spacing w:line="480" w:lineRule="auto"/>
              <w:rPr>
                <w:rFonts w:hint="eastAsia" w:ascii="宋体" w:hAnsi="宋体" w:eastAsia="宋体" w:cs="Times New Roman"/>
                <w:kern w:val="2"/>
                <w:sz w:val="24"/>
                <w:szCs w:val="24"/>
                <w:lang w:val="en-US" w:eastAsia="zh-CN" w:bidi="ar-SA"/>
              </w:rPr>
            </w:pPr>
          </w:p>
        </w:tc>
        <w:tc>
          <w:tcPr>
            <w:tcW w:w="779" w:type="dxa"/>
            <w:vAlign w:val="top"/>
          </w:tcPr>
          <w:p>
            <w:pPr>
              <w:spacing w:line="480" w:lineRule="auto"/>
              <w:rPr>
                <w:rFonts w:hint="eastAsia" w:ascii="宋体" w:hAnsi="宋体" w:eastAsia="宋体"/>
                <w:sz w:val="24"/>
                <w:szCs w:val="24"/>
                <w:lang w:val="en-US" w:eastAsia="zh-CN"/>
              </w:rPr>
            </w:pPr>
          </w:p>
        </w:tc>
        <w:tc>
          <w:tcPr>
            <w:tcW w:w="648" w:type="dxa"/>
            <w:vAlign w:val="top"/>
          </w:tcPr>
          <w:p>
            <w:pPr>
              <w:spacing w:line="480" w:lineRule="auto"/>
              <w:rPr>
                <w:rFonts w:hint="eastAsia" w:ascii="宋体" w:hAnsi="宋体" w:eastAsia="宋体"/>
                <w:sz w:val="24"/>
                <w:szCs w:val="24"/>
                <w:lang w:val="en-US" w:eastAsia="zh-CN"/>
              </w:rPr>
            </w:pPr>
          </w:p>
        </w:tc>
        <w:tc>
          <w:tcPr>
            <w:tcW w:w="668" w:type="dxa"/>
            <w:vAlign w:val="top"/>
          </w:tcPr>
          <w:p>
            <w:pPr>
              <w:spacing w:line="480" w:lineRule="auto"/>
              <w:rPr>
                <w:rFonts w:hint="eastAsia" w:ascii="宋体" w:hAnsi="宋体" w:eastAsia="宋体"/>
                <w:sz w:val="24"/>
                <w:szCs w:val="24"/>
                <w:lang w:val="en-US" w:eastAsia="zh-CN"/>
              </w:rPr>
            </w:pPr>
          </w:p>
        </w:tc>
        <w:tc>
          <w:tcPr>
            <w:tcW w:w="844" w:type="dxa"/>
            <w:vAlign w:val="top"/>
          </w:tcPr>
          <w:p>
            <w:pPr>
              <w:spacing w:line="480" w:lineRule="auto"/>
              <w:rPr>
                <w:rFonts w:hint="eastAsia" w:ascii="宋体" w:hAnsi="宋体" w:eastAsia="宋体"/>
                <w:sz w:val="24"/>
                <w:szCs w:val="24"/>
                <w:lang w:val="en-US" w:eastAsia="zh-CN"/>
              </w:rPr>
            </w:pPr>
          </w:p>
        </w:tc>
        <w:tc>
          <w:tcPr>
            <w:tcW w:w="819" w:type="dxa"/>
            <w:vAlign w:val="top"/>
          </w:tcPr>
          <w:p>
            <w:pPr>
              <w:spacing w:line="480" w:lineRule="auto"/>
              <w:rPr>
                <w:rFonts w:hint="eastAsia" w:ascii="宋体" w:hAnsi="宋体" w:eastAsia="宋体"/>
                <w:sz w:val="24"/>
                <w:szCs w:val="24"/>
              </w:rPr>
            </w:pPr>
          </w:p>
        </w:tc>
        <w:tc>
          <w:tcPr>
            <w:tcW w:w="981" w:type="dxa"/>
            <w:vAlign w:val="top"/>
          </w:tcPr>
          <w:p>
            <w:pPr>
              <w:spacing w:line="480" w:lineRule="auto"/>
              <w:rPr>
                <w:rFonts w:hint="default" w:ascii="宋体" w:hAnsi="宋体" w:eastAsia="宋体"/>
                <w:sz w:val="24"/>
                <w:szCs w:val="24"/>
                <w:lang w:val="en-US" w:eastAsia="zh-CN"/>
              </w:rPr>
            </w:pPr>
            <w:r>
              <w:rPr>
                <w:rFonts w:hint="eastAsia" w:ascii="宋体" w:hAnsi="宋体"/>
                <w:sz w:val="24"/>
                <w:szCs w:val="24"/>
                <w:lang w:val="en-US" w:eastAsia="zh-CN"/>
              </w:rPr>
              <w:t>66000</w:t>
            </w:r>
          </w:p>
        </w:tc>
      </w:tr>
    </w:tbl>
    <w:p>
      <w:pPr>
        <w:spacing w:before="240" w:after="60"/>
        <w:jc w:val="left"/>
        <w:outlineLvl w:val="0"/>
        <w:rPr>
          <w:rFonts w:hint="default" w:asciiTheme="minorEastAsia" w:hAnsiTheme="minorEastAsia" w:eastAsiaTheme="minorEastAsia" w:cstheme="minorEastAsia"/>
          <w:b/>
          <w:bCs/>
          <w:sz w:val="24"/>
          <w:highlight w:val="lightGray"/>
          <w:lang w:val="en-US" w:eastAsia="zh-CN"/>
        </w:rPr>
      </w:pPr>
      <w:r>
        <w:rPr>
          <w:rFonts w:hint="eastAsia" w:asciiTheme="minorEastAsia" w:hAnsiTheme="minorEastAsia" w:eastAsiaTheme="minorEastAsia" w:cstheme="minorEastAsia"/>
          <w:b/>
          <w:bCs/>
          <w:sz w:val="24"/>
          <w:highlight w:val="lightGray"/>
          <w:lang w:eastAsia="zh-CN"/>
        </w:rPr>
        <w:t>注</w:t>
      </w:r>
      <w:r>
        <w:rPr>
          <w:rFonts w:hint="eastAsia" w:asciiTheme="minorEastAsia" w:hAnsiTheme="minorEastAsia" w:eastAsiaTheme="minorEastAsia" w:cstheme="minorEastAsia"/>
          <w:b/>
          <w:bCs/>
          <w:sz w:val="24"/>
          <w:highlight w:val="lightGray"/>
          <w:lang w:val="en-US" w:eastAsia="zh-CN"/>
        </w:rPr>
        <w:t>:报价单价和报价小计不得超过预算限价单价及限价小计，如超过则作为废标处理。</w:t>
      </w:r>
    </w:p>
    <w:p>
      <w:pPr>
        <w:pStyle w:val="18"/>
        <w:spacing w:line="500" w:lineRule="exact"/>
        <w:rPr>
          <w:rFonts w:asciiTheme="minorEastAsia" w:hAnsiTheme="minorEastAsia" w:eastAsiaTheme="minorEastAsia" w:cstheme="minorEastAsia"/>
          <w:sz w:val="24"/>
          <w:szCs w:val="24"/>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时间：</w:t>
      </w:r>
    </w:p>
    <w:p>
      <w:pPr>
        <w:pStyle w:val="18"/>
        <w:spacing w:line="440" w:lineRule="exact"/>
        <w:ind w:firstLine="840"/>
        <w:rPr>
          <w:rFonts w:asciiTheme="minorEastAsia" w:hAnsiTheme="minorEastAsia" w:eastAsiaTheme="minorEastAsia" w:cstheme="minorEastAsia"/>
        </w:rPr>
      </w:pPr>
    </w:p>
    <w:p>
      <w:pPr>
        <w:spacing w:line="480" w:lineRule="auto"/>
        <w:jc w:val="center"/>
        <w:rPr>
          <w:rFonts w:asciiTheme="minorEastAsia" w:hAnsiTheme="minorEastAsia" w:eastAsiaTheme="minorEastAsia" w:cstheme="minorEastAsia"/>
        </w:rPr>
      </w:pPr>
    </w:p>
    <w:p>
      <w:pPr>
        <w:pStyle w:val="18"/>
        <w:spacing w:line="440" w:lineRule="exact"/>
        <w:ind w:firstLine="8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附件3</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货物（服务）清单</w:t>
      </w:r>
    </w:p>
    <w:p>
      <w:pPr>
        <w:spacing w:line="240" w:lineRule="atLeast"/>
        <w:rPr>
          <w:rFonts w:asciiTheme="minorEastAsia" w:hAnsiTheme="minorEastAsia" w:eastAsiaTheme="minorEastAsia" w:cstheme="minorEastAsia"/>
          <w:sz w:val="24"/>
        </w:rPr>
      </w:pPr>
    </w:p>
    <w:p>
      <w:pPr>
        <w:spacing w:line="24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24"/>
        </w:rPr>
        <w:t>项目名称：</w:t>
      </w:r>
    </w:p>
    <w:tbl>
      <w:tblPr>
        <w:tblStyle w:val="2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货物（服务）名称</w:t>
            </w: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制造商名称</w:t>
            </w: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生产地</w:t>
            </w:r>
          </w:p>
        </w:tc>
        <w:tc>
          <w:tcPr>
            <w:tcW w:w="1701"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规格型号</w:t>
            </w:r>
          </w:p>
        </w:tc>
        <w:tc>
          <w:tcPr>
            <w:tcW w:w="1134" w:type="dxa"/>
            <w:vAlign w:val="center"/>
          </w:tcPr>
          <w:p>
            <w:pPr>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187" w:type="dxa"/>
            <w:vAlign w:val="center"/>
          </w:tcPr>
          <w:p>
            <w:pPr>
              <w:adjustRightInd w:val="0"/>
              <w:snapToGrid w:val="0"/>
              <w:ind w:left="-118" w:leftChars="-42"/>
              <w:jc w:val="center"/>
              <w:rPr>
                <w:rFonts w:asciiTheme="minorEastAsia" w:hAnsiTheme="minorEastAsia" w:eastAsiaTheme="minorEastAsia" w:cstheme="minorEastAsia"/>
                <w:sz w:val="24"/>
              </w:rPr>
            </w:pPr>
          </w:p>
        </w:tc>
        <w:tc>
          <w:tcPr>
            <w:tcW w:w="1559" w:type="dxa"/>
            <w:tcBorders>
              <w:righ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560" w:type="dxa"/>
            <w:tcBorders>
              <w:left w:val="single" w:color="auto" w:sz="4" w:space="0"/>
            </w:tcBorders>
            <w:vAlign w:val="center"/>
          </w:tcPr>
          <w:p>
            <w:pPr>
              <w:adjustRightInd w:val="0"/>
              <w:snapToGrid w:val="0"/>
              <w:jc w:val="center"/>
              <w:rPr>
                <w:rFonts w:asciiTheme="minorEastAsia" w:hAnsiTheme="minorEastAsia" w:eastAsiaTheme="minorEastAsia" w:cstheme="minorEastAsia"/>
                <w:sz w:val="24"/>
              </w:rPr>
            </w:pPr>
          </w:p>
        </w:tc>
        <w:tc>
          <w:tcPr>
            <w:tcW w:w="1701" w:type="dxa"/>
            <w:vAlign w:val="center"/>
          </w:tcPr>
          <w:p>
            <w:pPr>
              <w:adjustRightInd w:val="0"/>
              <w:snapToGrid w:val="0"/>
              <w:jc w:val="center"/>
              <w:rPr>
                <w:rFonts w:asciiTheme="minorEastAsia" w:hAnsiTheme="minorEastAsia" w:eastAsiaTheme="minorEastAsia" w:cstheme="minorEastAsia"/>
                <w:sz w:val="24"/>
              </w:rPr>
            </w:pPr>
          </w:p>
        </w:tc>
        <w:tc>
          <w:tcPr>
            <w:tcW w:w="1134" w:type="dxa"/>
            <w:vAlign w:val="center"/>
          </w:tcPr>
          <w:p>
            <w:pPr>
              <w:adjustRightInd w:val="0"/>
              <w:snapToGrid w:val="0"/>
              <w:jc w:val="center"/>
              <w:rPr>
                <w:rFonts w:asciiTheme="minorEastAsia" w:hAnsiTheme="minorEastAsia" w:eastAsiaTheme="minorEastAsia" w:cstheme="minorEastAsia"/>
                <w:sz w:val="24"/>
              </w:rPr>
            </w:pPr>
          </w:p>
        </w:tc>
      </w:tr>
    </w:tbl>
    <w:p>
      <w:pPr>
        <w:spacing w:line="240" w:lineRule="atLeas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rPr>
        <w:t>说明：提供详细的货物和服务范围，包括货物和服务类别及制造（开发）商、备品备件等。</w:t>
      </w:r>
    </w:p>
    <w:p>
      <w:pPr>
        <w:spacing w:line="500" w:lineRule="exact"/>
        <w:rPr>
          <w:rFonts w:asciiTheme="minorEastAsia" w:hAnsiTheme="minorEastAsia" w:eastAsiaTheme="minorEastAsia" w:cstheme="minorEastAsia"/>
          <w:sz w:val="24"/>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时间：</w:t>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Cs w:val="28"/>
        </w:rPr>
        <w:br w:type="page"/>
      </w:r>
      <w:r>
        <w:rPr>
          <w:rFonts w:hint="eastAsia" w:asciiTheme="minorEastAsia" w:hAnsiTheme="minorEastAsia" w:eastAsiaTheme="minorEastAsia" w:cstheme="minorEastAsia"/>
          <w:sz w:val="24"/>
        </w:rPr>
        <w:t>附件4</w:t>
      </w:r>
    </w:p>
    <w:p>
      <w:pPr>
        <w:spacing w:line="48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资格性符合性检查对照表</w:t>
      </w:r>
    </w:p>
    <w:p>
      <w:pPr>
        <w:spacing w:line="24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项目名称：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164"/>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序号</w:t>
            </w:r>
          </w:p>
        </w:tc>
        <w:tc>
          <w:tcPr>
            <w:tcW w:w="4164"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资格性符合性检查内容</w:t>
            </w:r>
          </w:p>
        </w:tc>
        <w:tc>
          <w:tcPr>
            <w:tcW w:w="1265"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响应文件响应情况</w:t>
            </w:r>
          </w:p>
        </w:tc>
        <w:tc>
          <w:tcPr>
            <w:tcW w:w="1096"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偏离情况说明</w:t>
            </w:r>
          </w:p>
        </w:tc>
        <w:tc>
          <w:tcPr>
            <w:tcW w:w="1541" w:type="dxa"/>
            <w:vAlign w:val="center"/>
          </w:tcPr>
          <w:p>
            <w:pPr>
              <w:ind w:left="-21" w:leftChars="-51" w:hanging="122" w:hangingChars="51"/>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1</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ind w:left="-20" w:leftChars="-50" w:hanging="120" w:hangingChars="50"/>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2</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3</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4</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5</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6</w:t>
            </w:r>
          </w:p>
        </w:tc>
        <w:tc>
          <w:tcPr>
            <w:tcW w:w="4164" w:type="dxa"/>
          </w:tcPr>
          <w:p>
            <w:pPr>
              <w:rPr>
                <w:rFonts w:asciiTheme="minorEastAsia" w:hAnsiTheme="minorEastAsia" w:eastAsiaTheme="minorEastAsia" w:cstheme="minorEastAsia"/>
                <w:kern w:val="0"/>
                <w:sz w:val="24"/>
                <w:szCs w:val="20"/>
              </w:rPr>
            </w:pPr>
          </w:p>
        </w:tc>
        <w:tc>
          <w:tcPr>
            <w:tcW w:w="1265" w:type="dxa"/>
          </w:tcPr>
          <w:p>
            <w:pPr>
              <w:jc w:val="left"/>
              <w:rPr>
                <w:rFonts w:asciiTheme="minorEastAsia" w:hAnsiTheme="minorEastAsia" w:eastAsiaTheme="minorEastAsia" w:cstheme="minorEastAsia"/>
                <w:kern w:val="0"/>
                <w:sz w:val="24"/>
                <w:szCs w:val="20"/>
              </w:rPr>
            </w:pPr>
          </w:p>
        </w:tc>
        <w:tc>
          <w:tcPr>
            <w:tcW w:w="1096" w:type="dxa"/>
          </w:tcPr>
          <w:p>
            <w:pPr>
              <w:jc w:val="left"/>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7</w:t>
            </w:r>
          </w:p>
        </w:tc>
        <w:tc>
          <w:tcPr>
            <w:tcW w:w="4164" w:type="dxa"/>
          </w:tcPr>
          <w:p>
            <w:pPr>
              <w:rPr>
                <w:rFonts w:asciiTheme="minorEastAsia" w:hAnsiTheme="minorEastAsia" w:eastAsiaTheme="minorEastAsia" w:cstheme="minorEastAsia"/>
                <w:kern w:val="0"/>
                <w:sz w:val="24"/>
                <w:szCs w:val="20"/>
              </w:rPr>
            </w:pPr>
          </w:p>
        </w:tc>
        <w:tc>
          <w:tcPr>
            <w:tcW w:w="1265" w:type="dxa"/>
          </w:tcPr>
          <w:p>
            <w:pPr>
              <w:jc w:val="left"/>
              <w:rPr>
                <w:rFonts w:asciiTheme="minorEastAsia" w:hAnsiTheme="minorEastAsia" w:eastAsiaTheme="minorEastAsia" w:cstheme="minorEastAsia"/>
                <w:kern w:val="0"/>
                <w:sz w:val="24"/>
                <w:szCs w:val="20"/>
              </w:rPr>
            </w:pPr>
          </w:p>
        </w:tc>
        <w:tc>
          <w:tcPr>
            <w:tcW w:w="1096" w:type="dxa"/>
          </w:tcPr>
          <w:p>
            <w:pPr>
              <w:jc w:val="left"/>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8</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9</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w:t>
            </w:r>
          </w:p>
        </w:tc>
        <w:tc>
          <w:tcPr>
            <w:tcW w:w="4164" w:type="dxa"/>
          </w:tcPr>
          <w:p>
            <w:pPr>
              <w:rPr>
                <w:rFonts w:asciiTheme="minorEastAsia" w:hAnsiTheme="minorEastAsia" w:eastAsiaTheme="minorEastAsia" w:cstheme="minorEastAsia"/>
                <w:kern w:val="0"/>
                <w:sz w:val="24"/>
                <w:szCs w:val="20"/>
              </w:rPr>
            </w:pP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gridSpan w:val="2"/>
            <w:vAlign w:val="center"/>
          </w:tcPr>
          <w:p>
            <w:pPr>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自评结论</w:t>
            </w:r>
          </w:p>
        </w:tc>
        <w:tc>
          <w:tcPr>
            <w:tcW w:w="1265" w:type="dxa"/>
          </w:tcPr>
          <w:p>
            <w:pPr>
              <w:jc w:val="center"/>
              <w:rPr>
                <w:rFonts w:asciiTheme="minorEastAsia" w:hAnsiTheme="minorEastAsia" w:eastAsiaTheme="minorEastAsia" w:cstheme="minorEastAsia"/>
                <w:kern w:val="0"/>
                <w:sz w:val="24"/>
                <w:szCs w:val="20"/>
              </w:rPr>
            </w:pPr>
          </w:p>
        </w:tc>
        <w:tc>
          <w:tcPr>
            <w:tcW w:w="1096" w:type="dxa"/>
          </w:tcPr>
          <w:p>
            <w:pPr>
              <w:jc w:val="center"/>
              <w:rPr>
                <w:rFonts w:asciiTheme="minorEastAsia" w:hAnsiTheme="minorEastAsia" w:eastAsiaTheme="minorEastAsia" w:cstheme="minorEastAsia"/>
                <w:kern w:val="0"/>
                <w:sz w:val="24"/>
                <w:szCs w:val="20"/>
              </w:rPr>
            </w:pPr>
          </w:p>
        </w:tc>
        <w:tc>
          <w:tcPr>
            <w:tcW w:w="1541" w:type="dxa"/>
            <w:vAlign w:val="center"/>
          </w:tcPr>
          <w:p>
            <w:pPr>
              <w:jc w:val="center"/>
              <w:rPr>
                <w:rFonts w:asciiTheme="minorEastAsia" w:hAnsiTheme="minorEastAsia" w:eastAsiaTheme="minorEastAsia" w:cstheme="minorEastAsia"/>
                <w:kern w:val="0"/>
                <w:sz w:val="24"/>
                <w:szCs w:val="20"/>
              </w:rPr>
            </w:pPr>
          </w:p>
        </w:tc>
      </w:tr>
    </w:tbl>
    <w:p>
      <w:pPr>
        <w:spacing w:line="24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24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spacing w:line="24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应对照谈判文件的要求，逐条说明所提供资格证明文件已对谈判文件要求作出了实质性的响应，并说明响应情况。如果仅注明“符合”、“满足”或简单复制谈判文件要求，将导致响应文件无效。</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供应商名称（公章）：</w:t>
      </w: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授权代表（签字）：</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p>
      <w:pPr>
        <w:widowControl/>
        <w:jc w:val="left"/>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附件5</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技术响应、偏离情况说明表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项目编号（包号）：</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20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谈判文件要求部分</w:t>
            </w:r>
          </w:p>
        </w:tc>
        <w:tc>
          <w:tcPr>
            <w:tcW w:w="2269" w:type="dxa"/>
            <w:vAlign w:val="center"/>
          </w:tcPr>
          <w:p>
            <w:pPr>
              <w:ind w:leftChars="-38" w:right="-106" w:rightChars="-38" w:hanging="105" w:hangingChars="4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响应文件的响应部分</w:t>
            </w:r>
          </w:p>
        </w:tc>
        <w:tc>
          <w:tcPr>
            <w:tcW w:w="127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偏离说明</w:t>
            </w:r>
          </w:p>
        </w:tc>
        <w:tc>
          <w:tcPr>
            <w:tcW w:w="231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204"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8" w:type="dxa"/>
            <w:vAlign w:val="center"/>
          </w:tcPr>
          <w:p>
            <w:pPr>
              <w:rPr>
                <w:rFonts w:asciiTheme="minorEastAsia" w:hAnsiTheme="minorEastAsia" w:eastAsiaTheme="minorEastAsia" w:cstheme="minorEastAsia"/>
                <w:sz w:val="24"/>
              </w:rPr>
            </w:pPr>
          </w:p>
        </w:tc>
        <w:tc>
          <w:tcPr>
            <w:tcW w:w="2315" w:type="dxa"/>
            <w:vAlign w:val="center"/>
          </w:tcPr>
          <w:p>
            <w:pPr>
              <w:jc w:val="center"/>
              <w:rPr>
                <w:rFonts w:asciiTheme="minorEastAsia" w:hAnsiTheme="minorEastAsia" w:eastAsiaTheme="minorEastAsia" w:cstheme="minorEastAsia"/>
                <w:sz w:val="24"/>
              </w:rPr>
            </w:pPr>
          </w:p>
        </w:tc>
      </w:tr>
    </w:tbl>
    <w:p>
      <w:pPr>
        <w:adjustRightInd w:val="0"/>
        <w:snapToGrid w:val="0"/>
        <w:ind w:left="720" w:hanging="720" w:hanging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技术文件已对谈判文件作出了实质性的响应，并说明响应情况。特别对有具体数量要求的指标，供应商必须提供具体数值。如果仅注明“符合”、“满足”或简单复制谈判文件要求，将导致响应文件无效。</w:t>
      </w:r>
    </w:p>
    <w:p>
      <w:pPr>
        <w:rPr>
          <w:rFonts w:asciiTheme="minorEastAsia" w:hAnsiTheme="minorEastAsia" w:eastAsiaTheme="minorEastAsia" w:cstheme="minorEastAsia"/>
          <w:szCs w:val="28"/>
        </w:rPr>
      </w:pP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供应商名称（公章）：</w:t>
      </w:r>
    </w:p>
    <w:p>
      <w:pPr>
        <w:pStyle w:val="18"/>
        <w:spacing w:line="500" w:lineRule="exac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授权代表（签字）:</w:t>
      </w:r>
    </w:p>
    <w:p>
      <w:pPr>
        <w:spacing w:line="48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时间：</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Cs w:val="28"/>
        </w:rPr>
        <w:br w:type="page"/>
      </w:r>
      <w:r>
        <w:rPr>
          <w:rFonts w:hint="eastAsia" w:asciiTheme="minorEastAsia" w:hAnsiTheme="minorEastAsia" w:eastAsiaTheme="minorEastAsia" w:cstheme="minorEastAsia"/>
          <w:sz w:val="24"/>
        </w:rPr>
        <w:t>附件6</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合同草案条款响应、偏离情况说明表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061" w:type="dxa"/>
            <w:vAlign w:val="center"/>
          </w:tcPr>
          <w:p>
            <w:pPr>
              <w:ind w:right="-106" w:rightChars="-38"/>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谈判文件要求部分</w:t>
            </w:r>
          </w:p>
        </w:tc>
        <w:tc>
          <w:tcPr>
            <w:tcW w:w="2269" w:type="dxa"/>
            <w:vAlign w:val="center"/>
          </w:tcPr>
          <w:p>
            <w:pPr>
              <w:ind w:left="2" w:leftChars="-38" w:right="-106" w:rightChars="-38" w:hanging="108" w:hangingChars="4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响应文件的响应部分</w:t>
            </w:r>
          </w:p>
        </w:tc>
        <w:tc>
          <w:tcPr>
            <w:tcW w:w="1277"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偏离说明</w:t>
            </w:r>
          </w:p>
        </w:tc>
        <w:tc>
          <w:tcPr>
            <w:tcW w:w="24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061" w:type="dxa"/>
            <w:vAlign w:val="center"/>
          </w:tcPr>
          <w:p>
            <w:pPr>
              <w:rPr>
                <w:rFonts w:asciiTheme="minorEastAsia" w:hAnsiTheme="minorEastAsia" w:eastAsiaTheme="minorEastAsia" w:cstheme="minorEastAsia"/>
                <w:sz w:val="24"/>
              </w:rPr>
            </w:pPr>
          </w:p>
        </w:tc>
        <w:tc>
          <w:tcPr>
            <w:tcW w:w="2269" w:type="dxa"/>
            <w:vAlign w:val="center"/>
          </w:tcPr>
          <w:p>
            <w:pPr>
              <w:rPr>
                <w:rFonts w:asciiTheme="minorEastAsia" w:hAnsiTheme="minorEastAsia" w:eastAsiaTheme="minorEastAsia" w:cstheme="minorEastAsia"/>
                <w:sz w:val="24"/>
              </w:rPr>
            </w:pPr>
          </w:p>
        </w:tc>
        <w:tc>
          <w:tcPr>
            <w:tcW w:w="1277" w:type="dxa"/>
            <w:vAlign w:val="center"/>
          </w:tcPr>
          <w:p>
            <w:pPr>
              <w:rPr>
                <w:rFonts w:asciiTheme="minorEastAsia" w:hAnsiTheme="minorEastAsia" w:eastAsiaTheme="minorEastAsia" w:cstheme="minorEastAsia"/>
                <w:sz w:val="24"/>
              </w:rPr>
            </w:pPr>
          </w:p>
        </w:tc>
        <w:tc>
          <w:tcPr>
            <w:tcW w:w="2459" w:type="dxa"/>
            <w:vAlign w:val="center"/>
          </w:tcPr>
          <w:p>
            <w:pPr>
              <w:jc w:val="center"/>
              <w:rPr>
                <w:rFonts w:asciiTheme="minorEastAsia" w:hAnsiTheme="minorEastAsia" w:eastAsiaTheme="minorEastAsia" w:cstheme="minorEastAsia"/>
                <w:sz w:val="24"/>
              </w:rPr>
            </w:pPr>
          </w:p>
        </w:tc>
      </w:tr>
    </w:tbl>
    <w:p>
      <w:pPr>
        <w:pStyle w:val="16"/>
        <w:spacing w:line="30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备注栏中应提供相关内容在响应文件中的页码。</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应对照谈判文件的要求，逐条说明所提供服务已对谈判文件的合同草案条款作出了实质性的响应，并说明响应情况。特别对有具体数量要求的指标，供应商应提供具体数值。如果仅注明“符合”、“满足”或简单复制谈判文件要求，将导致响应文件无效。</w:t>
      </w:r>
    </w:p>
    <w:p>
      <w:pPr>
        <w:spacing w:line="440" w:lineRule="exact"/>
        <w:rPr>
          <w:rFonts w:asciiTheme="minorEastAsia" w:hAnsiTheme="minorEastAsia" w:eastAsiaTheme="minorEastAsia" w:cstheme="minorEastAsia"/>
          <w:sz w:val="24"/>
        </w:rPr>
      </w:pPr>
    </w:p>
    <w:p>
      <w:pPr>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供应商名称（公章）：</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授权代表（签字）：</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p>
    <w:p>
      <w:pPr>
        <w:ind w:firstLine="480" w:firstLineChars="200"/>
        <w:rPr>
          <w:rFonts w:asciiTheme="minorEastAsia" w:hAnsiTheme="minorEastAsia" w:eastAsiaTheme="minorEastAsia" w:cstheme="minorEastAsia"/>
          <w:sz w:val="24"/>
        </w:rPr>
      </w:pPr>
    </w:p>
    <w:p>
      <w:pPr>
        <w:pStyle w:val="18"/>
        <w:spacing w:line="500" w:lineRule="exac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附件7</w:t>
      </w:r>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法人（负责人）代表授权书</w:t>
      </w:r>
    </w:p>
    <w:p>
      <w:pPr>
        <w:spacing w:before="156" w:beforeLines="50" w:after="312" w:afterLines="100"/>
        <w:rPr>
          <w:rFonts w:asciiTheme="minorEastAsia" w:hAnsiTheme="minorEastAsia" w:eastAsiaTheme="minorEastAsia" w:cstheme="minorEastAsia"/>
          <w:sz w:val="24"/>
        </w:rPr>
      </w:pPr>
    </w:p>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（集中采购机构名称）：</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（谈判供应商名称）</w:t>
      </w:r>
      <w:r>
        <w:rPr>
          <w:rFonts w:hint="eastAsia" w:asciiTheme="minorEastAsia" w:hAnsiTheme="minorEastAsia" w:eastAsiaTheme="minorEastAsia" w:cstheme="minorEastAsia"/>
          <w:sz w:val="24"/>
        </w:rPr>
        <w:t>在下面签字的（</w:t>
      </w:r>
      <w:r>
        <w:rPr>
          <w:rFonts w:hint="eastAsia" w:asciiTheme="minorEastAsia" w:hAnsiTheme="minorEastAsia" w:eastAsiaTheme="minorEastAsia" w:cstheme="minorEastAsia"/>
          <w:sz w:val="24"/>
          <w:u w:val="single"/>
        </w:rPr>
        <w:t>法定代表人姓名、职务</w:t>
      </w:r>
      <w:r>
        <w:rPr>
          <w:rFonts w:hint="eastAsia" w:asciiTheme="minorEastAsia" w:hAnsiTheme="minorEastAsia" w:eastAsiaTheme="minorEastAsia" w:cstheme="minorEastAsia"/>
          <w:sz w:val="24"/>
        </w:rPr>
        <w:t>）代表本公司授权（供应商名称）的下面签字的</w:t>
      </w:r>
      <w:r>
        <w:rPr>
          <w:rFonts w:hint="eastAsia" w:asciiTheme="minorEastAsia" w:hAnsiTheme="minorEastAsia" w:eastAsiaTheme="minorEastAsia" w:cstheme="minorEastAsia"/>
          <w:sz w:val="24"/>
          <w:u w:val="single"/>
        </w:rPr>
        <w:t>（被授权代表的姓名、职务）</w:t>
      </w:r>
      <w:r>
        <w:rPr>
          <w:rFonts w:hint="eastAsia" w:asciiTheme="minorEastAsia" w:hAnsiTheme="minorEastAsia" w:eastAsiaTheme="minorEastAsia" w:cstheme="minorEastAsia"/>
          <w:sz w:val="24"/>
        </w:rPr>
        <w:t>为本公司的合法代理人，就（</w:t>
      </w:r>
      <w:r>
        <w:rPr>
          <w:rFonts w:hint="eastAsia" w:asciiTheme="minorEastAsia" w:hAnsiTheme="minorEastAsia" w:eastAsiaTheme="minorEastAsia" w:cstheme="minorEastAsia"/>
          <w:sz w:val="24"/>
          <w:u w:val="single"/>
        </w:rPr>
        <w:t>项目名称、项目编号</w:t>
      </w:r>
      <w:r>
        <w:rPr>
          <w:rFonts w:hint="eastAsia" w:asciiTheme="minorEastAsia" w:hAnsiTheme="minorEastAsia" w:eastAsiaTheme="minorEastAsia" w:cstheme="minorEastAsia"/>
          <w:sz w:val="24"/>
        </w:rPr>
        <w:t>）的谈判，以本公司的名义处理一切与之有关的事务。</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本授权书自    年  月  日至   年  月  日止签字有效。</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特此声明。</w:t>
      </w:r>
    </w:p>
    <w:p>
      <w:pPr>
        <w:spacing w:before="156" w:beforeLines="50" w:after="312" w:afterLines="100" w:line="440" w:lineRule="exact"/>
        <w:rPr>
          <w:rFonts w:asciiTheme="minorEastAsia" w:hAnsiTheme="minorEastAsia" w:eastAsiaTheme="minorEastAsia" w:cstheme="minorEastAsia"/>
          <w:sz w:val="24"/>
        </w:rPr>
      </w:pPr>
    </w:p>
    <w:p>
      <w:pPr>
        <w:spacing w:before="312" w:beforeLines="100" w:after="100" w:afterAutospacing="1"/>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委托人名称（公章）：                     被授权人（签章）：</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法定（负责人）代表人（签章）：           身份证号码：</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电话：电话（手机）：</w:t>
      </w:r>
    </w:p>
    <w:p>
      <w:pPr>
        <w:spacing w:before="312" w:beforeLines="100" w:after="100" w:afterAutospacing="1"/>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传真：办公电话/传真：</w:t>
      </w:r>
    </w:p>
    <w:p>
      <w:pPr>
        <w:spacing w:before="156" w:beforeLines="50" w:after="312" w:afterLines="100"/>
        <w:rPr>
          <w:rFonts w:asciiTheme="minorEastAsia" w:hAnsiTheme="minorEastAsia" w:eastAsiaTheme="minorEastAsia" w:cstheme="minorEastAsia"/>
          <w:sz w:val="24"/>
          <w:u w:val="singl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tcPr>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粘贴被授权人身份证（复印件）</w:t>
            </w:r>
          </w:p>
        </w:tc>
      </w:tr>
    </w:tbl>
    <w:p>
      <w:pPr>
        <w:spacing w:before="156" w:beforeLines="50" w:after="312" w:afterLines="100"/>
        <w:rPr>
          <w:rFonts w:asciiTheme="minorEastAsia" w:hAnsiTheme="minorEastAsia" w:eastAsiaTheme="minorEastAsia" w:cstheme="minorEastAsia"/>
          <w:sz w:val="24"/>
        </w:rPr>
      </w:pPr>
    </w:p>
    <w:p>
      <w:pPr>
        <w:spacing w:before="156" w:beforeLines="50" w:after="312" w:afterLine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sz w:val="24"/>
        </w:rPr>
        <w:t>附件8</w:t>
      </w:r>
    </w:p>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法人或者其他组织的营业执照等证明文件，自然人的</w:t>
      </w:r>
    </w:p>
    <w:p>
      <w:pPr>
        <w:spacing w:line="50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身份证明等证明材料</w:t>
      </w:r>
    </w:p>
    <w:p>
      <w:pPr>
        <w:rPr>
          <w:rFonts w:asciiTheme="minorEastAsia" w:hAnsiTheme="minorEastAsia" w:eastAsiaTheme="minorEastAsia" w:cstheme="minorEastAsia"/>
          <w:szCs w:val="28"/>
        </w:rPr>
      </w:pPr>
    </w:p>
    <w:p>
      <w:pPr>
        <w:spacing w:line="440" w:lineRule="exact"/>
        <w:ind w:left="360" w:hanging="360" w:hangingChars="1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（企业法人营业执照、税务登记证，供应商是自然人的身份证明材料等）</w:t>
      </w:r>
    </w:p>
    <w:p>
      <w:pPr>
        <w:spacing w:line="440" w:lineRule="exact"/>
        <w:ind w:left="360" w:hanging="360" w:hangingChars="15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440" w:lineRule="exact"/>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附件9</w:t>
      </w:r>
    </w:p>
    <w:p>
      <w:pPr>
        <w:spacing w:line="440" w:lineRule="exact"/>
        <w:ind w:left="3" w:leftChars="1" w:firstLine="480" w:firstLineChars="20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p>
    <w:p>
      <w:pPr>
        <w:spacing w:line="44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具备履行合同所必需的设备和专业技术能力的</w:t>
      </w:r>
    </w:p>
    <w:p>
      <w:pPr>
        <w:spacing w:line="440" w:lineRule="exact"/>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证明材料</w:t>
      </w:r>
    </w:p>
    <w:p>
      <w:pPr>
        <w:spacing w:line="440" w:lineRule="exact"/>
        <w:jc w:val="center"/>
        <w:rPr>
          <w:rFonts w:asciiTheme="minorEastAsia" w:hAnsiTheme="minorEastAsia" w:eastAsiaTheme="minorEastAsia" w:cstheme="minorEastAsia"/>
          <w:sz w:val="32"/>
          <w:szCs w:val="32"/>
        </w:rPr>
      </w:pP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（提供履行合同所必需的设备和专业技术能力的相关文件）</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tabs>
          <w:tab w:val="left" w:pos="7665"/>
        </w:tabs>
        <w:jc w:val="center"/>
        <w:outlineLvl w:val="1"/>
        <w:rPr>
          <w:rFonts w:asciiTheme="minorEastAsia" w:hAnsiTheme="minorEastAsia" w:eastAsiaTheme="minorEastAsia" w:cstheme="minorEastAsia"/>
        </w:rPr>
      </w:pPr>
      <w:r>
        <w:rPr>
          <w:rFonts w:hint="eastAsia" w:asciiTheme="minorEastAsia" w:hAnsiTheme="minorEastAsia" w:eastAsiaTheme="minorEastAsia" w:cstheme="minorEastAsia"/>
          <w:sz w:val="32"/>
          <w:szCs w:val="32"/>
        </w:rPr>
        <w:t>其他资格证明文件及资料</w:t>
      </w: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iti SC Light">
    <w:altName w:val="Noto Sans SC"/>
    <w:panose1 w:val="00000000000000000000"/>
    <w:charset w:val="5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Noto Sans Mono CJK JP Regular">
    <w:altName w:val="宋体"/>
    <w:panose1 w:val="00000000000000000000"/>
    <w:charset w:val="86"/>
    <w:family w:val="auto"/>
    <w:pitch w:val="default"/>
    <w:sig w:usb0="00000000" w:usb1="00000000" w:usb2="00000016" w:usb3="00000000" w:csb0="602E0107"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YzU0ZWRkMmNlNWY5MTczYTExYjhkNDdiYmNhMjQifQ=="/>
  </w:docVars>
  <w:rsids>
    <w:rsidRoot w:val="00B10CEE"/>
    <w:rsid w:val="00005FFD"/>
    <w:rsid w:val="00011C41"/>
    <w:rsid w:val="000177F1"/>
    <w:rsid w:val="0002385B"/>
    <w:rsid w:val="00024E1A"/>
    <w:rsid w:val="00026127"/>
    <w:rsid w:val="00027B5C"/>
    <w:rsid w:val="000320DE"/>
    <w:rsid w:val="00032919"/>
    <w:rsid w:val="0003616F"/>
    <w:rsid w:val="00037800"/>
    <w:rsid w:val="00041299"/>
    <w:rsid w:val="000500D9"/>
    <w:rsid w:val="00050568"/>
    <w:rsid w:val="000553A8"/>
    <w:rsid w:val="00061FBF"/>
    <w:rsid w:val="000638D5"/>
    <w:rsid w:val="00063AD6"/>
    <w:rsid w:val="0007331D"/>
    <w:rsid w:val="00074DEC"/>
    <w:rsid w:val="000765C9"/>
    <w:rsid w:val="00076BD9"/>
    <w:rsid w:val="000834C2"/>
    <w:rsid w:val="0009057C"/>
    <w:rsid w:val="00095A23"/>
    <w:rsid w:val="000A3CC6"/>
    <w:rsid w:val="000A670B"/>
    <w:rsid w:val="000B284C"/>
    <w:rsid w:val="000B403F"/>
    <w:rsid w:val="000C21EB"/>
    <w:rsid w:val="000C5B15"/>
    <w:rsid w:val="000D1869"/>
    <w:rsid w:val="000E161F"/>
    <w:rsid w:val="000E41DF"/>
    <w:rsid w:val="000F3592"/>
    <w:rsid w:val="000F5347"/>
    <w:rsid w:val="001014B4"/>
    <w:rsid w:val="001048F7"/>
    <w:rsid w:val="00107957"/>
    <w:rsid w:val="00107AFB"/>
    <w:rsid w:val="001135E5"/>
    <w:rsid w:val="00117677"/>
    <w:rsid w:val="00133A4D"/>
    <w:rsid w:val="00137ED6"/>
    <w:rsid w:val="001444FE"/>
    <w:rsid w:val="00147D7B"/>
    <w:rsid w:val="001655DB"/>
    <w:rsid w:val="001733E1"/>
    <w:rsid w:val="001749F0"/>
    <w:rsid w:val="001770E0"/>
    <w:rsid w:val="0018521F"/>
    <w:rsid w:val="0018673E"/>
    <w:rsid w:val="00187A58"/>
    <w:rsid w:val="0019030E"/>
    <w:rsid w:val="001964EC"/>
    <w:rsid w:val="001A0A20"/>
    <w:rsid w:val="001B797A"/>
    <w:rsid w:val="001C0709"/>
    <w:rsid w:val="001C2598"/>
    <w:rsid w:val="001C3B1B"/>
    <w:rsid w:val="001D06A7"/>
    <w:rsid w:val="001D52B3"/>
    <w:rsid w:val="001D5BAD"/>
    <w:rsid w:val="001E365D"/>
    <w:rsid w:val="001F0893"/>
    <w:rsid w:val="001F7336"/>
    <w:rsid w:val="00204D70"/>
    <w:rsid w:val="00206EAC"/>
    <w:rsid w:val="00210735"/>
    <w:rsid w:val="00212BB5"/>
    <w:rsid w:val="002316E8"/>
    <w:rsid w:val="002369F0"/>
    <w:rsid w:val="00236ACA"/>
    <w:rsid w:val="00270F16"/>
    <w:rsid w:val="00271374"/>
    <w:rsid w:val="002A4A9F"/>
    <w:rsid w:val="002A5A29"/>
    <w:rsid w:val="002A6568"/>
    <w:rsid w:val="002B43FE"/>
    <w:rsid w:val="002B6FA4"/>
    <w:rsid w:val="002E77B5"/>
    <w:rsid w:val="002F057F"/>
    <w:rsid w:val="002F22C6"/>
    <w:rsid w:val="002F2C4C"/>
    <w:rsid w:val="002F4450"/>
    <w:rsid w:val="00301514"/>
    <w:rsid w:val="003036A3"/>
    <w:rsid w:val="0030447E"/>
    <w:rsid w:val="00315079"/>
    <w:rsid w:val="00322166"/>
    <w:rsid w:val="003325EE"/>
    <w:rsid w:val="003329D9"/>
    <w:rsid w:val="0033742E"/>
    <w:rsid w:val="00343CD2"/>
    <w:rsid w:val="00345330"/>
    <w:rsid w:val="0034601D"/>
    <w:rsid w:val="00352077"/>
    <w:rsid w:val="00361C34"/>
    <w:rsid w:val="00367552"/>
    <w:rsid w:val="00370D67"/>
    <w:rsid w:val="003778E0"/>
    <w:rsid w:val="003A16BC"/>
    <w:rsid w:val="003A33A7"/>
    <w:rsid w:val="003A7A9A"/>
    <w:rsid w:val="003B041C"/>
    <w:rsid w:val="003B6D39"/>
    <w:rsid w:val="003B7BF3"/>
    <w:rsid w:val="003C4D79"/>
    <w:rsid w:val="003C6C22"/>
    <w:rsid w:val="003D133C"/>
    <w:rsid w:val="003D6B22"/>
    <w:rsid w:val="003E2520"/>
    <w:rsid w:val="003E3C54"/>
    <w:rsid w:val="003F12BA"/>
    <w:rsid w:val="003F50DE"/>
    <w:rsid w:val="00402CEB"/>
    <w:rsid w:val="004121CD"/>
    <w:rsid w:val="00413A79"/>
    <w:rsid w:val="0041749F"/>
    <w:rsid w:val="00427193"/>
    <w:rsid w:val="0043104D"/>
    <w:rsid w:val="00432073"/>
    <w:rsid w:val="00433066"/>
    <w:rsid w:val="004346D7"/>
    <w:rsid w:val="004601AA"/>
    <w:rsid w:val="00461AA3"/>
    <w:rsid w:val="00467A55"/>
    <w:rsid w:val="00482074"/>
    <w:rsid w:val="004832D0"/>
    <w:rsid w:val="004845E2"/>
    <w:rsid w:val="00487B68"/>
    <w:rsid w:val="00490E16"/>
    <w:rsid w:val="00491219"/>
    <w:rsid w:val="00493214"/>
    <w:rsid w:val="004A4C07"/>
    <w:rsid w:val="004B1581"/>
    <w:rsid w:val="004B30C5"/>
    <w:rsid w:val="004B6F6A"/>
    <w:rsid w:val="004C4C24"/>
    <w:rsid w:val="004E01E8"/>
    <w:rsid w:val="004E0CD3"/>
    <w:rsid w:val="004E792F"/>
    <w:rsid w:val="004F12D5"/>
    <w:rsid w:val="004F13D0"/>
    <w:rsid w:val="004F434D"/>
    <w:rsid w:val="004F6151"/>
    <w:rsid w:val="00506857"/>
    <w:rsid w:val="00527A9B"/>
    <w:rsid w:val="00534683"/>
    <w:rsid w:val="005466BB"/>
    <w:rsid w:val="005467A8"/>
    <w:rsid w:val="00546F17"/>
    <w:rsid w:val="005517EC"/>
    <w:rsid w:val="00553914"/>
    <w:rsid w:val="005569C8"/>
    <w:rsid w:val="00560C50"/>
    <w:rsid w:val="00565346"/>
    <w:rsid w:val="00573399"/>
    <w:rsid w:val="005777EA"/>
    <w:rsid w:val="00584BF5"/>
    <w:rsid w:val="0058596B"/>
    <w:rsid w:val="0058757A"/>
    <w:rsid w:val="005A1D9A"/>
    <w:rsid w:val="005A3ED1"/>
    <w:rsid w:val="005B5AF8"/>
    <w:rsid w:val="005B5EBA"/>
    <w:rsid w:val="005C5EEA"/>
    <w:rsid w:val="005D0A3B"/>
    <w:rsid w:val="005D132B"/>
    <w:rsid w:val="005D4689"/>
    <w:rsid w:val="005D6296"/>
    <w:rsid w:val="005D7A94"/>
    <w:rsid w:val="005E033E"/>
    <w:rsid w:val="005E1832"/>
    <w:rsid w:val="005E66E3"/>
    <w:rsid w:val="005F7153"/>
    <w:rsid w:val="006124B6"/>
    <w:rsid w:val="00614C5F"/>
    <w:rsid w:val="006157DD"/>
    <w:rsid w:val="00617B2D"/>
    <w:rsid w:val="00625ADB"/>
    <w:rsid w:val="00631884"/>
    <w:rsid w:val="00635655"/>
    <w:rsid w:val="00636196"/>
    <w:rsid w:val="00636576"/>
    <w:rsid w:val="00641CF1"/>
    <w:rsid w:val="00646836"/>
    <w:rsid w:val="0066645A"/>
    <w:rsid w:val="0066685A"/>
    <w:rsid w:val="00666BBB"/>
    <w:rsid w:val="0067140B"/>
    <w:rsid w:val="00671465"/>
    <w:rsid w:val="00675420"/>
    <w:rsid w:val="0067700A"/>
    <w:rsid w:val="00691AF9"/>
    <w:rsid w:val="00694469"/>
    <w:rsid w:val="006950A7"/>
    <w:rsid w:val="00695E1A"/>
    <w:rsid w:val="006A1281"/>
    <w:rsid w:val="006A2CAD"/>
    <w:rsid w:val="006A573C"/>
    <w:rsid w:val="006C24F6"/>
    <w:rsid w:val="006D1686"/>
    <w:rsid w:val="006D3F78"/>
    <w:rsid w:val="006D699F"/>
    <w:rsid w:val="006E037A"/>
    <w:rsid w:val="006E0B88"/>
    <w:rsid w:val="006E44BA"/>
    <w:rsid w:val="006E4AD9"/>
    <w:rsid w:val="007031B2"/>
    <w:rsid w:val="0071611D"/>
    <w:rsid w:val="00733253"/>
    <w:rsid w:val="00734792"/>
    <w:rsid w:val="00740F07"/>
    <w:rsid w:val="00741CFF"/>
    <w:rsid w:val="00743C97"/>
    <w:rsid w:val="00751368"/>
    <w:rsid w:val="00751D76"/>
    <w:rsid w:val="00754E0A"/>
    <w:rsid w:val="00766B73"/>
    <w:rsid w:val="00776770"/>
    <w:rsid w:val="007832FB"/>
    <w:rsid w:val="00784E0E"/>
    <w:rsid w:val="00786F69"/>
    <w:rsid w:val="0079176F"/>
    <w:rsid w:val="007A0A46"/>
    <w:rsid w:val="007A0BBD"/>
    <w:rsid w:val="007A4516"/>
    <w:rsid w:val="007C0B2D"/>
    <w:rsid w:val="007C5316"/>
    <w:rsid w:val="007C67FD"/>
    <w:rsid w:val="007D01BC"/>
    <w:rsid w:val="007D6035"/>
    <w:rsid w:val="007D7E94"/>
    <w:rsid w:val="007E173B"/>
    <w:rsid w:val="007E2328"/>
    <w:rsid w:val="007F0145"/>
    <w:rsid w:val="007F5F9E"/>
    <w:rsid w:val="00801764"/>
    <w:rsid w:val="008038AC"/>
    <w:rsid w:val="00812748"/>
    <w:rsid w:val="00814AB3"/>
    <w:rsid w:val="00817236"/>
    <w:rsid w:val="0081731D"/>
    <w:rsid w:val="00824951"/>
    <w:rsid w:val="00832F19"/>
    <w:rsid w:val="008338A4"/>
    <w:rsid w:val="00837418"/>
    <w:rsid w:val="008433C2"/>
    <w:rsid w:val="00847324"/>
    <w:rsid w:val="00854D16"/>
    <w:rsid w:val="00855EE4"/>
    <w:rsid w:val="00872177"/>
    <w:rsid w:val="00872C3F"/>
    <w:rsid w:val="0088104E"/>
    <w:rsid w:val="0089007C"/>
    <w:rsid w:val="00892B2A"/>
    <w:rsid w:val="00897533"/>
    <w:rsid w:val="008A5600"/>
    <w:rsid w:val="008A696D"/>
    <w:rsid w:val="008A7F29"/>
    <w:rsid w:val="008B2D5E"/>
    <w:rsid w:val="008B36CC"/>
    <w:rsid w:val="008B403B"/>
    <w:rsid w:val="008B41A6"/>
    <w:rsid w:val="008C07DA"/>
    <w:rsid w:val="008C5A75"/>
    <w:rsid w:val="008C6D19"/>
    <w:rsid w:val="008C78A9"/>
    <w:rsid w:val="008C7EDC"/>
    <w:rsid w:val="008D310D"/>
    <w:rsid w:val="008D3859"/>
    <w:rsid w:val="008F2E73"/>
    <w:rsid w:val="008F5276"/>
    <w:rsid w:val="008F57E8"/>
    <w:rsid w:val="0090149B"/>
    <w:rsid w:val="00912A90"/>
    <w:rsid w:val="00913A31"/>
    <w:rsid w:val="0092180E"/>
    <w:rsid w:val="00921D6F"/>
    <w:rsid w:val="009224B9"/>
    <w:rsid w:val="00925A4E"/>
    <w:rsid w:val="00945509"/>
    <w:rsid w:val="00945F7B"/>
    <w:rsid w:val="00950E14"/>
    <w:rsid w:val="00962F07"/>
    <w:rsid w:val="00970923"/>
    <w:rsid w:val="00972A7E"/>
    <w:rsid w:val="00974044"/>
    <w:rsid w:val="00982221"/>
    <w:rsid w:val="00983415"/>
    <w:rsid w:val="00984E56"/>
    <w:rsid w:val="009946F7"/>
    <w:rsid w:val="009A00B8"/>
    <w:rsid w:val="009A0A20"/>
    <w:rsid w:val="009A6BBD"/>
    <w:rsid w:val="009B0A7F"/>
    <w:rsid w:val="009B0ED7"/>
    <w:rsid w:val="009B1CFC"/>
    <w:rsid w:val="009B434E"/>
    <w:rsid w:val="009C0C5D"/>
    <w:rsid w:val="009C421D"/>
    <w:rsid w:val="009C5142"/>
    <w:rsid w:val="009D7C8B"/>
    <w:rsid w:val="009E01EA"/>
    <w:rsid w:val="009E2048"/>
    <w:rsid w:val="009E27BB"/>
    <w:rsid w:val="009F534E"/>
    <w:rsid w:val="009F57DF"/>
    <w:rsid w:val="009F7AC1"/>
    <w:rsid w:val="00A0152C"/>
    <w:rsid w:val="00A016C8"/>
    <w:rsid w:val="00A07EEF"/>
    <w:rsid w:val="00A202BE"/>
    <w:rsid w:val="00A21260"/>
    <w:rsid w:val="00A270CB"/>
    <w:rsid w:val="00A3361A"/>
    <w:rsid w:val="00A42EC3"/>
    <w:rsid w:val="00A50381"/>
    <w:rsid w:val="00A51053"/>
    <w:rsid w:val="00A51315"/>
    <w:rsid w:val="00A517EE"/>
    <w:rsid w:val="00A56502"/>
    <w:rsid w:val="00A57452"/>
    <w:rsid w:val="00A616B7"/>
    <w:rsid w:val="00A61FD6"/>
    <w:rsid w:val="00A71C99"/>
    <w:rsid w:val="00A756A1"/>
    <w:rsid w:val="00A77A1C"/>
    <w:rsid w:val="00A81BE9"/>
    <w:rsid w:val="00A905EA"/>
    <w:rsid w:val="00A907D4"/>
    <w:rsid w:val="00AA6949"/>
    <w:rsid w:val="00AA7676"/>
    <w:rsid w:val="00AB1478"/>
    <w:rsid w:val="00AB44F6"/>
    <w:rsid w:val="00AB479E"/>
    <w:rsid w:val="00AB4B88"/>
    <w:rsid w:val="00AB4F86"/>
    <w:rsid w:val="00AB5E46"/>
    <w:rsid w:val="00AC2841"/>
    <w:rsid w:val="00AC342E"/>
    <w:rsid w:val="00AC691A"/>
    <w:rsid w:val="00AD38BD"/>
    <w:rsid w:val="00AE0FED"/>
    <w:rsid w:val="00AE69B6"/>
    <w:rsid w:val="00AE7877"/>
    <w:rsid w:val="00AF5576"/>
    <w:rsid w:val="00AF56EE"/>
    <w:rsid w:val="00AF6C96"/>
    <w:rsid w:val="00B0636C"/>
    <w:rsid w:val="00B10CEE"/>
    <w:rsid w:val="00B14395"/>
    <w:rsid w:val="00B15450"/>
    <w:rsid w:val="00B22C0F"/>
    <w:rsid w:val="00B247EE"/>
    <w:rsid w:val="00B255E9"/>
    <w:rsid w:val="00B37580"/>
    <w:rsid w:val="00B42733"/>
    <w:rsid w:val="00B427DB"/>
    <w:rsid w:val="00B442BA"/>
    <w:rsid w:val="00B4490C"/>
    <w:rsid w:val="00B46B23"/>
    <w:rsid w:val="00B5126F"/>
    <w:rsid w:val="00B56A08"/>
    <w:rsid w:val="00B637E4"/>
    <w:rsid w:val="00B658A1"/>
    <w:rsid w:val="00B764A0"/>
    <w:rsid w:val="00B80E29"/>
    <w:rsid w:val="00B80EFB"/>
    <w:rsid w:val="00BA092B"/>
    <w:rsid w:val="00BA6A28"/>
    <w:rsid w:val="00BB09DF"/>
    <w:rsid w:val="00BC7360"/>
    <w:rsid w:val="00BD014E"/>
    <w:rsid w:val="00BD1078"/>
    <w:rsid w:val="00BD25D8"/>
    <w:rsid w:val="00BD6887"/>
    <w:rsid w:val="00BE09DD"/>
    <w:rsid w:val="00BE6DC4"/>
    <w:rsid w:val="00BF2FA9"/>
    <w:rsid w:val="00C016A9"/>
    <w:rsid w:val="00C016BF"/>
    <w:rsid w:val="00C04389"/>
    <w:rsid w:val="00C05C30"/>
    <w:rsid w:val="00C11B2E"/>
    <w:rsid w:val="00C2578E"/>
    <w:rsid w:val="00C27B89"/>
    <w:rsid w:val="00C353F0"/>
    <w:rsid w:val="00C440DA"/>
    <w:rsid w:val="00C47BFB"/>
    <w:rsid w:val="00C53AFF"/>
    <w:rsid w:val="00C604FC"/>
    <w:rsid w:val="00C60A53"/>
    <w:rsid w:val="00C635C3"/>
    <w:rsid w:val="00C63F6C"/>
    <w:rsid w:val="00C6463F"/>
    <w:rsid w:val="00C71C47"/>
    <w:rsid w:val="00C8075B"/>
    <w:rsid w:val="00C87726"/>
    <w:rsid w:val="00C904A3"/>
    <w:rsid w:val="00C93A67"/>
    <w:rsid w:val="00C95955"/>
    <w:rsid w:val="00CA1489"/>
    <w:rsid w:val="00CA5F94"/>
    <w:rsid w:val="00CB458D"/>
    <w:rsid w:val="00CD1FC4"/>
    <w:rsid w:val="00CE4643"/>
    <w:rsid w:val="00CE47A6"/>
    <w:rsid w:val="00CE6AA9"/>
    <w:rsid w:val="00D01F9A"/>
    <w:rsid w:val="00D02EBB"/>
    <w:rsid w:val="00D0413F"/>
    <w:rsid w:val="00D12539"/>
    <w:rsid w:val="00D235CB"/>
    <w:rsid w:val="00D37451"/>
    <w:rsid w:val="00D404AE"/>
    <w:rsid w:val="00D43DA9"/>
    <w:rsid w:val="00D509A3"/>
    <w:rsid w:val="00D53242"/>
    <w:rsid w:val="00D53B2D"/>
    <w:rsid w:val="00D56690"/>
    <w:rsid w:val="00D71C8E"/>
    <w:rsid w:val="00D74E7D"/>
    <w:rsid w:val="00D8171A"/>
    <w:rsid w:val="00D840A2"/>
    <w:rsid w:val="00D851A6"/>
    <w:rsid w:val="00D93C3A"/>
    <w:rsid w:val="00DA5C39"/>
    <w:rsid w:val="00DC0115"/>
    <w:rsid w:val="00DC05A5"/>
    <w:rsid w:val="00DC2FAA"/>
    <w:rsid w:val="00DC3AEE"/>
    <w:rsid w:val="00DE01BE"/>
    <w:rsid w:val="00DE287A"/>
    <w:rsid w:val="00DF0F26"/>
    <w:rsid w:val="00DF7C2F"/>
    <w:rsid w:val="00E00192"/>
    <w:rsid w:val="00E04346"/>
    <w:rsid w:val="00E226F3"/>
    <w:rsid w:val="00E239AC"/>
    <w:rsid w:val="00E24FB2"/>
    <w:rsid w:val="00E45EBF"/>
    <w:rsid w:val="00E47A7A"/>
    <w:rsid w:val="00E519EC"/>
    <w:rsid w:val="00E70662"/>
    <w:rsid w:val="00E94523"/>
    <w:rsid w:val="00E96947"/>
    <w:rsid w:val="00EA1AEA"/>
    <w:rsid w:val="00EA3C4A"/>
    <w:rsid w:val="00EA5809"/>
    <w:rsid w:val="00EB39FE"/>
    <w:rsid w:val="00EB7487"/>
    <w:rsid w:val="00EC0AA5"/>
    <w:rsid w:val="00ED2180"/>
    <w:rsid w:val="00ED3DD9"/>
    <w:rsid w:val="00EE2D0A"/>
    <w:rsid w:val="00EE36EB"/>
    <w:rsid w:val="00EE48A1"/>
    <w:rsid w:val="00EE61CD"/>
    <w:rsid w:val="00EE63B1"/>
    <w:rsid w:val="00EF3523"/>
    <w:rsid w:val="00F01ACB"/>
    <w:rsid w:val="00F12BC1"/>
    <w:rsid w:val="00F20FEB"/>
    <w:rsid w:val="00F34045"/>
    <w:rsid w:val="00F35895"/>
    <w:rsid w:val="00F360DA"/>
    <w:rsid w:val="00F41141"/>
    <w:rsid w:val="00F51AE0"/>
    <w:rsid w:val="00F600CA"/>
    <w:rsid w:val="00F67AD9"/>
    <w:rsid w:val="00F73098"/>
    <w:rsid w:val="00F8404C"/>
    <w:rsid w:val="00F92593"/>
    <w:rsid w:val="00F93F9A"/>
    <w:rsid w:val="00F968C6"/>
    <w:rsid w:val="00FB4BFB"/>
    <w:rsid w:val="00FC1453"/>
    <w:rsid w:val="00FD0892"/>
    <w:rsid w:val="00FD58F6"/>
    <w:rsid w:val="00FD600C"/>
    <w:rsid w:val="00FE026B"/>
    <w:rsid w:val="00FE10CF"/>
    <w:rsid w:val="00FE5A8A"/>
    <w:rsid w:val="00FE6C0D"/>
    <w:rsid w:val="00FF0CBB"/>
    <w:rsid w:val="00FF1DE8"/>
    <w:rsid w:val="00FF6097"/>
    <w:rsid w:val="01DE187A"/>
    <w:rsid w:val="01EE144E"/>
    <w:rsid w:val="02391560"/>
    <w:rsid w:val="04C11604"/>
    <w:rsid w:val="053171B4"/>
    <w:rsid w:val="071D591B"/>
    <w:rsid w:val="09CA5D4D"/>
    <w:rsid w:val="0D1D5845"/>
    <w:rsid w:val="0D225A9D"/>
    <w:rsid w:val="0E4711FC"/>
    <w:rsid w:val="0ED168E7"/>
    <w:rsid w:val="137366AA"/>
    <w:rsid w:val="13A21894"/>
    <w:rsid w:val="14DE58BA"/>
    <w:rsid w:val="162568AA"/>
    <w:rsid w:val="17035AAC"/>
    <w:rsid w:val="19212219"/>
    <w:rsid w:val="1A34087B"/>
    <w:rsid w:val="1B23671D"/>
    <w:rsid w:val="21CE62A0"/>
    <w:rsid w:val="21D8011F"/>
    <w:rsid w:val="260908A6"/>
    <w:rsid w:val="26977FBF"/>
    <w:rsid w:val="2727187B"/>
    <w:rsid w:val="293D4E4D"/>
    <w:rsid w:val="2A0E2346"/>
    <w:rsid w:val="2B6D12EE"/>
    <w:rsid w:val="2C8763E0"/>
    <w:rsid w:val="2DE7781A"/>
    <w:rsid w:val="2E00644A"/>
    <w:rsid w:val="2EC21951"/>
    <w:rsid w:val="2FDC6A42"/>
    <w:rsid w:val="2FDF7CC0"/>
    <w:rsid w:val="32EA3D66"/>
    <w:rsid w:val="35270760"/>
    <w:rsid w:val="37937B8C"/>
    <w:rsid w:val="37A147F9"/>
    <w:rsid w:val="38563A05"/>
    <w:rsid w:val="38934A8A"/>
    <w:rsid w:val="3E446852"/>
    <w:rsid w:val="43192030"/>
    <w:rsid w:val="4415656C"/>
    <w:rsid w:val="45B13434"/>
    <w:rsid w:val="4B245750"/>
    <w:rsid w:val="4DBF1A26"/>
    <w:rsid w:val="4ED21CE5"/>
    <w:rsid w:val="50854860"/>
    <w:rsid w:val="51835EA4"/>
    <w:rsid w:val="51E952C3"/>
    <w:rsid w:val="55BF1080"/>
    <w:rsid w:val="567B7E74"/>
    <w:rsid w:val="56E322E1"/>
    <w:rsid w:val="58636A07"/>
    <w:rsid w:val="59644745"/>
    <w:rsid w:val="59C7179C"/>
    <w:rsid w:val="5A9F7C3A"/>
    <w:rsid w:val="5ACC4545"/>
    <w:rsid w:val="5B856795"/>
    <w:rsid w:val="5C875EBC"/>
    <w:rsid w:val="5F7C25C2"/>
    <w:rsid w:val="658904F7"/>
    <w:rsid w:val="65D4530E"/>
    <w:rsid w:val="6A1C18D2"/>
    <w:rsid w:val="6E875380"/>
    <w:rsid w:val="6FCD36D6"/>
    <w:rsid w:val="74116287"/>
    <w:rsid w:val="748974D9"/>
    <w:rsid w:val="775035FA"/>
    <w:rsid w:val="784D3606"/>
    <w:rsid w:val="78F97B18"/>
    <w:rsid w:val="79666685"/>
    <w:rsid w:val="7B0C77A9"/>
    <w:rsid w:val="7E30493E"/>
    <w:rsid w:val="7F354F5B"/>
    <w:rsid w:val="7F481651"/>
    <w:rsid w:val="FFFF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87"/>
    <w:autoRedefine/>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3">
    <w:name w:val="heading 2"/>
    <w:basedOn w:val="1"/>
    <w:next w:val="1"/>
    <w:link w:val="88"/>
    <w:autoRedefine/>
    <w:qFormat/>
    <w:uiPriority w:val="0"/>
    <w:pPr>
      <w:keepNext/>
      <w:keepLines/>
      <w:numPr>
        <w:ilvl w:val="1"/>
        <w:numId w:val="1"/>
      </w:numPr>
      <w:tabs>
        <w:tab w:val="left" w:pos="432"/>
        <w:tab w:val="clear" w:pos="576"/>
      </w:tabs>
      <w:spacing w:before="260" w:after="260" w:line="416" w:lineRule="auto"/>
      <w:ind w:left="0" w:firstLine="0"/>
      <w:outlineLvl w:val="1"/>
    </w:pPr>
    <w:rPr>
      <w:rFonts w:ascii="Cambria" w:hAnsi="Cambria"/>
      <w:b/>
      <w:bCs/>
      <w:szCs w:val="32"/>
    </w:rPr>
  </w:style>
  <w:style w:type="paragraph" w:styleId="4">
    <w:name w:val="heading 3"/>
    <w:basedOn w:val="1"/>
    <w:next w:val="1"/>
    <w:link w:val="89"/>
    <w:autoRedefine/>
    <w:qFormat/>
    <w:uiPriority w:val="0"/>
    <w:pPr>
      <w:keepNext/>
      <w:keepLines/>
      <w:numPr>
        <w:ilvl w:val="2"/>
        <w:numId w:val="1"/>
      </w:numPr>
      <w:tabs>
        <w:tab w:val="left" w:pos="432"/>
        <w:tab w:val="clear" w:pos="1260"/>
      </w:tabs>
      <w:spacing w:before="260" w:after="260" w:line="416" w:lineRule="auto"/>
      <w:ind w:left="0" w:firstLine="0"/>
      <w:outlineLvl w:val="2"/>
    </w:pPr>
    <w:rPr>
      <w:rFonts w:ascii="Calibri" w:hAnsi="Calibri"/>
      <w:b/>
      <w:bCs/>
      <w:sz w:val="32"/>
      <w:szCs w:val="32"/>
    </w:rPr>
  </w:style>
  <w:style w:type="paragraph" w:styleId="5">
    <w:name w:val="heading 4"/>
    <w:basedOn w:val="1"/>
    <w:next w:val="1"/>
    <w:link w:val="90"/>
    <w:autoRedefine/>
    <w:qFormat/>
    <w:uiPriority w:val="0"/>
    <w:pPr>
      <w:keepNext/>
      <w:keepLines/>
      <w:numPr>
        <w:ilvl w:val="3"/>
        <w:numId w:val="1"/>
      </w:numPr>
      <w:tabs>
        <w:tab w:val="left" w:pos="432"/>
        <w:tab w:val="clear" w:pos="864"/>
      </w:tabs>
      <w:spacing w:before="280" w:after="290" w:line="376" w:lineRule="auto"/>
      <w:ind w:left="0" w:firstLine="0"/>
      <w:outlineLvl w:val="3"/>
    </w:pPr>
    <w:rPr>
      <w:rFonts w:ascii="Cambria" w:hAnsi="Cambria"/>
      <w:b/>
      <w:bCs/>
      <w:szCs w:val="28"/>
    </w:rPr>
  </w:style>
  <w:style w:type="paragraph" w:styleId="6">
    <w:name w:val="heading 5"/>
    <w:basedOn w:val="1"/>
    <w:next w:val="1"/>
    <w:link w:val="91"/>
    <w:autoRedefine/>
    <w:qFormat/>
    <w:uiPriority w:val="0"/>
    <w:pPr>
      <w:keepNext/>
      <w:keepLines/>
      <w:widowControl/>
      <w:numPr>
        <w:ilvl w:val="4"/>
        <w:numId w:val="1"/>
      </w:numPr>
      <w:tabs>
        <w:tab w:val="left" w:pos="432"/>
      </w:tabs>
      <w:spacing w:before="280" w:after="290" w:line="376" w:lineRule="auto"/>
      <w:jc w:val="left"/>
      <w:outlineLvl w:val="4"/>
    </w:pPr>
    <w:rPr>
      <w:b/>
      <w:bCs/>
      <w:kern w:val="0"/>
      <w:szCs w:val="28"/>
    </w:rPr>
  </w:style>
  <w:style w:type="paragraph" w:styleId="7">
    <w:name w:val="heading 6"/>
    <w:basedOn w:val="1"/>
    <w:next w:val="1"/>
    <w:link w:val="92"/>
    <w:autoRedefine/>
    <w:qFormat/>
    <w:uiPriority w:val="0"/>
    <w:pPr>
      <w:keepNext/>
      <w:keepLines/>
      <w:widowControl/>
      <w:numPr>
        <w:ilvl w:val="5"/>
        <w:numId w:val="1"/>
      </w:numPr>
      <w:tabs>
        <w:tab w:val="left" w:pos="432"/>
      </w:tabs>
      <w:spacing w:before="240" w:after="64" w:line="320" w:lineRule="auto"/>
      <w:jc w:val="left"/>
      <w:outlineLvl w:val="5"/>
    </w:pPr>
    <w:rPr>
      <w:rFonts w:ascii="Arial" w:hAnsi="Arial" w:eastAsia="黑体"/>
      <w:b/>
      <w:bCs/>
      <w:kern w:val="0"/>
      <w:sz w:val="24"/>
    </w:rPr>
  </w:style>
  <w:style w:type="paragraph" w:styleId="8">
    <w:name w:val="heading 7"/>
    <w:basedOn w:val="1"/>
    <w:next w:val="1"/>
    <w:link w:val="93"/>
    <w:autoRedefine/>
    <w:qFormat/>
    <w:uiPriority w:val="0"/>
    <w:pPr>
      <w:keepNext/>
      <w:keepLines/>
      <w:widowControl/>
      <w:numPr>
        <w:ilvl w:val="6"/>
        <w:numId w:val="1"/>
      </w:numPr>
      <w:tabs>
        <w:tab w:val="left" w:pos="432"/>
      </w:tabs>
      <w:spacing w:before="240" w:after="64" w:line="320" w:lineRule="auto"/>
      <w:jc w:val="left"/>
      <w:outlineLvl w:val="6"/>
    </w:pPr>
    <w:rPr>
      <w:b/>
      <w:bCs/>
      <w:kern w:val="0"/>
      <w:sz w:val="24"/>
    </w:rPr>
  </w:style>
  <w:style w:type="paragraph" w:styleId="9">
    <w:name w:val="heading 8"/>
    <w:basedOn w:val="1"/>
    <w:next w:val="1"/>
    <w:link w:val="94"/>
    <w:autoRedefine/>
    <w:qFormat/>
    <w:uiPriority w:val="0"/>
    <w:pPr>
      <w:keepNext/>
      <w:keepLines/>
      <w:widowControl/>
      <w:numPr>
        <w:ilvl w:val="7"/>
        <w:numId w:val="1"/>
      </w:numPr>
      <w:tabs>
        <w:tab w:val="left" w:pos="432"/>
      </w:tabs>
      <w:spacing w:before="240" w:after="64" w:line="320" w:lineRule="auto"/>
      <w:jc w:val="left"/>
      <w:outlineLvl w:val="7"/>
    </w:pPr>
    <w:rPr>
      <w:rFonts w:ascii="Arial" w:hAnsi="Arial" w:eastAsia="黑体"/>
      <w:kern w:val="0"/>
      <w:sz w:val="24"/>
    </w:rPr>
  </w:style>
  <w:style w:type="paragraph" w:styleId="10">
    <w:name w:val="heading 9"/>
    <w:basedOn w:val="1"/>
    <w:next w:val="1"/>
    <w:link w:val="95"/>
    <w:autoRedefine/>
    <w:qFormat/>
    <w:uiPriority w:val="0"/>
    <w:pPr>
      <w:keepNext/>
      <w:keepLines/>
      <w:widowControl/>
      <w:numPr>
        <w:ilvl w:val="8"/>
        <w:numId w:val="1"/>
      </w:numPr>
      <w:tabs>
        <w:tab w:val="left" w:pos="432"/>
      </w:tabs>
      <w:spacing w:before="240" w:after="64" w:line="320" w:lineRule="auto"/>
      <w:jc w:val="left"/>
      <w:outlineLvl w:val="8"/>
    </w:pPr>
    <w:rPr>
      <w:rFonts w:ascii="Arial" w:hAnsi="Arial" w:eastAsia="黑体"/>
      <w:kern w:val="0"/>
      <w:sz w:val="21"/>
      <w:szCs w:val="21"/>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link w:val="98"/>
    <w:autoRedefine/>
    <w:qFormat/>
    <w:uiPriority w:val="0"/>
    <w:pPr>
      <w:ind w:firstLine="420"/>
    </w:pPr>
    <w:rPr>
      <w:rFonts w:ascii="Calibri" w:hAnsi="Calibri" w:cs="黑体"/>
      <w:sz w:val="21"/>
      <w:szCs w:val="22"/>
    </w:rPr>
  </w:style>
  <w:style w:type="paragraph" w:styleId="12">
    <w:name w:val="List Bullet"/>
    <w:basedOn w:val="1"/>
    <w:autoRedefine/>
    <w:qFormat/>
    <w:uiPriority w:val="0"/>
    <w:pPr>
      <w:numPr>
        <w:ilvl w:val="0"/>
        <w:numId w:val="2"/>
      </w:numPr>
    </w:pPr>
    <w:rPr>
      <w:sz w:val="21"/>
    </w:rPr>
  </w:style>
  <w:style w:type="paragraph" w:styleId="13">
    <w:name w:val="Document Map"/>
    <w:basedOn w:val="1"/>
    <w:link w:val="96"/>
    <w:autoRedefine/>
    <w:semiHidden/>
    <w:qFormat/>
    <w:uiPriority w:val="0"/>
    <w:rPr>
      <w:rFonts w:ascii="Heiti SC Light" w:hAnsi="Calibri" w:eastAsia="Times New Roman"/>
      <w:sz w:val="24"/>
    </w:rPr>
  </w:style>
  <w:style w:type="paragraph" w:styleId="14">
    <w:name w:val="annotation text"/>
    <w:basedOn w:val="1"/>
    <w:link w:val="97"/>
    <w:autoRedefine/>
    <w:qFormat/>
    <w:uiPriority w:val="0"/>
    <w:pPr>
      <w:jc w:val="left"/>
    </w:pPr>
    <w:rPr>
      <w:rFonts w:ascii="Calibri" w:hAnsi="Calibri" w:cs="黑体"/>
      <w:szCs w:val="22"/>
    </w:rPr>
  </w:style>
  <w:style w:type="paragraph" w:styleId="15">
    <w:name w:val="Body Text"/>
    <w:basedOn w:val="1"/>
    <w:link w:val="101"/>
    <w:autoRedefine/>
    <w:qFormat/>
    <w:uiPriority w:val="0"/>
    <w:pPr>
      <w:spacing w:line="420" w:lineRule="auto"/>
    </w:pPr>
    <w:rPr>
      <w:sz w:val="24"/>
    </w:rPr>
  </w:style>
  <w:style w:type="paragraph" w:styleId="16">
    <w:name w:val="Body Text Indent"/>
    <w:basedOn w:val="1"/>
    <w:link w:val="85"/>
    <w:autoRedefine/>
    <w:qFormat/>
    <w:uiPriority w:val="0"/>
    <w:pPr>
      <w:ind w:firstLine="600"/>
    </w:pPr>
    <w:rPr>
      <w:sz w:val="32"/>
      <w:szCs w:val="20"/>
    </w:rPr>
  </w:style>
  <w:style w:type="paragraph" w:styleId="17">
    <w:name w:val="toc 3"/>
    <w:basedOn w:val="1"/>
    <w:next w:val="1"/>
    <w:autoRedefine/>
    <w:qFormat/>
    <w:uiPriority w:val="0"/>
    <w:pPr>
      <w:ind w:left="840" w:leftChars="400"/>
    </w:pPr>
    <w:rPr>
      <w:sz w:val="21"/>
    </w:rPr>
  </w:style>
  <w:style w:type="paragraph" w:styleId="18">
    <w:name w:val="Plain Text"/>
    <w:basedOn w:val="1"/>
    <w:link w:val="84"/>
    <w:autoRedefine/>
    <w:qFormat/>
    <w:uiPriority w:val="0"/>
    <w:rPr>
      <w:rFonts w:ascii="宋体" w:hAnsi="Courier New" w:cs="Courier New"/>
      <w:sz w:val="21"/>
      <w:szCs w:val="21"/>
    </w:rPr>
  </w:style>
  <w:style w:type="paragraph" w:styleId="19">
    <w:name w:val="Balloon Text"/>
    <w:basedOn w:val="1"/>
    <w:link w:val="86"/>
    <w:autoRedefine/>
    <w:unhideWhenUsed/>
    <w:qFormat/>
    <w:uiPriority w:val="0"/>
    <w:rPr>
      <w:sz w:val="18"/>
      <w:szCs w:val="18"/>
    </w:rPr>
  </w:style>
  <w:style w:type="paragraph" w:styleId="20">
    <w:name w:val="footer"/>
    <w:basedOn w:val="1"/>
    <w:link w:val="83"/>
    <w:autoRedefine/>
    <w:qFormat/>
    <w:uiPriority w:val="99"/>
    <w:pPr>
      <w:tabs>
        <w:tab w:val="center" w:pos="4153"/>
        <w:tab w:val="right" w:pos="8306"/>
      </w:tabs>
      <w:snapToGrid w:val="0"/>
      <w:jc w:val="left"/>
    </w:pPr>
    <w:rPr>
      <w:sz w:val="18"/>
      <w:szCs w:val="18"/>
    </w:rPr>
  </w:style>
  <w:style w:type="paragraph" w:styleId="21">
    <w:name w:val="header"/>
    <w:basedOn w:val="1"/>
    <w:link w:val="106"/>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0"/>
    <w:rPr>
      <w:sz w:val="21"/>
    </w:rPr>
  </w:style>
  <w:style w:type="paragraph" w:styleId="23">
    <w:name w:val="Body Text Indent 3"/>
    <w:basedOn w:val="1"/>
    <w:link w:val="103"/>
    <w:autoRedefine/>
    <w:qFormat/>
    <w:uiPriority w:val="0"/>
    <w:pPr>
      <w:spacing w:after="120"/>
      <w:ind w:left="420" w:leftChars="200"/>
    </w:pPr>
    <w:rPr>
      <w:sz w:val="16"/>
      <w:szCs w:val="16"/>
    </w:rPr>
  </w:style>
  <w:style w:type="paragraph" w:styleId="24">
    <w:name w:val="Normal (Web)"/>
    <w:basedOn w:val="1"/>
    <w:autoRedefine/>
    <w:qFormat/>
    <w:uiPriority w:val="0"/>
    <w:rPr>
      <w:sz w:val="24"/>
      <w:szCs w:val="20"/>
    </w:rPr>
  </w:style>
  <w:style w:type="paragraph" w:styleId="25">
    <w:name w:val="Title"/>
    <w:basedOn w:val="1"/>
    <w:next w:val="1"/>
    <w:link w:val="104"/>
    <w:autoRedefine/>
    <w:qFormat/>
    <w:uiPriority w:val="0"/>
    <w:pPr>
      <w:spacing w:before="240" w:after="60"/>
      <w:jc w:val="center"/>
      <w:outlineLvl w:val="0"/>
    </w:pPr>
    <w:rPr>
      <w:rFonts w:ascii="Cambria" w:hAnsi="Cambria"/>
      <w:b/>
      <w:bCs/>
      <w:sz w:val="32"/>
      <w:szCs w:val="32"/>
    </w:rPr>
  </w:style>
  <w:style w:type="paragraph" w:styleId="26">
    <w:name w:val="annotation subject"/>
    <w:basedOn w:val="14"/>
    <w:next w:val="14"/>
    <w:link w:val="107"/>
    <w:autoRedefine/>
    <w:unhideWhenUsed/>
    <w:qFormat/>
    <w:uiPriority w:val="99"/>
    <w:rPr>
      <w:rFonts w:ascii="Times New Roman" w:hAnsi="Times New Roman" w:cs="Times New Roman"/>
      <w:b/>
      <w:bCs/>
      <w:szCs w:val="24"/>
    </w:rPr>
  </w:style>
  <w:style w:type="table" w:styleId="28">
    <w:name w:val="Table Grid"/>
    <w:basedOn w:val="2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autoRedefine/>
    <w:qFormat/>
    <w:uiPriority w:val="0"/>
  </w:style>
  <w:style w:type="character" w:styleId="31">
    <w:name w:val="FollowedHyperlink"/>
    <w:autoRedefine/>
    <w:qFormat/>
    <w:uiPriority w:val="99"/>
    <w:rPr>
      <w:color w:val="800080"/>
      <w:u w:val="single"/>
    </w:rPr>
  </w:style>
  <w:style w:type="character" w:styleId="32">
    <w:name w:val="Hyperlink"/>
    <w:autoRedefine/>
    <w:qFormat/>
    <w:uiPriority w:val="99"/>
    <w:rPr>
      <w:color w:val="0000FF"/>
      <w:u w:val="single"/>
    </w:rPr>
  </w:style>
  <w:style w:type="character" w:styleId="33">
    <w:name w:val="annotation reference"/>
    <w:autoRedefine/>
    <w:qFormat/>
    <w:uiPriority w:val="0"/>
    <w:rPr>
      <w:sz w:val="21"/>
    </w:rPr>
  </w:style>
  <w:style w:type="paragraph" w:customStyle="1" w:styleId="34">
    <w:name w:val="列出段落1"/>
    <w:basedOn w:val="1"/>
    <w:autoRedefine/>
    <w:qFormat/>
    <w:uiPriority w:val="0"/>
    <w:pPr>
      <w:ind w:firstLine="420" w:firstLineChars="200"/>
    </w:pPr>
  </w:style>
  <w:style w:type="paragraph" w:customStyle="1" w:styleId="35">
    <w:name w:val="列出段落11"/>
    <w:basedOn w:val="1"/>
    <w:autoRedefine/>
    <w:qFormat/>
    <w:uiPriority w:val="0"/>
    <w:pPr>
      <w:ind w:firstLine="420" w:firstLineChars="200"/>
    </w:pPr>
    <w:rPr>
      <w:rFonts w:ascii="Calibri" w:hAnsi="Calibri"/>
      <w:sz w:val="21"/>
      <w:szCs w:val="22"/>
    </w:rPr>
  </w:style>
  <w:style w:type="paragraph" w:customStyle="1" w:styleId="36">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w:basedOn w:val="1"/>
    <w:autoRedefine/>
    <w:qFormat/>
    <w:uiPriority w:val="0"/>
    <w:rPr>
      <w:rFonts w:ascii="Tahoma" w:hAnsi="Tahoma"/>
      <w:sz w:val="24"/>
      <w:szCs w:val="20"/>
    </w:rPr>
  </w:style>
  <w:style w:type="paragraph" w:customStyle="1" w:styleId="38">
    <w:name w:val="大汉方案正文"/>
    <w:basedOn w:val="1"/>
    <w:autoRedefine/>
    <w:qFormat/>
    <w:uiPriority w:val="0"/>
    <w:pPr>
      <w:spacing w:line="360" w:lineRule="auto"/>
      <w:ind w:firstLine="200" w:firstLineChars="200"/>
    </w:pPr>
    <w:rPr>
      <w:rFonts w:ascii="Arial" w:hAnsi="Arial"/>
      <w:sz w:val="24"/>
      <w:szCs w:val="20"/>
    </w:rPr>
  </w:style>
  <w:style w:type="paragraph" w:customStyle="1" w:styleId="39">
    <w:name w:val="retrait3"/>
    <w:basedOn w:val="1"/>
    <w:autoRedefine/>
    <w:qFormat/>
    <w:uiPriority w:val="0"/>
    <w:pPr>
      <w:widowControl/>
      <w:spacing w:before="20" w:after="20"/>
      <w:ind w:left="851"/>
      <w:jc w:val="left"/>
    </w:pPr>
    <w:rPr>
      <w:rFonts w:ascii="Arial" w:hAnsi="Arial"/>
      <w:kern w:val="0"/>
      <w:sz w:val="24"/>
      <w:szCs w:val="20"/>
    </w:rPr>
  </w:style>
  <w:style w:type="paragraph" w:customStyle="1" w:styleId="40">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列出段落2"/>
    <w:basedOn w:val="1"/>
    <w:autoRedefine/>
    <w:qFormat/>
    <w:uiPriority w:val="0"/>
    <w:pPr>
      <w:ind w:firstLine="420" w:firstLineChars="200"/>
    </w:pPr>
    <w:rPr>
      <w:rFonts w:ascii="Calibri" w:hAnsi="Calibri"/>
      <w:sz w:val="21"/>
      <w:szCs w:val="22"/>
    </w:rPr>
  </w:style>
  <w:style w:type="paragraph" w:customStyle="1" w:styleId="43">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Char Char11 Char Char Char Char"/>
    <w:basedOn w:val="1"/>
    <w:autoRedefine/>
    <w:qFormat/>
    <w:uiPriority w:val="0"/>
    <w:pPr>
      <w:tabs>
        <w:tab w:val="left" w:pos="360"/>
      </w:tabs>
    </w:pPr>
    <w:rPr>
      <w:sz w:val="21"/>
    </w:rPr>
  </w:style>
  <w:style w:type="paragraph" w:customStyle="1" w:styleId="45">
    <w:name w:val="xl65"/>
    <w:basedOn w:val="1"/>
    <w:autoRedefine/>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6">
    <w:name w:val="xl66"/>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7">
    <w:name w:val="xl67"/>
    <w:basedOn w:val="1"/>
    <w:autoRedefine/>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8">
    <w:name w:val="xl68"/>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9">
    <w:name w:val="xl69"/>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0">
    <w:name w:val="xl70"/>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1">
    <w:name w:val="xl71"/>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2">
    <w:name w:val="xl72"/>
    <w:basedOn w:val="1"/>
    <w:autoRedefine/>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3">
    <w:name w:val="xl73"/>
    <w:basedOn w:val="1"/>
    <w:autoRedefine/>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4">
    <w:name w:val="xl74"/>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5">
    <w:name w:val="xl75"/>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6">
    <w:name w:val="xl76"/>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7">
    <w:name w:val="xl77"/>
    <w:basedOn w:val="1"/>
    <w:autoRedefine/>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8">
    <w:name w:val="xl78"/>
    <w:basedOn w:val="1"/>
    <w:autoRedefine/>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9">
    <w:name w:val="xl79"/>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60">
    <w:name w:val="xl80"/>
    <w:basedOn w:val="1"/>
    <w:autoRedefine/>
    <w:qFormat/>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61">
    <w:name w:val="xl81"/>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2">
    <w:name w:val="xl82"/>
    <w:basedOn w:val="1"/>
    <w:autoRedefine/>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63">
    <w:name w:val="xl83"/>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4">
    <w:name w:val="xl84"/>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5">
    <w:name w:val="xl85"/>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6">
    <w:name w:val="xl86"/>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7">
    <w:name w:val="xl87"/>
    <w:basedOn w:val="1"/>
    <w:autoRedefine/>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68">
    <w:name w:val="xl88"/>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69">
    <w:name w:val="xl89"/>
    <w:basedOn w:val="1"/>
    <w:autoRedefine/>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70">
    <w:name w:val="xl90"/>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1">
    <w:name w:val="xl91"/>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2">
    <w:name w:val="xl92"/>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3">
    <w:name w:val="xl93"/>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4">
    <w:name w:val="xl94"/>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5">
    <w:name w:val="xl95"/>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6">
    <w:name w:val="xl96"/>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7">
    <w:name w:val="xl97"/>
    <w:basedOn w:val="1"/>
    <w:autoRedefine/>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78">
    <w:name w:val="xl98"/>
    <w:basedOn w:val="1"/>
    <w:autoRedefine/>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99"/>
    <w:basedOn w:val="1"/>
    <w:autoRedefine/>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0">
    <w:name w:val="xl100"/>
    <w:basedOn w:val="1"/>
    <w:autoRedefine/>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1">
    <w:name w:val="xl101"/>
    <w:basedOn w:val="1"/>
    <w:autoRedefine/>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2">
    <w:name w:val="Table Paragraph"/>
    <w:basedOn w:val="1"/>
    <w:autoRedefine/>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83">
    <w:name w:val="页脚 字符"/>
    <w:basedOn w:val="29"/>
    <w:link w:val="20"/>
    <w:autoRedefine/>
    <w:qFormat/>
    <w:uiPriority w:val="99"/>
    <w:rPr>
      <w:rFonts w:ascii="Times New Roman" w:hAnsi="Times New Roman" w:eastAsia="宋体" w:cs="Times New Roman"/>
      <w:sz w:val="18"/>
      <w:szCs w:val="18"/>
    </w:rPr>
  </w:style>
  <w:style w:type="character" w:customStyle="1" w:styleId="84">
    <w:name w:val="纯文本 字符"/>
    <w:basedOn w:val="29"/>
    <w:link w:val="18"/>
    <w:autoRedefine/>
    <w:qFormat/>
    <w:uiPriority w:val="0"/>
    <w:rPr>
      <w:rFonts w:ascii="宋体" w:hAnsi="Courier New" w:eastAsia="宋体" w:cs="Courier New"/>
      <w:szCs w:val="21"/>
    </w:rPr>
  </w:style>
  <w:style w:type="character" w:customStyle="1" w:styleId="85">
    <w:name w:val="正文文本缩进 字符"/>
    <w:basedOn w:val="29"/>
    <w:link w:val="16"/>
    <w:autoRedefine/>
    <w:qFormat/>
    <w:uiPriority w:val="0"/>
    <w:rPr>
      <w:rFonts w:ascii="Times New Roman" w:hAnsi="Times New Roman" w:eastAsia="宋体" w:cs="Times New Roman"/>
      <w:sz w:val="32"/>
      <w:szCs w:val="20"/>
    </w:rPr>
  </w:style>
  <w:style w:type="character" w:customStyle="1" w:styleId="86">
    <w:name w:val="批注框文本 字符"/>
    <w:basedOn w:val="29"/>
    <w:link w:val="19"/>
    <w:autoRedefine/>
    <w:qFormat/>
    <w:uiPriority w:val="0"/>
    <w:rPr>
      <w:rFonts w:ascii="Times New Roman" w:hAnsi="Times New Roman" w:eastAsia="宋体" w:cs="Times New Roman"/>
      <w:sz w:val="18"/>
      <w:szCs w:val="18"/>
    </w:rPr>
  </w:style>
  <w:style w:type="character" w:customStyle="1" w:styleId="87">
    <w:name w:val="标题 1 字符"/>
    <w:basedOn w:val="29"/>
    <w:link w:val="2"/>
    <w:autoRedefine/>
    <w:qFormat/>
    <w:uiPriority w:val="0"/>
    <w:rPr>
      <w:rFonts w:ascii="Calibri" w:hAnsi="Calibri" w:eastAsia="仿宋" w:cs="Times New Roman"/>
      <w:b/>
      <w:bCs/>
      <w:kern w:val="44"/>
      <w:sz w:val="30"/>
      <w:szCs w:val="44"/>
    </w:rPr>
  </w:style>
  <w:style w:type="character" w:customStyle="1" w:styleId="88">
    <w:name w:val="标题 2 字符"/>
    <w:basedOn w:val="29"/>
    <w:link w:val="3"/>
    <w:autoRedefine/>
    <w:qFormat/>
    <w:uiPriority w:val="0"/>
    <w:rPr>
      <w:rFonts w:ascii="Cambria" w:hAnsi="Cambria" w:eastAsia="宋体" w:cs="Times New Roman"/>
      <w:b/>
      <w:bCs/>
      <w:sz w:val="28"/>
      <w:szCs w:val="32"/>
    </w:rPr>
  </w:style>
  <w:style w:type="character" w:customStyle="1" w:styleId="89">
    <w:name w:val="标题 3 字符"/>
    <w:basedOn w:val="29"/>
    <w:link w:val="4"/>
    <w:autoRedefine/>
    <w:qFormat/>
    <w:uiPriority w:val="0"/>
    <w:rPr>
      <w:rFonts w:ascii="Calibri" w:hAnsi="Calibri" w:eastAsia="宋体" w:cs="Times New Roman"/>
      <w:b/>
      <w:bCs/>
      <w:sz w:val="32"/>
      <w:szCs w:val="32"/>
    </w:rPr>
  </w:style>
  <w:style w:type="character" w:customStyle="1" w:styleId="90">
    <w:name w:val="标题 4 字符"/>
    <w:basedOn w:val="29"/>
    <w:link w:val="5"/>
    <w:autoRedefine/>
    <w:qFormat/>
    <w:uiPriority w:val="0"/>
    <w:rPr>
      <w:rFonts w:ascii="Cambria" w:hAnsi="Cambria" w:eastAsia="宋体" w:cs="Times New Roman"/>
      <w:b/>
      <w:bCs/>
      <w:sz w:val="28"/>
      <w:szCs w:val="28"/>
    </w:rPr>
  </w:style>
  <w:style w:type="character" w:customStyle="1" w:styleId="91">
    <w:name w:val="标题 5 字符"/>
    <w:basedOn w:val="29"/>
    <w:link w:val="6"/>
    <w:autoRedefine/>
    <w:qFormat/>
    <w:uiPriority w:val="0"/>
    <w:rPr>
      <w:rFonts w:ascii="Times New Roman" w:hAnsi="Times New Roman" w:eastAsia="宋体" w:cs="Times New Roman"/>
      <w:b/>
      <w:bCs/>
      <w:kern w:val="0"/>
      <w:sz w:val="28"/>
      <w:szCs w:val="28"/>
    </w:rPr>
  </w:style>
  <w:style w:type="character" w:customStyle="1" w:styleId="92">
    <w:name w:val="标题 6 字符"/>
    <w:basedOn w:val="29"/>
    <w:link w:val="7"/>
    <w:autoRedefine/>
    <w:qFormat/>
    <w:uiPriority w:val="0"/>
    <w:rPr>
      <w:rFonts w:ascii="Arial" w:hAnsi="Arial" w:eastAsia="黑体" w:cs="Times New Roman"/>
      <w:b/>
      <w:bCs/>
      <w:kern w:val="0"/>
      <w:sz w:val="24"/>
      <w:szCs w:val="24"/>
    </w:rPr>
  </w:style>
  <w:style w:type="character" w:customStyle="1" w:styleId="93">
    <w:name w:val="标题 7 字符"/>
    <w:basedOn w:val="29"/>
    <w:link w:val="8"/>
    <w:autoRedefine/>
    <w:qFormat/>
    <w:uiPriority w:val="0"/>
    <w:rPr>
      <w:rFonts w:ascii="Times New Roman" w:hAnsi="Times New Roman" w:eastAsia="宋体" w:cs="Times New Roman"/>
      <w:b/>
      <w:bCs/>
      <w:kern w:val="0"/>
      <w:sz w:val="24"/>
      <w:szCs w:val="24"/>
    </w:rPr>
  </w:style>
  <w:style w:type="character" w:customStyle="1" w:styleId="94">
    <w:name w:val="标题 8 字符"/>
    <w:basedOn w:val="29"/>
    <w:link w:val="9"/>
    <w:autoRedefine/>
    <w:qFormat/>
    <w:uiPriority w:val="0"/>
    <w:rPr>
      <w:rFonts w:ascii="Arial" w:hAnsi="Arial" w:eastAsia="黑体" w:cs="Times New Roman"/>
      <w:kern w:val="0"/>
      <w:sz w:val="24"/>
      <w:szCs w:val="24"/>
    </w:rPr>
  </w:style>
  <w:style w:type="character" w:customStyle="1" w:styleId="95">
    <w:name w:val="标题 9 字符"/>
    <w:basedOn w:val="29"/>
    <w:link w:val="10"/>
    <w:autoRedefine/>
    <w:qFormat/>
    <w:uiPriority w:val="0"/>
    <w:rPr>
      <w:rFonts w:ascii="Arial" w:hAnsi="Arial" w:eastAsia="黑体" w:cs="Times New Roman"/>
      <w:kern w:val="0"/>
      <w:szCs w:val="21"/>
    </w:rPr>
  </w:style>
  <w:style w:type="character" w:customStyle="1" w:styleId="96">
    <w:name w:val="文档结构图 字符"/>
    <w:basedOn w:val="29"/>
    <w:link w:val="13"/>
    <w:autoRedefine/>
    <w:semiHidden/>
    <w:qFormat/>
    <w:uiPriority w:val="0"/>
    <w:rPr>
      <w:rFonts w:ascii="Heiti SC Light" w:hAnsi="Calibri" w:eastAsia="Times New Roman" w:cs="Times New Roman"/>
      <w:sz w:val="24"/>
      <w:szCs w:val="24"/>
    </w:rPr>
  </w:style>
  <w:style w:type="character" w:customStyle="1" w:styleId="97">
    <w:name w:val="批注文字 字符"/>
    <w:link w:val="14"/>
    <w:autoRedefine/>
    <w:qFormat/>
    <w:uiPriority w:val="0"/>
    <w:rPr>
      <w:sz w:val="28"/>
    </w:rPr>
  </w:style>
  <w:style w:type="character" w:customStyle="1" w:styleId="98">
    <w:name w:val="正文缩进 字符"/>
    <w:link w:val="11"/>
    <w:autoRedefine/>
    <w:qFormat/>
    <w:uiPriority w:val="0"/>
  </w:style>
  <w:style w:type="character" w:customStyle="1" w:styleId="99">
    <w:name w:val="纯文本 Char1"/>
    <w:autoRedefine/>
    <w:qFormat/>
    <w:uiPriority w:val="0"/>
    <w:rPr>
      <w:rFonts w:ascii="宋体" w:hAnsi="Courier New" w:cs="Courier New"/>
      <w:kern w:val="2"/>
      <w:sz w:val="21"/>
      <w:szCs w:val="21"/>
    </w:rPr>
  </w:style>
  <w:style w:type="character" w:customStyle="1" w:styleId="100">
    <w:name w:val="批注文字 Char1"/>
    <w:basedOn w:val="29"/>
    <w:autoRedefine/>
    <w:qFormat/>
    <w:uiPriority w:val="0"/>
    <w:rPr>
      <w:rFonts w:ascii="Times New Roman" w:hAnsi="Times New Roman" w:eastAsia="宋体" w:cs="Times New Roman"/>
      <w:sz w:val="28"/>
      <w:szCs w:val="24"/>
    </w:rPr>
  </w:style>
  <w:style w:type="character" w:customStyle="1" w:styleId="101">
    <w:name w:val="正文文本 字符"/>
    <w:basedOn w:val="29"/>
    <w:link w:val="15"/>
    <w:autoRedefine/>
    <w:qFormat/>
    <w:uiPriority w:val="0"/>
    <w:rPr>
      <w:rFonts w:ascii="Times New Roman" w:hAnsi="Times New Roman" w:eastAsia="宋体" w:cs="Times New Roman"/>
      <w:sz w:val="24"/>
      <w:szCs w:val="24"/>
    </w:rPr>
  </w:style>
  <w:style w:type="character" w:customStyle="1" w:styleId="102">
    <w:name w:val="apple-converted-space"/>
    <w:autoRedefine/>
    <w:qFormat/>
    <w:uiPriority w:val="0"/>
  </w:style>
  <w:style w:type="character" w:customStyle="1" w:styleId="103">
    <w:name w:val="正文文本缩进 3 字符"/>
    <w:basedOn w:val="29"/>
    <w:link w:val="23"/>
    <w:autoRedefine/>
    <w:qFormat/>
    <w:uiPriority w:val="0"/>
    <w:rPr>
      <w:rFonts w:ascii="Times New Roman" w:hAnsi="Times New Roman" w:eastAsia="宋体" w:cs="Times New Roman"/>
      <w:sz w:val="16"/>
      <w:szCs w:val="16"/>
    </w:rPr>
  </w:style>
  <w:style w:type="character" w:customStyle="1" w:styleId="104">
    <w:name w:val="标题 字符"/>
    <w:basedOn w:val="29"/>
    <w:link w:val="25"/>
    <w:autoRedefine/>
    <w:qFormat/>
    <w:uiPriority w:val="0"/>
    <w:rPr>
      <w:rFonts w:ascii="Cambria" w:hAnsi="Cambria" w:eastAsia="宋体" w:cs="Times New Roman"/>
      <w:b/>
      <w:bCs/>
      <w:sz w:val="32"/>
      <w:szCs w:val="32"/>
    </w:rPr>
  </w:style>
  <w:style w:type="character" w:customStyle="1" w:styleId="105">
    <w:name w:val="标题 3 Char1"/>
    <w:autoRedefine/>
    <w:qFormat/>
    <w:uiPriority w:val="0"/>
    <w:rPr>
      <w:rFonts w:ascii="Times New Roman" w:hAnsi="Times New Roman" w:eastAsia="宋体" w:cs="Times New Roman"/>
      <w:sz w:val="24"/>
      <w:szCs w:val="20"/>
    </w:rPr>
  </w:style>
  <w:style w:type="character" w:customStyle="1" w:styleId="106">
    <w:name w:val="页眉 字符"/>
    <w:basedOn w:val="29"/>
    <w:link w:val="21"/>
    <w:autoRedefine/>
    <w:qFormat/>
    <w:uiPriority w:val="0"/>
    <w:rPr>
      <w:rFonts w:ascii="Times New Roman" w:hAnsi="Times New Roman" w:eastAsia="宋体" w:cs="Times New Roman"/>
      <w:sz w:val="18"/>
      <w:szCs w:val="18"/>
    </w:rPr>
  </w:style>
  <w:style w:type="character" w:customStyle="1" w:styleId="107">
    <w:name w:val="批注主题 字符"/>
    <w:basedOn w:val="97"/>
    <w:link w:val="26"/>
    <w:autoRedefine/>
    <w:semiHidden/>
    <w:qFormat/>
    <w:uiPriority w:val="99"/>
    <w:rPr>
      <w:rFonts w:ascii="Times New Roman" w:hAnsi="Times New Roman" w:eastAsia="宋体" w:cs="Times New Roman"/>
      <w:b/>
      <w:bCs/>
      <w:sz w:val="28"/>
      <w:szCs w:val="24"/>
    </w:rPr>
  </w:style>
  <w:style w:type="table" w:customStyle="1" w:styleId="108">
    <w:name w:val="网格型1"/>
    <w:basedOn w:val="27"/>
    <w:autoRedefine/>
    <w:qFormat/>
    <w:locked/>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1466</Words>
  <Characters>8360</Characters>
  <Lines>69</Lines>
  <Paragraphs>19</Paragraphs>
  <TotalTime>3</TotalTime>
  <ScaleCrop>false</ScaleCrop>
  <LinksUpToDate>false</LinksUpToDate>
  <CharactersWithSpaces>9807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2023-12-22T08:06:00Z</dcterms:created>
  <dc:creator>wzg</dc:creator>
  <cp:lastModifiedBy>萌萌的学弟</cp:lastModifiedBy>
  <cp:lastPrinted>2022-06-07T10:56:00Z</cp:lastPrinted>
  <dcterms:modified xsi:type="dcterms:W3CDTF">2024-01-16T08:27:14Z</dcterms:modified>
  <dc:title>竞争性谈判文件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D51D875584DC4E96A6649CEF83CD5F45_13</vt:lpwstr>
  </property>
</Properties>
</file>