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湖北省博物馆20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年荆楚大遗址传承发展工程总结会议配套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图文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宣传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年荆楚大遗址传承发展工程总结会议配套图文宣传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荆楚大遗址传承发展工程总结会议配套图文宣传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numPr>
          <w:ilvl w:val="0"/>
          <w:numId w:val="1"/>
        </w:numPr>
        <w:spacing w:line="0" w:lineRule="atLeast"/>
        <w:rPr>
          <w:rFonts w:hint="eastAsia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供应商须具备摄影服务、摄影创作、展览展示等服务内容；具有摄影赛事组织、摄影展览策划实施经验，能有自有媒体展示宣传平台；有配套图文图片版权者优先。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</w:t>
      </w:r>
      <w:r>
        <w:rPr>
          <w:rFonts w:hint="eastAsia" w:ascii="Calibri" w:eastAsia="宋体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 w:ascii="Calibri" w:eastAsia="宋体"/>
          <w:color w:val="auto"/>
          <w:sz w:val="24"/>
          <w:szCs w:val="24"/>
          <w:lang w:val="en-US" w:eastAsia="zh-CN"/>
        </w:rPr>
        <w:t>荆楚大遗址传承发展工程总结会议配套</w:t>
      </w:r>
      <w:r>
        <w:rPr>
          <w:rFonts w:hint="eastAsia"/>
          <w:color w:val="auto"/>
          <w:sz w:val="24"/>
          <w:szCs w:val="24"/>
          <w:lang w:val="en-US" w:eastAsia="zh-CN"/>
        </w:rPr>
        <w:t>图文</w:t>
      </w:r>
      <w:r>
        <w:rPr>
          <w:rFonts w:hint="eastAsia" w:ascii="Calibri" w:eastAsia="宋体"/>
          <w:color w:val="auto"/>
          <w:sz w:val="24"/>
          <w:szCs w:val="24"/>
          <w:lang w:val="en-US" w:eastAsia="zh-CN"/>
        </w:rPr>
        <w:t>宣传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3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朱雪薇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17786616691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</w:t>
      </w:r>
      <w:r>
        <w:rPr>
          <w:rFonts w:hint="eastAsia"/>
          <w:color w:val="auto"/>
          <w:sz w:val="24"/>
          <w:szCs w:val="24"/>
          <w:lang w:val="en-US" w:eastAsia="zh-CN"/>
        </w:rPr>
        <w:t>834464696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2119559147">
    <w:nsid w:val="7E55E7EB"/>
    <w:multiLevelType w:val="singleLevel"/>
    <w:tmpl w:val="7E55E7EB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670852040">
    <w:nsid w:val="9F31F7C8"/>
    <w:multiLevelType w:val="singleLevel"/>
    <w:tmpl w:val="9F31F7C8"/>
    <w:lvl w:ilvl="0" w:tentative="1">
      <w:start w:val="1"/>
      <w:numFmt w:val="decimal"/>
      <w:suff w:val="nothing"/>
      <w:lvlText w:val="%1．"/>
      <w:lvlJc w:val="left"/>
    </w:lvl>
  </w:abstractNum>
  <w:num w:numId="1">
    <w:abstractNumId w:val="2119559147"/>
  </w:num>
  <w:num w:numId="2">
    <w:abstractNumId w:val="2670852040"/>
  </w:num>
  <w:num w:numId="3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JhY2YyYzJjM2JlOGYwOGQ4YWJiZDc4NGIwNjQ4MTI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3104E3C"/>
    <w:rsid w:val="18D67D52"/>
    <w:rsid w:val="18DE5F8C"/>
    <w:rsid w:val="1BDB3CAB"/>
    <w:rsid w:val="26613029"/>
    <w:rsid w:val="28D80F4C"/>
    <w:rsid w:val="29FB372C"/>
    <w:rsid w:val="2C380F7F"/>
    <w:rsid w:val="30E9709E"/>
    <w:rsid w:val="350836FD"/>
    <w:rsid w:val="3624163E"/>
    <w:rsid w:val="394F65C0"/>
    <w:rsid w:val="3F7367C3"/>
    <w:rsid w:val="40765A20"/>
    <w:rsid w:val="40DB117F"/>
    <w:rsid w:val="42255A37"/>
    <w:rsid w:val="47D806C2"/>
    <w:rsid w:val="4C082549"/>
    <w:rsid w:val="508B6C67"/>
    <w:rsid w:val="56290D2D"/>
    <w:rsid w:val="594F41DA"/>
    <w:rsid w:val="5E9716B3"/>
    <w:rsid w:val="60053571"/>
    <w:rsid w:val="63321358"/>
    <w:rsid w:val="6552083C"/>
    <w:rsid w:val="690F4E10"/>
    <w:rsid w:val="6F520808"/>
    <w:rsid w:val="6F60613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2023-11-20T03:31:15Z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8898EAFEFA1846588E5533574E0CAE79_13</vt:lpwstr>
  </property>
</Properties>
</file>