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color w:val="auto"/>
          <w:sz w:val="36"/>
          <w:szCs w:val="36"/>
          <w:lang w:eastAsia="zh-CN"/>
        </w:rPr>
      </w:pPr>
      <w:r>
        <w:rPr>
          <w:bCs/>
          <w:color w:val="auto"/>
          <w:sz w:val="32"/>
          <w:szCs w:val="32"/>
        </w:rPr>
        <w:t>项目名称：</w:t>
      </w:r>
      <w:r>
        <w:rPr>
          <w:rFonts w:hint="eastAsia"/>
          <w:color w:val="auto"/>
          <w:sz w:val="36"/>
          <w:szCs w:val="36"/>
        </w:rPr>
        <w:t>湖北省博物馆</w:t>
      </w:r>
      <w:r>
        <w:rPr>
          <w:rFonts w:hint="eastAsia"/>
          <w:color w:val="auto"/>
          <w:sz w:val="36"/>
          <w:szCs w:val="36"/>
          <w:lang w:eastAsia="zh-CN"/>
        </w:rPr>
        <w:t>危险化学品废物处置</w:t>
      </w:r>
    </w:p>
    <w:p>
      <w:pPr>
        <w:spacing w:line="480" w:lineRule="auto"/>
        <w:ind w:left="958" w:leftChars="342"/>
        <w:rPr>
          <w:rFonts w:hint="eastAsia"/>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危险化学品废物处置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危险化学品废物处置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危险化学品废物处置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打包处置危险化学品废物</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1批</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15万</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3</w:t>
      </w:r>
      <w:r>
        <w:rPr>
          <w:rFonts w:hint="eastAsia" w:cs="宋体"/>
          <w:color w:val="auto"/>
          <w:sz w:val="24"/>
        </w:rPr>
        <w:t>年</w:t>
      </w:r>
      <w:r>
        <w:rPr>
          <w:rFonts w:hint="eastAsia"/>
          <w:color w:val="auto"/>
          <w:sz w:val="24"/>
          <w:lang w:val="en-US" w:eastAsia="zh-CN"/>
        </w:rPr>
        <w:t>8</w:t>
      </w:r>
      <w:r>
        <w:rPr>
          <w:rFonts w:hint="eastAsia" w:cs="宋体"/>
          <w:color w:val="auto"/>
          <w:sz w:val="24"/>
        </w:rPr>
        <w:t>月</w:t>
      </w:r>
      <w:r>
        <w:rPr>
          <w:rFonts w:hint="eastAsia"/>
          <w:color w:val="auto"/>
          <w:sz w:val="24"/>
          <w:lang w:val="en-US" w:eastAsia="zh-CN"/>
        </w:rPr>
        <w:t>29</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right"/>
        <w:rPr>
          <w:color w:val="auto"/>
          <w:sz w:val="24"/>
        </w:rPr>
      </w:pP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lang w:val="en-US" w:eastAsia="zh-CN"/>
        </w:rPr>
        <w:t>8</w:t>
      </w:r>
      <w:r>
        <w:rPr>
          <w:rFonts w:hint="eastAsia"/>
          <w:color w:val="auto"/>
          <w:sz w:val="24"/>
        </w:rPr>
        <w:t xml:space="preserve"> </w:t>
      </w:r>
      <w:r>
        <w:rPr>
          <w:color w:val="auto"/>
          <w:sz w:val="24"/>
        </w:rPr>
        <w:t>月</w:t>
      </w:r>
      <w:r>
        <w:rPr>
          <w:rFonts w:hint="eastAsia"/>
          <w:color w:val="auto"/>
          <w:sz w:val="24"/>
        </w:rPr>
        <w:t xml:space="preserve"> </w:t>
      </w:r>
      <w:r>
        <w:rPr>
          <w:rFonts w:hint="eastAsia"/>
          <w:color w:val="auto"/>
          <w:sz w:val="24"/>
          <w:lang w:val="en-US" w:eastAsia="zh-CN"/>
        </w:rPr>
        <w:t>28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w:t>
            </w:r>
            <w:r>
              <w:rPr>
                <w:rFonts w:hint="eastAsia"/>
                <w:bCs/>
                <w:color w:val="auto"/>
                <w:sz w:val="24"/>
                <w:lang w:eastAsia="zh-CN"/>
              </w:rPr>
              <w:t>危险化学品废物处置</w:t>
            </w:r>
            <w:r>
              <w:rPr>
                <w:rFonts w:hint="eastAsia"/>
                <w:bCs/>
                <w:color w:val="auto"/>
                <w:sz w:val="24"/>
              </w:rPr>
              <w:t>项目</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危险化学品废物处置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林戈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86787956</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spacing w:line="0" w:lineRule="atLeast"/>
              <w:rPr>
                <w:rFonts w:hint="eastAsia"/>
                <w:color w:val="auto"/>
                <w:sz w:val="24"/>
                <w:szCs w:val="24"/>
                <w:lang w:val="en-US" w:eastAsia="zh-CN"/>
              </w:rPr>
            </w:pPr>
            <w:r>
              <w:rPr>
                <w:rFonts w:hint="eastAsia"/>
                <w:color w:val="auto"/>
                <w:sz w:val="24"/>
                <w:szCs w:val="24"/>
                <w:lang w:val="en-US" w:eastAsia="zh-CN"/>
              </w:rPr>
              <w:t>1.投标单位为具备国家有关部门颁发的危险废物经营许可证。</w:t>
            </w:r>
          </w:p>
          <w:p>
            <w:pPr>
              <w:spacing w:line="0" w:lineRule="atLeast"/>
              <w:rPr>
                <w:rFonts w:hint="eastAsia"/>
                <w:color w:val="auto"/>
                <w:sz w:val="24"/>
                <w:szCs w:val="24"/>
                <w:lang w:val="en-US" w:eastAsia="zh-CN"/>
              </w:rPr>
            </w:pPr>
            <w:r>
              <w:rPr>
                <w:rFonts w:hint="eastAsia"/>
                <w:color w:val="auto"/>
                <w:sz w:val="24"/>
                <w:szCs w:val="24"/>
                <w:lang w:val="en-US" w:eastAsia="zh-CN"/>
              </w:rPr>
              <w:t>2. 投标单位营业执照需有相关经营范围，有过类似业绩。</w:t>
            </w:r>
          </w:p>
          <w:p>
            <w:pPr>
              <w:spacing w:line="0" w:lineRule="atLeast"/>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w:t>
      </w:r>
      <w:r>
        <w:rPr>
          <w:rFonts w:hint="eastAsia" w:ascii="宋体" w:hAnsi="宋体" w:cs="宋体"/>
          <w:color w:val="auto"/>
          <w:sz w:val="24"/>
          <w:lang w:eastAsia="zh-CN"/>
        </w:rPr>
        <w:t>（服务）</w:t>
      </w:r>
      <w:r>
        <w:rPr>
          <w:rFonts w:hint="eastAsia" w:ascii="宋体" w:hAnsi="宋体" w:cs="宋体"/>
          <w:color w:val="auto"/>
          <w:sz w:val="24"/>
        </w:rPr>
        <w:t>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w:t>
            </w:r>
            <w:r>
              <w:rPr>
                <w:rFonts w:hint="eastAsia" w:ascii="宋体" w:hAnsi="宋体" w:cs="宋体"/>
                <w:color w:val="auto"/>
                <w:sz w:val="24"/>
                <w:lang w:eastAsia="zh-CN"/>
              </w:rPr>
              <w:t>（服务）</w:t>
            </w:r>
            <w:r>
              <w:rPr>
                <w:rFonts w:hint="eastAsia" w:ascii="宋体" w:hAnsi="宋体" w:cs="宋体"/>
                <w:color w:val="auto"/>
                <w:sz w:val="24"/>
              </w:rPr>
              <w:t>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spacing w:line="0" w:lineRule="atLeast"/>
              <w:rPr>
                <w:rFonts w:hint="eastAsia" w:ascii="宋体" w:hAnsi="宋体" w:eastAsia="宋体"/>
                <w:caps/>
                <w:color w:val="auto"/>
                <w:sz w:val="24"/>
                <w:lang w:eastAsia="zh-CN"/>
              </w:rPr>
            </w:pPr>
            <w:r>
              <w:rPr>
                <w:rFonts w:hint="eastAsia"/>
                <w:bCs/>
                <w:color w:val="auto"/>
                <w:kern w:val="0"/>
                <w:sz w:val="24"/>
                <w:lang w:eastAsia="zh-CN"/>
              </w:rPr>
              <w:t>危险化学品废物处置</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aps/>
                <w:color w:val="auto"/>
                <w:sz w:val="24"/>
                <w:lang w:eastAsia="zh-CN"/>
              </w:rPr>
              <w:t>打包处置所有化学品废物，处置需提供环保局转运单。</w:t>
            </w: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7</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8C1FCA"/>
    <w:rsid w:val="15EE2487"/>
    <w:rsid w:val="31CA1812"/>
    <w:rsid w:val="32591CA8"/>
    <w:rsid w:val="33C024F3"/>
    <w:rsid w:val="38573674"/>
    <w:rsid w:val="72D25191"/>
    <w:rsid w:val="7DE6182B"/>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aliases w:val="普通文字 Char Char,普通文字1 Char,普通文字2 Char,普通文字3 Char,普通文字4 Char,普通文字5 Char,普通文字6 Char,普通文字11 Char,普通文字21 Char,普通文字31 Char,普通文字41 Char,普通文字7 Char,正 文 1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2023-08-28T01:22:36Z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