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auto"/>
          <w:sz w:val="44"/>
        </w:rPr>
      </w:pPr>
    </w:p>
    <w:p>
      <w:pPr>
        <w:jc w:val="center"/>
        <w:rPr>
          <w:color w:val="auto"/>
          <w:sz w:val="44"/>
        </w:rPr>
      </w:pPr>
    </w:p>
    <w:p>
      <w:pPr>
        <w:jc w:val="center"/>
        <w:rPr>
          <w:color w:val="auto"/>
          <w:w w:val="66"/>
          <w:sz w:val="120"/>
          <w:szCs w:val="120"/>
        </w:rPr>
      </w:pPr>
      <w:r>
        <w:rPr>
          <w:bCs/>
          <w:color w:val="auto"/>
          <w:w w:val="66"/>
          <w:sz w:val="120"/>
          <w:szCs w:val="120"/>
        </w:rPr>
        <w:t>竞争性谈判文件</w:t>
      </w:r>
    </w:p>
    <w:p>
      <w:pPr>
        <w:jc w:val="center"/>
        <w:rPr>
          <w:color w:val="auto"/>
          <w:sz w:val="44"/>
        </w:rPr>
      </w:pPr>
    </w:p>
    <w:p>
      <w:pPr>
        <w:jc w:val="center"/>
        <w:rPr>
          <w:color w:val="auto"/>
          <w:sz w:val="44"/>
        </w:rPr>
      </w:pPr>
    </w:p>
    <w:p>
      <w:pPr>
        <w:ind w:firstLine="1440" w:firstLineChars="400"/>
        <w:rPr>
          <w:bCs/>
          <w:color w:val="auto"/>
          <w:sz w:val="36"/>
        </w:rPr>
      </w:pPr>
    </w:p>
    <w:p>
      <w:pPr>
        <w:spacing w:line="480" w:lineRule="auto"/>
        <w:ind w:firstLine="960" w:firstLineChars="300"/>
        <w:rPr>
          <w:bCs/>
          <w:color w:val="auto"/>
          <w:sz w:val="32"/>
          <w:szCs w:val="32"/>
        </w:rPr>
      </w:pPr>
      <w:r>
        <w:rPr>
          <w:bCs/>
          <w:color w:val="auto"/>
          <w:sz w:val="32"/>
          <w:szCs w:val="32"/>
        </w:rPr>
        <w:t>项目编号：</w:t>
      </w:r>
    </w:p>
    <w:p>
      <w:pPr>
        <w:spacing w:line="480" w:lineRule="auto"/>
        <w:ind w:left="2558" w:leftChars="342" w:hanging="1600" w:hangingChars="500"/>
        <w:rPr>
          <w:rFonts w:hint="eastAsia"/>
          <w:bCs/>
          <w:color w:val="auto"/>
          <w:sz w:val="32"/>
          <w:szCs w:val="32"/>
        </w:rPr>
      </w:pPr>
      <w:r>
        <w:rPr>
          <w:bCs/>
          <w:color w:val="auto"/>
          <w:sz w:val="32"/>
          <w:szCs w:val="32"/>
        </w:rPr>
        <w:t>项目名称：</w:t>
      </w:r>
      <w:r>
        <w:rPr>
          <w:rFonts w:hint="eastAsia"/>
          <w:bCs/>
          <w:color w:val="auto"/>
          <w:sz w:val="32"/>
          <w:szCs w:val="32"/>
        </w:rPr>
        <w:t>湖北省博物馆</w:t>
      </w:r>
      <w:r>
        <w:rPr>
          <w:rFonts w:hint="eastAsia"/>
          <w:bCs/>
          <w:color w:val="auto"/>
          <w:sz w:val="32"/>
          <w:szCs w:val="32"/>
          <w:lang w:val="en-US" w:eastAsia="zh-CN"/>
        </w:rPr>
        <w:t>2023年度</w:t>
      </w:r>
      <w:r>
        <w:rPr>
          <w:rFonts w:hint="eastAsia"/>
          <w:bCs/>
          <w:color w:val="auto"/>
          <w:sz w:val="32"/>
          <w:szCs w:val="32"/>
          <w:lang w:eastAsia="zh-CN"/>
        </w:rPr>
        <w:t>有害生物防治服务</w:t>
      </w:r>
      <w:r>
        <w:rPr>
          <w:rFonts w:hint="eastAsia"/>
          <w:bCs/>
          <w:color w:val="auto"/>
          <w:sz w:val="32"/>
          <w:szCs w:val="32"/>
        </w:rPr>
        <w:t>项目</w:t>
      </w:r>
    </w:p>
    <w:p>
      <w:pPr>
        <w:spacing w:line="480" w:lineRule="auto"/>
        <w:ind w:left="958" w:leftChars="342"/>
        <w:rPr>
          <w:bCs/>
          <w:color w:val="auto"/>
          <w:sz w:val="32"/>
        </w:rPr>
      </w:pPr>
      <w:r>
        <w:rPr>
          <w:rFonts w:hint="eastAsia"/>
          <w:bCs/>
          <w:color w:val="auto"/>
          <w:sz w:val="32"/>
          <w:szCs w:val="32"/>
        </w:rPr>
        <w:t>谈判</w:t>
      </w:r>
      <w:r>
        <w:rPr>
          <w:bCs/>
          <w:color w:val="auto"/>
          <w:sz w:val="32"/>
          <w:szCs w:val="32"/>
        </w:rPr>
        <w:t>内容：</w:t>
      </w:r>
      <w:r>
        <w:rPr>
          <w:rFonts w:hint="eastAsia"/>
          <w:bCs/>
          <w:color w:val="auto"/>
          <w:sz w:val="32"/>
          <w:szCs w:val="32"/>
          <w:lang w:eastAsia="zh-CN"/>
        </w:rPr>
        <w:t>有害生物防治</w:t>
      </w:r>
    </w:p>
    <w:p>
      <w:pPr>
        <w:tabs>
          <w:tab w:val="left" w:pos="2625"/>
        </w:tabs>
        <w:spacing w:line="520" w:lineRule="exact"/>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rPr>
          <w:color w:val="auto"/>
          <w:sz w:val="36"/>
        </w:rPr>
      </w:pPr>
    </w:p>
    <w:p>
      <w:pPr>
        <w:spacing w:line="520" w:lineRule="exact"/>
        <w:jc w:val="center"/>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w:t>
      </w:r>
      <w:r>
        <w:rPr>
          <w:rFonts w:hint="eastAsia"/>
          <w:color w:val="auto"/>
          <w:sz w:val="32"/>
          <w:szCs w:val="32"/>
          <w:lang w:val="en-US" w:eastAsia="zh-CN"/>
        </w:rPr>
        <w:t>3</w:t>
      </w:r>
      <w:r>
        <w:rPr>
          <w:color w:val="auto"/>
          <w:sz w:val="32"/>
          <w:szCs w:val="32"/>
        </w:rPr>
        <w:t>年</w:t>
      </w:r>
      <w:r>
        <w:rPr>
          <w:rFonts w:hint="eastAsia"/>
          <w:color w:val="auto"/>
          <w:sz w:val="32"/>
          <w:szCs w:val="32"/>
          <w:lang w:val="en-US" w:eastAsia="zh-CN"/>
        </w:rPr>
        <w:t>7</w:t>
      </w:r>
      <w:r>
        <w:rPr>
          <w:color w:val="auto"/>
          <w:sz w:val="32"/>
          <w:szCs w:val="32"/>
        </w:rPr>
        <w:t>月</w:t>
      </w:r>
    </w:p>
    <w:p>
      <w:pPr>
        <w:jc w:val="center"/>
        <w:rPr>
          <w:color w:val="auto"/>
          <w:sz w:val="36"/>
          <w:szCs w:val="36"/>
        </w:rPr>
      </w:pPr>
    </w:p>
    <w:p>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pPr>
        <w:rPr>
          <w:rFonts w:eastAsia="黑体"/>
          <w:color w:val="auto"/>
          <w:sz w:val="44"/>
          <w:szCs w:val="44"/>
        </w:rPr>
      </w:pPr>
    </w:p>
    <w:p>
      <w:pPr>
        <w:spacing w:line="480" w:lineRule="auto"/>
        <w:rPr>
          <w:color w:val="auto"/>
        </w:rPr>
      </w:pPr>
      <w:r>
        <w:rPr>
          <w:color w:val="auto"/>
        </w:rPr>
        <w:t>第一章</w:t>
      </w:r>
      <w:r>
        <w:rPr>
          <w:rFonts w:hint="eastAsia"/>
          <w:color w:val="auto"/>
        </w:rPr>
        <w:t xml:space="preserve">  </w:t>
      </w:r>
      <w:r>
        <w:rPr>
          <w:color w:val="auto"/>
        </w:rPr>
        <w:t>谈判邀请函</w:t>
      </w:r>
    </w:p>
    <w:p>
      <w:pPr>
        <w:spacing w:line="480" w:lineRule="auto"/>
        <w:rPr>
          <w:color w:val="auto"/>
        </w:rPr>
      </w:pPr>
      <w:r>
        <w:rPr>
          <w:color w:val="auto"/>
        </w:rPr>
        <w:t>第二章</w:t>
      </w:r>
      <w:r>
        <w:rPr>
          <w:rFonts w:hint="eastAsia"/>
          <w:color w:val="auto"/>
        </w:rPr>
        <w:t xml:space="preserve">  </w:t>
      </w:r>
      <w:r>
        <w:rPr>
          <w:color w:val="auto"/>
        </w:rPr>
        <w:t>谈判须知</w:t>
      </w:r>
    </w:p>
    <w:p>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pPr>
        <w:spacing w:line="480" w:lineRule="auto"/>
        <w:rPr>
          <w:color w:val="auto"/>
        </w:rPr>
      </w:pPr>
      <w:r>
        <w:rPr>
          <w:color w:val="auto"/>
        </w:rPr>
        <w:t>第四章</w:t>
      </w:r>
      <w:r>
        <w:rPr>
          <w:rFonts w:hint="eastAsia"/>
          <w:color w:val="auto"/>
        </w:rPr>
        <w:t xml:space="preserve">  </w:t>
      </w:r>
      <w:r>
        <w:rPr>
          <w:color w:val="auto"/>
        </w:rPr>
        <w:t>合同书（格式）</w:t>
      </w:r>
    </w:p>
    <w:p>
      <w:pPr>
        <w:spacing w:line="480" w:lineRule="auto"/>
        <w:rPr>
          <w:color w:val="auto"/>
        </w:rPr>
        <w:sectPr>
          <w:headerReference r:id="rId10"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pPr>
        <w:spacing w:line="500" w:lineRule="exact"/>
        <w:rPr>
          <w:bCs/>
          <w:color w:val="auto"/>
          <w:sz w:val="24"/>
        </w:rPr>
      </w:pPr>
    </w:p>
    <w:p>
      <w:pPr>
        <w:spacing w:line="500" w:lineRule="exact"/>
        <w:rPr>
          <w:bCs/>
          <w:color w:val="auto"/>
          <w:sz w:val="24"/>
        </w:rPr>
      </w:pPr>
      <w:r>
        <w:rPr>
          <w:rFonts w:hint="eastAsia"/>
          <w:bCs/>
          <w:color w:val="auto"/>
          <w:sz w:val="24"/>
        </w:rPr>
        <w:t>受</w:t>
      </w:r>
      <w:r>
        <w:rPr>
          <w:bCs/>
          <w:color w:val="auto"/>
          <w:sz w:val="24"/>
        </w:rPr>
        <w:t>邀请供应商：</w:t>
      </w:r>
    </w:p>
    <w:p>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bCs/>
          <w:color w:val="auto"/>
          <w:sz w:val="24"/>
          <w:szCs w:val="24"/>
        </w:rPr>
        <w:t>湖北省博物馆</w:t>
      </w:r>
      <w:r>
        <w:rPr>
          <w:rFonts w:hint="eastAsia"/>
          <w:bCs/>
          <w:color w:val="auto"/>
          <w:sz w:val="24"/>
          <w:szCs w:val="24"/>
          <w:lang w:val="en-US" w:eastAsia="zh-CN"/>
        </w:rPr>
        <w:t>2023年度</w:t>
      </w:r>
      <w:r>
        <w:rPr>
          <w:rFonts w:hint="eastAsia"/>
          <w:bCs/>
          <w:color w:val="auto"/>
          <w:sz w:val="24"/>
          <w:szCs w:val="24"/>
          <w:lang w:eastAsia="zh-CN"/>
        </w:rPr>
        <w:t>有害生物防治服务</w:t>
      </w:r>
      <w:r>
        <w:rPr>
          <w:rFonts w:hint="eastAsia"/>
          <w:bCs/>
          <w:color w:val="auto"/>
          <w:sz w:val="24"/>
          <w:szCs w:val="24"/>
        </w:rPr>
        <w:t>项目</w:t>
      </w:r>
      <w:r>
        <w:rPr>
          <w:rFonts w:hint="eastAsia"/>
          <w:color w:val="auto"/>
          <w:sz w:val="24"/>
        </w:rPr>
        <w:t>）</w:t>
      </w:r>
      <w:r>
        <w:rPr>
          <w:bCs/>
          <w:color w:val="auto"/>
          <w:sz w:val="24"/>
        </w:rPr>
        <w:t>的谈判供应商，现邀请你公司参加谈判。</w:t>
      </w:r>
    </w:p>
    <w:p>
      <w:pPr>
        <w:spacing w:line="440" w:lineRule="exact"/>
        <w:ind w:firstLine="480" w:firstLineChars="200"/>
        <w:rPr>
          <w:bCs/>
          <w:color w:val="auto"/>
          <w:sz w:val="24"/>
        </w:rPr>
      </w:pPr>
      <w:r>
        <w:rPr>
          <w:bCs/>
          <w:color w:val="auto"/>
          <w:sz w:val="24"/>
        </w:rPr>
        <w:t>一、项目编号：</w:t>
      </w:r>
    </w:p>
    <w:p>
      <w:pPr>
        <w:spacing w:line="480" w:lineRule="auto"/>
        <w:ind w:firstLine="480" w:firstLineChars="200"/>
        <w:rPr>
          <w:bCs/>
          <w:color w:val="auto"/>
          <w:sz w:val="24"/>
        </w:rPr>
      </w:pPr>
      <w:r>
        <w:rPr>
          <w:bCs/>
          <w:color w:val="auto"/>
          <w:sz w:val="24"/>
        </w:rPr>
        <w:t>二、项目名称：</w:t>
      </w:r>
      <w:r>
        <w:rPr>
          <w:rFonts w:hint="eastAsia"/>
          <w:bCs/>
          <w:color w:val="auto"/>
          <w:sz w:val="24"/>
          <w:szCs w:val="24"/>
        </w:rPr>
        <w:t>湖北省博物馆</w:t>
      </w:r>
      <w:r>
        <w:rPr>
          <w:rFonts w:hint="eastAsia"/>
          <w:bCs/>
          <w:color w:val="auto"/>
          <w:sz w:val="24"/>
          <w:szCs w:val="24"/>
          <w:lang w:val="en-US" w:eastAsia="zh-CN"/>
        </w:rPr>
        <w:t>2023年度</w:t>
      </w:r>
      <w:r>
        <w:rPr>
          <w:rFonts w:hint="eastAsia"/>
          <w:bCs/>
          <w:color w:val="auto"/>
          <w:sz w:val="24"/>
          <w:szCs w:val="24"/>
          <w:lang w:eastAsia="zh-CN"/>
        </w:rPr>
        <w:t>有害生物防治服务</w:t>
      </w:r>
      <w:r>
        <w:rPr>
          <w:rFonts w:hint="eastAsia"/>
          <w:bCs/>
          <w:color w:val="auto"/>
          <w:sz w:val="24"/>
          <w:szCs w:val="24"/>
        </w:rPr>
        <w:t>项目</w:t>
      </w:r>
    </w:p>
    <w:p>
      <w:pPr>
        <w:spacing w:line="440" w:lineRule="exact"/>
        <w:ind w:firstLine="480" w:firstLineChars="200"/>
        <w:rPr>
          <w:bCs/>
          <w:color w:val="auto"/>
          <w:sz w:val="24"/>
        </w:rPr>
      </w:pPr>
      <w:r>
        <w:rPr>
          <w:bCs/>
          <w:color w:val="auto"/>
          <w:sz w:val="24"/>
        </w:rPr>
        <w:t>三、谈判内容：</w:t>
      </w:r>
    </w:p>
    <w:tbl>
      <w:tblPr>
        <w:tblStyle w:val="32"/>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5124"/>
        <w:gridCol w:w="2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服务名称</w:t>
            </w:r>
          </w:p>
        </w:tc>
        <w:tc>
          <w:tcPr>
            <w:tcW w:w="2246"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数  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6"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1</w:t>
            </w:r>
          </w:p>
        </w:tc>
        <w:tc>
          <w:tcPr>
            <w:tcW w:w="5124" w:type="dxa"/>
            <w:tcBorders>
              <w:top w:val="single" w:color="000000" w:sz="4" w:space="0"/>
              <w:left w:val="nil"/>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除四害</w:t>
            </w:r>
          </w:p>
        </w:tc>
        <w:tc>
          <w:tcPr>
            <w:tcW w:w="2246" w:type="dxa"/>
            <w:tcBorders>
              <w:top w:val="single" w:color="000000" w:sz="4" w:space="0"/>
              <w:left w:val="nil"/>
              <w:right w:val="single" w:color="000000" w:sz="4" w:space="0"/>
            </w:tcBorders>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8"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2</w:t>
            </w:r>
          </w:p>
        </w:tc>
        <w:tc>
          <w:tcPr>
            <w:tcW w:w="5124" w:type="dxa"/>
            <w:tcBorders>
              <w:top w:val="single" w:color="000000" w:sz="4" w:space="0"/>
              <w:left w:val="nil"/>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白蚁防治</w:t>
            </w:r>
          </w:p>
        </w:tc>
        <w:tc>
          <w:tcPr>
            <w:tcW w:w="2246" w:type="dxa"/>
            <w:tcBorders>
              <w:top w:val="single" w:color="000000" w:sz="4" w:space="0"/>
              <w:left w:val="nil"/>
              <w:right w:val="single" w:color="000000" w:sz="4" w:space="0"/>
            </w:tcBorders>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8"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3</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抗疫消杀</w:t>
            </w:r>
          </w:p>
        </w:tc>
        <w:tc>
          <w:tcPr>
            <w:tcW w:w="2246" w:type="dxa"/>
            <w:tcBorders>
              <w:top w:val="single" w:color="000000" w:sz="4" w:space="0"/>
              <w:left w:val="nil"/>
              <w:bottom w:val="single" w:color="000000" w:sz="4" w:space="0"/>
              <w:right w:val="single" w:color="000000" w:sz="4" w:space="0"/>
            </w:tcBorders>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一</w:t>
            </w:r>
          </w:p>
        </w:tc>
      </w:tr>
    </w:tbl>
    <w:p>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w:t>
      </w:r>
      <w:r>
        <w:rPr>
          <w:rFonts w:hint="eastAsia"/>
          <w:bCs/>
          <w:color w:val="auto"/>
          <w:sz w:val="24"/>
          <w:u w:val="single"/>
          <w:lang w:val="en-US" w:eastAsia="zh-CN"/>
        </w:rPr>
        <w:t>195691.8</w:t>
      </w:r>
      <w:r>
        <w:rPr>
          <w:rFonts w:hint="eastAsia"/>
          <w:bCs/>
          <w:color w:val="auto"/>
          <w:sz w:val="24"/>
          <w:u w:val="single"/>
        </w:rPr>
        <w:t xml:space="preserve">  </w:t>
      </w:r>
      <w:r>
        <w:rPr>
          <w:rFonts w:hint="eastAsia"/>
          <w:bCs/>
          <w:color w:val="auto"/>
          <w:sz w:val="24"/>
        </w:rPr>
        <w:t>元</w:t>
      </w:r>
    </w:p>
    <w:p>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pPr>
        <w:spacing w:line="440" w:lineRule="exact"/>
        <w:ind w:firstLine="480"/>
        <w:outlineLvl w:val="0"/>
        <w:rPr>
          <w:color w:val="auto"/>
          <w:sz w:val="24"/>
        </w:rPr>
      </w:pPr>
      <w:r>
        <w:rPr>
          <w:rFonts w:hint="eastAsia" w:cs="宋体"/>
          <w:color w:val="auto"/>
          <w:sz w:val="24"/>
        </w:rPr>
        <w:t>六、竞争性谈判文件的获得</w:t>
      </w:r>
    </w:p>
    <w:p>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w:t>
      </w:r>
      <w:r>
        <w:rPr>
          <w:rFonts w:hint="eastAsia"/>
          <w:color w:val="auto"/>
          <w:sz w:val="24"/>
          <w:lang w:val="en-US" w:eastAsia="zh-CN"/>
        </w:rPr>
        <w:t>3</w:t>
      </w:r>
      <w:r>
        <w:rPr>
          <w:rFonts w:hint="eastAsia" w:cs="宋体"/>
          <w:color w:val="auto"/>
          <w:sz w:val="24"/>
        </w:rPr>
        <w:t>年</w:t>
      </w:r>
      <w:r>
        <w:rPr>
          <w:rFonts w:hint="eastAsia"/>
          <w:color w:val="auto"/>
          <w:sz w:val="24"/>
          <w:lang w:val="en-US" w:eastAsia="zh-CN"/>
        </w:rPr>
        <w:t>7</w:t>
      </w:r>
      <w:r>
        <w:rPr>
          <w:rFonts w:hint="eastAsia" w:cs="宋体"/>
          <w:color w:val="auto"/>
          <w:sz w:val="24"/>
        </w:rPr>
        <w:t>月</w:t>
      </w:r>
      <w:r>
        <w:rPr>
          <w:rFonts w:hint="eastAsia"/>
          <w:color w:val="auto"/>
          <w:sz w:val="24"/>
          <w:lang w:val="en-US" w:eastAsia="zh-CN"/>
        </w:rPr>
        <w:t>14</w:t>
      </w:r>
      <w:r>
        <w:rPr>
          <w:rFonts w:hint="eastAsia" w:cs="宋体"/>
          <w:color w:val="auto"/>
          <w:sz w:val="24"/>
        </w:rPr>
        <w:t>日（工作时间）。</w:t>
      </w:r>
    </w:p>
    <w:p>
      <w:pPr>
        <w:spacing w:line="440" w:lineRule="exact"/>
        <w:ind w:firstLine="480"/>
        <w:rPr>
          <w:color w:val="auto"/>
          <w:sz w:val="24"/>
        </w:rPr>
      </w:pPr>
      <w:r>
        <w:rPr>
          <w:rFonts w:hint="eastAsia" w:cs="宋体"/>
          <w:color w:val="auto"/>
          <w:sz w:val="24"/>
        </w:rPr>
        <w:t>（二）领取方式：湖北省博物馆官网上获取。</w:t>
      </w:r>
    </w:p>
    <w:p>
      <w:pPr>
        <w:spacing w:line="440" w:lineRule="exact"/>
        <w:ind w:firstLine="480"/>
        <w:rPr>
          <w:color w:val="auto"/>
          <w:sz w:val="24"/>
        </w:rPr>
      </w:pPr>
      <w:r>
        <w:rPr>
          <w:rFonts w:hint="eastAsia" w:cs="宋体"/>
          <w:color w:val="auto"/>
          <w:sz w:val="24"/>
        </w:rPr>
        <w:t>七、递交响应文件截止时间和谈判时间：详见《供应商须知前附表》。</w:t>
      </w:r>
    </w:p>
    <w:p>
      <w:pPr>
        <w:spacing w:line="440" w:lineRule="exact"/>
        <w:ind w:firstLine="480"/>
        <w:rPr>
          <w:color w:val="auto"/>
          <w:sz w:val="24"/>
        </w:rPr>
      </w:pPr>
      <w:r>
        <w:rPr>
          <w:rFonts w:hint="eastAsia" w:cs="宋体"/>
          <w:color w:val="auto"/>
          <w:sz w:val="24"/>
        </w:rPr>
        <w:t>八、响应文件送达地点：详见《供应商须知前附表》。</w:t>
      </w:r>
    </w:p>
    <w:p>
      <w:pPr>
        <w:spacing w:line="440" w:lineRule="exact"/>
        <w:ind w:firstLine="480" w:firstLineChars="200"/>
        <w:rPr>
          <w:color w:val="auto"/>
          <w:sz w:val="24"/>
        </w:rPr>
      </w:pPr>
      <w:r>
        <w:rPr>
          <w:rFonts w:hint="eastAsia" w:cs="宋体"/>
          <w:color w:val="auto"/>
          <w:sz w:val="24"/>
        </w:rPr>
        <w:t>九、联系方式：详见《供应商须知前附表》。</w:t>
      </w:r>
    </w:p>
    <w:p>
      <w:pPr>
        <w:spacing w:line="440" w:lineRule="exact"/>
        <w:jc w:val="right"/>
        <w:rPr>
          <w:color w:val="auto"/>
          <w:sz w:val="24"/>
        </w:rPr>
      </w:pPr>
    </w:p>
    <w:p>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pPr>
        <w:spacing w:line="440" w:lineRule="exact"/>
        <w:ind w:firstLine="6240" w:firstLineChars="2600"/>
        <w:outlineLvl w:val="0"/>
        <w:rPr>
          <w:color w:val="auto"/>
          <w:sz w:val="24"/>
        </w:rPr>
      </w:pPr>
      <w:r>
        <w:rPr>
          <w:color w:val="auto"/>
          <w:sz w:val="24"/>
        </w:rPr>
        <w:t>20</w:t>
      </w:r>
      <w:r>
        <w:rPr>
          <w:rFonts w:hint="eastAsia"/>
          <w:color w:val="auto"/>
          <w:sz w:val="24"/>
        </w:rPr>
        <w:t>2</w:t>
      </w:r>
      <w:r>
        <w:rPr>
          <w:rFonts w:hint="eastAsia"/>
          <w:color w:val="auto"/>
          <w:sz w:val="24"/>
          <w:lang w:val="en-US" w:eastAsia="zh-CN"/>
        </w:rPr>
        <w:t>3</w:t>
      </w:r>
      <w:r>
        <w:rPr>
          <w:color w:val="auto"/>
          <w:sz w:val="24"/>
        </w:rPr>
        <w:t>年</w:t>
      </w:r>
      <w:r>
        <w:rPr>
          <w:rFonts w:hint="eastAsia"/>
          <w:color w:val="auto"/>
          <w:sz w:val="24"/>
          <w:lang w:val="en-US" w:eastAsia="zh-CN"/>
        </w:rPr>
        <w:t>7</w:t>
      </w:r>
      <w:r>
        <w:rPr>
          <w:color w:val="auto"/>
          <w:sz w:val="24"/>
        </w:rPr>
        <w:t>月</w:t>
      </w:r>
      <w:r>
        <w:rPr>
          <w:rFonts w:hint="eastAsia"/>
          <w:color w:val="auto"/>
          <w:sz w:val="24"/>
          <w:lang w:val="en-US" w:eastAsia="zh-CN"/>
        </w:rPr>
        <w:t>12</w:t>
      </w:r>
      <w:r>
        <w:rPr>
          <w:color w:val="auto"/>
          <w:sz w:val="24"/>
        </w:rPr>
        <w:t>日</w:t>
      </w:r>
    </w:p>
    <w:p>
      <w:pPr>
        <w:widowControl/>
        <w:jc w:val="left"/>
        <w:rPr>
          <w:color w:val="auto"/>
          <w:sz w:val="24"/>
        </w:rPr>
      </w:pPr>
      <w:r>
        <w:rPr>
          <w:color w:val="auto"/>
          <w:sz w:val="24"/>
        </w:rPr>
        <w:br w:type="page"/>
      </w:r>
    </w:p>
    <w:p>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pPr>
        <w:jc w:val="center"/>
        <w:rPr>
          <w:color w:val="auto"/>
          <w:szCs w:val="28"/>
        </w:rPr>
      </w:pPr>
    </w:p>
    <w:p>
      <w:pPr>
        <w:jc w:val="center"/>
        <w:rPr>
          <w:color w:val="auto"/>
          <w:szCs w:val="28"/>
        </w:rPr>
      </w:pPr>
      <w:r>
        <w:rPr>
          <w:rFonts w:hint="eastAsia"/>
          <w:color w:val="auto"/>
          <w:szCs w:val="28"/>
        </w:rPr>
        <w:t>一、供应商</w:t>
      </w:r>
      <w:r>
        <w:rPr>
          <w:color w:val="auto"/>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429" w:type="dxa"/>
            <w:vAlign w:val="center"/>
          </w:tcPr>
          <w:p>
            <w:pPr>
              <w:jc w:val="center"/>
              <w:rPr>
                <w:color w:val="auto"/>
                <w:kern w:val="0"/>
                <w:sz w:val="24"/>
              </w:rPr>
            </w:pPr>
            <w:r>
              <w:rPr>
                <w:rFonts w:hint="eastAsia" w:cs="宋体"/>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rPr>
                <w:bCs/>
                <w:color w:val="auto"/>
                <w:kern w:val="0"/>
                <w:sz w:val="24"/>
              </w:rPr>
            </w:pPr>
            <w:r>
              <w:rPr>
                <w:rFonts w:hint="eastAsia"/>
                <w:bCs/>
                <w:color w:val="auto"/>
                <w:kern w:val="0"/>
                <w:sz w:val="24"/>
                <w:szCs w:val="24"/>
              </w:rPr>
              <w:t>湖北省博物馆</w:t>
            </w:r>
            <w:r>
              <w:rPr>
                <w:rFonts w:hint="eastAsia"/>
                <w:bCs/>
                <w:color w:val="auto"/>
                <w:kern w:val="0"/>
                <w:sz w:val="24"/>
                <w:szCs w:val="24"/>
                <w:lang w:val="en-US" w:eastAsia="zh-CN"/>
              </w:rPr>
              <w:t>2023年度</w:t>
            </w:r>
            <w:r>
              <w:rPr>
                <w:rFonts w:hint="eastAsia"/>
                <w:bCs/>
                <w:color w:val="auto"/>
                <w:kern w:val="0"/>
                <w:sz w:val="24"/>
                <w:szCs w:val="24"/>
                <w:lang w:eastAsia="zh-CN"/>
              </w:rPr>
              <w:t>有害生物防治服务</w:t>
            </w:r>
            <w:r>
              <w:rPr>
                <w:rFonts w:hint="eastAsia"/>
                <w:bCs/>
                <w:color w:val="auto"/>
                <w:kern w:val="0"/>
                <w:sz w:val="24"/>
                <w:szCs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spacing w:line="440" w:lineRule="exact"/>
              <w:ind w:firstLine="480" w:firstLineChars="200"/>
              <w:rPr>
                <w:bCs/>
                <w:color w:val="auto"/>
                <w:kern w:val="0"/>
                <w:sz w:val="24"/>
              </w:rPr>
            </w:pPr>
            <w:r>
              <w:rPr>
                <w:rFonts w:hint="eastAsia"/>
                <w:bCs/>
                <w:color w:val="auto"/>
                <w:sz w:val="24"/>
                <w:szCs w:val="24"/>
                <w:lang/>
              </w:rPr>
              <w:t>湖北省博物馆</w:t>
            </w:r>
            <w:r>
              <w:rPr>
                <w:rFonts w:hint="eastAsia" w:ascii="宋体" w:hAnsi="宋体" w:cs="宋体"/>
                <w:color w:val="auto"/>
                <w:sz w:val="24"/>
                <w:szCs w:val="24"/>
                <w:lang w:val="en-US" w:eastAsia="zh-CN"/>
              </w:rPr>
              <w:t>场馆及公共区域：综合馆、编钟馆、楚文化馆、馆区内公共区域及设备楼（74305.23平米）和三中心、文展大楼（68419.66平米）武警营区（1750平米）防疫消杀服务、防虫灭鼠、环境治理防治、有害生物防治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color w:val="auto"/>
                <w:kern w:val="0"/>
                <w:sz w:val="24"/>
              </w:rPr>
            </w:pPr>
            <w:r>
              <w:rPr>
                <w:rFonts w:hint="eastAsia" w:cs="宋体"/>
                <w:color w:val="auto"/>
                <w:kern w:val="0"/>
                <w:sz w:val="24"/>
                <w:lang w:val="en-US" w:eastAsia="zh-CN"/>
              </w:rPr>
              <w:t>19.56918</w:t>
            </w:r>
            <w:r>
              <w:rPr>
                <w:rFonts w:hint="eastAsia" w:cs="宋体"/>
                <w:color w:val="auto"/>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cs="宋体"/>
                <w:color w:val="auto"/>
                <w:kern w:val="0"/>
                <w:sz w:val="24"/>
              </w:rPr>
            </w:pPr>
            <w:r>
              <w:rPr>
                <w:rFonts w:hint="eastAsia" w:cs="宋体"/>
                <w:color w:val="auto"/>
                <w:kern w:val="0"/>
                <w:sz w:val="24"/>
              </w:rPr>
              <w:t>名称：湖北省博物馆</w:t>
            </w:r>
          </w:p>
          <w:p>
            <w:pPr>
              <w:rPr>
                <w:color w:val="auto"/>
                <w:kern w:val="0"/>
                <w:sz w:val="24"/>
              </w:rPr>
            </w:pPr>
            <w:r>
              <w:rPr>
                <w:rFonts w:hint="eastAsia" w:cs="宋体"/>
                <w:color w:val="auto"/>
                <w:kern w:val="0"/>
                <w:sz w:val="24"/>
              </w:rPr>
              <w:t>联系人：</w:t>
            </w:r>
            <w:r>
              <w:rPr>
                <w:rFonts w:hint="eastAsia" w:cs="宋体"/>
                <w:color w:val="auto"/>
                <w:kern w:val="0"/>
                <w:sz w:val="24"/>
                <w:lang w:eastAsia="zh-CN"/>
              </w:rPr>
              <w:t>方</w:t>
            </w:r>
            <w:r>
              <w:rPr>
                <w:rFonts w:hint="eastAsia" w:cs="宋体"/>
                <w:color w:val="auto"/>
                <w:kern w:val="0"/>
                <w:sz w:val="24"/>
                <w:lang w:val="en-US" w:eastAsia="zh-CN"/>
              </w:rPr>
              <w:t xml:space="preserve"> </w:t>
            </w:r>
            <w:r>
              <w:rPr>
                <w:rFonts w:hint="eastAsia" w:cs="宋体"/>
                <w:color w:val="auto"/>
                <w:kern w:val="0"/>
                <w:sz w:val="24"/>
                <w:lang w:eastAsia="zh-CN"/>
              </w:rPr>
              <w:t>敏</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pPr>
              <w:rPr>
                <w:rFonts w:hint="default" w:eastAsia="宋体"/>
                <w:color w:val="auto"/>
                <w:kern w:val="0"/>
                <w:sz w:val="24"/>
                <w:lang w:val="en-US" w:eastAsia="zh-CN"/>
              </w:rPr>
            </w:pPr>
            <w:r>
              <w:rPr>
                <w:rFonts w:hint="eastAsia" w:cs="宋体"/>
                <w:color w:val="auto"/>
                <w:kern w:val="0"/>
                <w:sz w:val="24"/>
              </w:rPr>
              <w:t>联系方式：</w:t>
            </w:r>
            <w:r>
              <w:rPr>
                <w:rFonts w:hint="eastAsia" w:cs="宋体"/>
                <w:color w:val="auto"/>
                <w:kern w:val="0"/>
                <w:sz w:val="24"/>
                <w:lang w:val="en-US" w:eastAsia="zh-CN"/>
              </w:rPr>
              <w:t>18986255037</w:t>
            </w:r>
          </w:p>
          <w:p>
            <w:pPr>
              <w:rPr>
                <w:strike/>
                <w:color w:val="auto"/>
                <w:kern w:val="0"/>
                <w:sz w:val="24"/>
              </w:rPr>
            </w:pPr>
            <w:r>
              <w:rPr>
                <w:rFonts w:hint="eastAsia" w:cs="宋体"/>
                <w:color w:val="auto"/>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spacing w:line="240" w:lineRule="auto"/>
              <w:ind w:left="600" w:hanging="600" w:hangingChars="250"/>
              <w:jc w:val="left"/>
              <w:rPr>
                <w:color w:val="auto"/>
                <w:sz w:val="24"/>
                <w:szCs w:val="24"/>
              </w:rPr>
            </w:pPr>
            <w:r>
              <w:rPr>
                <w:rFonts w:hint="eastAsia"/>
                <w:color w:val="auto"/>
                <w:sz w:val="24"/>
                <w:szCs w:val="24"/>
              </w:rPr>
              <w:t>（1应具备《中华人民共和国政府采购法》第二十二条第一款规定的条件。</w:t>
            </w:r>
          </w:p>
          <w:p>
            <w:pPr>
              <w:spacing w:line="240" w:lineRule="auto"/>
              <w:ind w:left="600" w:hanging="600" w:hangingChars="250"/>
              <w:jc w:val="left"/>
              <w:rPr>
                <w:rFonts w:hint="eastAsia"/>
                <w:color w:val="auto"/>
                <w:sz w:val="24"/>
                <w:szCs w:val="24"/>
              </w:rPr>
            </w:pPr>
            <w:r>
              <w:rPr>
                <w:rFonts w:hint="eastAsia"/>
                <w:color w:val="auto"/>
                <w:sz w:val="24"/>
                <w:szCs w:val="24"/>
              </w:rPr>
              <w:t>（2未被列入“信用中国”网站（www.creditchina.gov.cn）失信被执行人、重大税收违法案件当事人名单、政府采购严重违法失信行为记录名单。</w:t>
            </w:r>
          </w:p>
          <w:p>
            <w:pPr>
              <w:spacing w:line="240" w:lineRule="auto"/>
              <w:ind w:left="480" w:hanging="480" w:hangingChars="200"/>
              <w:jc w:val="left"/>
              <w:rPr>
                <w:color w:val="auto"/>
              </w:rPr>
            </w:pPr>
            <w:r>
              <w:rPr>
                <w:rFonts w:hint="eastAsia" w:ascii="宋体" w:hAnsi="宋体"/>
                <w:color w:val="auto"/>
                <w:sz w:val="24"/>
                <w:szCs w:val="24"/>
                <w:highlight w:val="none"/>
              </w:rPr>
              <w:t>（3）</w:t>
            </w:r>
            <w:r>
              <w:rPr>
                <w:rFonts w:hint="eastAsia"/>
                <w:color w:val="auto"/>
                <w:sz w:val="24"/>
                <w:szCs w:val="24"/>
                <w:highlight w:val="none"/>
              </w:rPr>
              <w:t>供应商应具备有效期内</w:t>
            </w:r>
            <w:r>
              <w:rPr>
                <w:color w:val="auto"/>
                <w:sz w:val="24"/>
                <w:szCs w:val="24"/>
                <w:highlight w:val="none"/>
              </w:rPr>
              <w:t>的</w:t>
            </w:r>
            <w:r>
              <w:rPr>
                <w:rFonts w:hint="eastAsia"/>
                <w:color w:val="auto"/>
                <w:sz w:val="24"/>
                <w:szCs w:val="24"/>
                <w:highlight w:val="none"/>
              </w:rPr>
              <w:t>有害生物防治服务机构资质</w:t>
            </w:r>
            <w:r>
              <w:rPr>
                <w:rFonts w:hint="eastAsia"/>
                <w:color w:val="auto"/>
                <w:sz w:val="24"/>
                <w:szCs w:val="24"/>
                <w:highlight w:val="none"/>
                <w:lang w:val="en-US" w:eastAsia="zh-CN"/>
              </w:rPr>
              <w:t>A</w:t>
            </w:r>
            <w:r>
              <w:rPr>
                <w:rFonts w:hint="eastAsia"/>
                <w:color w:val="auto"/>
                <w:sz w:val="24"/>
                <w:szCs w:val="24"/>
                <w:highlight w:val="none"/>
              </w:rPr>
              <w:t>级</w:t>
            </w:r>
            <w:r>
              <w:rPr>
                <w:rFonts w:hint="eastAsia"/>
                <w:color w:val="auto"/>
                <w:sz w:val="24"/>
                <w:szCs w:val="24"/>
                <w:highlight w:val="none"/>
                <w:lang w:eastAsia="zh-CN"/>
              </w:rPr>
              <w:t>以上（含</w:t>
            </w:r>
            <w:r>
              <w:rPr>
                <w:rFonts w:hint="eastAsia"/>
                <w:color w:val="auto"/>
                <w:sz w:val="24"/>
                <w:szCs w:val="24"/>
                <w:highlight w:val="none"/>
                <w:lang w:val="en-US" w:eastAsia="zh-CN"/>
              </w:rPr>
              <w:t>A级</w:t>
            </w:r>
            <w:r>
              <w:rPr>
                <w:rFonts w:hint="eastAsia"/>
                <w:color w:val="auto"/>
                <w:sz w:val="24"/>
                <w:szCs w:val="24"/>
                <w:highlight w:val="none"/>
                <w:lang w:eastAsia="zh-CN"/>
              </w:rPr>
              <w:t>）</w:t>
            </w:r>
            <w:r>
              <w:rPr>
                <w:rFonts w:hint="eastAsia"/>
                <w:color w:val="auto"/>
                <w:sz w:val="24"/>
                <w:szCs w:val="24"/>
                <w:highlight w:val="none"/>
                <w:lang w:val="en-US" w:eastAsia="zh-CN"/>
              </w:rPr>
              <w:t>或甲级</w:t>
            </w:r>
            <w:r>
              <w:rPr>
                <w:rFonts w:hint="eastAsia"/>
                <w:color w:val="auto"/>
                <w:sz w:val="24"/>
                <w:szCs w:val="24"/>
                <w:highlight w:val="none"/>
              </w:rPr>
              <w:t>证书（提供证书复印件）</w:t>
            </w:r>
            <w:r>
              <w:rPr>
                <w:rFonts w:hint="eastAsia"/>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429" w:type="dxa"/>
            <w:vAlign w:val="center"/>
          </w:tcPr>
          <w:p>
            <w:pPr>
              <w:rPr>
                <w:rFonts w:hint="eastAsia"/>
                <w:color w:val="auto"/>
                <w:kern w:val="0"/>
                <w:sz w:val="24"/>
                <w:szCs w:val="24"/>
                <w:lang w:eastAsia="zh-CN"/>
              </w:rPr>
            </w:pPr>
            <w:r>
              <w:rPr>
                <w:rFonts w:hint="eastAsia"/>
                <w:color w:val="auto"/>
                <w:kern w:val="0"/>
                <w:sz w:val="24"/>
                <w:szCs w:val="24"/>
                <w:lang w:eastAsia="zh-CN"/>
              </w:rPr>
              <w:t>营业执照经营范围应包含：有害生物防治和消毒或病媒生物防治服务或城市害虫灭杀，白蚁防治或白蚁防治服务；</w:t>
            </w:r>
          </w:p>
          <w:p>
            <w:pPr>
              <w:spacing w:line="240" w:lineRule="auto"/>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提供以下</w:t>
            </w:r>
            <w:r>
              <w:rPr>
                <w:rFonts w:hint="eastAsia" w:ascii="宋体" w:hAnsi="宋体" w:cs="宋体"/>
                <w:b w:val="0"/>
                <w:bCs w:val="0"/>
                <w:color w:val="auto"/>
                <w:kern w:val="0"/>
                <w:sz w:val="24"/>
                <w:szCs w:val="24"/>
                <w:highlight w:val="none"/>
                <w:lang w:val="en-US" w:eastAsia="zh-CN" w:bidi="ar-SA"/>
              </w:rPr>
              <w:t>消</w:t>
            </w:r>
            <w:r>
              <w:rPr>
                <w:rFonts w:hint="eastAsia" w:ascii="宋体" w:hAnsi="宋体" w:eastAsia="宋体" w:cs="宋体"/>
                <w:b w:val="0"/>
                <w:bCs w:val="0"/>
                <w:color w:val="auto"/>
                <w:kern w:val="0"/>
                <w:sz w:val="24"/>
                <w:szCs w:val="24"/>
                <w:highlight w:val="none"/>
                <w:lang w:val="en-US" w:eastAsia="zh-CN" w:bidi="ar-SA"/>
              </w:rPr>
              <w:t>毒液专业检测报告</w:t>
            </w:r>
            <w:r>
              <w:rPr>
                <w:rFonts w:hint="eastAsia" w:ascii="宋体" w:hAnsi="宋体" w:cs="宋体"/>
                <w:b w:val="0"/>
                <w:bCs w:val="0"/>
                <w:color w:val="auto"/>
                <w:kern w:val="0"/>
                <w:sz w:val="24"/>
                <w:szCs w:val="24"/>
                <w:highlight w:val="none"/>
                <w:lang w:val="en-US" w:eastAsia="zh-CN" w:bidi="ar-SA"/>
              </w:rPr>
              <w:t>（复印件）</w:t>
            </w:r>
            <w:r>
              <w:rPr>
                <w:rFonts w:hint="eastAsia" w:ascii="宋体" w:hAnsi="宋体" w:eastAsia="宋体" w:cs="宋体"/>
                <w:b w:val="0"/>
                <w:bCs w:val="0"/>
                <w:color w:val="auto"/>
                <w:kern w:val="0"/>
                <w:sz w:val="24"/>
                <w:szCs w:val="24"/>
                <w:highlight w:val="none"/>
                <w:lang w:val="en-US" w:eastAsia="zh-CN" w:bidi="ar-SA"/>
              </w:rPr>
              <w:t>：</w:t>
            </w:r>
          </w:p>
          <w:p>
            <w:pPr>
              <w:spacing w:line="240" w:lineRule="auto"/>
              <w:jc w:val="left"/>
              <w:rPr>
                <w:rFonts w:hint="default"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1）经国家认可的第三方检查机构出具的专业检测报告，且报告显示对新冠病毒的灭活率</w:t>
            </w:r>
            <w:r>
              <w:rPr>
                <w:rFonts w:hint="eastAsia" w:ascii="宋体" w:hAnsi="宋体" w:cs="宋体"/>
                <w:b w:val="0"/>
                <w:bCs w:val="0"/>
                <w:color w:val="auto"/>
                <w:kern w:val="0"/>
                <w:sz w:val="24"/>
                <w:szCs w:val="24"/>
                <w:highlight w:val="none"/>
                <w:lang w:val="en-US" w:eastAsia="zh-CN" w:bidi="ar-SA"/>
              </w:rPr>
              <w:t>对数值：&gt;4.00；</w:t>
            </w:r>
          </w:p>
          <w:p>
            <w:pPr>
              <w:spacing w:line="240" w:lineRule="auto"/>
              <w:jc w:val="left"/>
              <w:rPr>
                <w:rFonts w:hint="default"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2）经国家认可的第三方检查机构出具的专业检测报告，且报告显示对大肠杆菌、白色链珠菌、金色葡萄球菌、铜绿假单胞菌的杀灭对数值</w:t>
            </w:r>
            <w:r>
              <w:rPr>
                <w:rFonts w:hint="eastAsia" w:ascii="宋体" w:hAnsi="宋体" w:cs="宋体"/>
                <w:b w:val="0"/>
                <w:bCs w:val="0"/>
                <w:color w:val="auto"/>
                <w:kern w:val="0"/>
                <w:sz w:val="24"/>
                <w:szCs w:val="24"/>
                <w:highlight w:val="none"/>
                <w:lang w:val="en-US" w:eastAsia="zh-CN" w:bidi="ar-SA"/>
              </w:rPr>
              <w:t>：</w:t>
            </w:r>
            <w:r>
              <w:rPr>
                <w:rFonts w:hint="eastAsia" w:ascii="宋体" w:hAnsi="宋体" w:eastAsia="宋体" w:cs="宋体"/>
                <w:b w:val="0"/>
                <w:bCs w:val="0"/>
                <w:color w:val="auto"/>
                <w:kern w:val="0"/>
                <w:sz w:val="24"/>
                <w:szCs w:val="24"/>
                <w:highlight w:val="none"/>
                <w:lang w:val="en-US" w:eastAsia="zh-CN" w:bidi="ar-SA"/>
              </w:rPr>
              <w:t>&gt;</w:t>
            </w:r>
            <w:r>
              <w:rPr>
                <w:rFonts w:hint="eastAsia" w:ascii="宋体" w:hAnsi="宋体" w:cs="宋体"/>
                <w:b w:val="0"/>
                <w:bCs w:val="0"/>
                <w:color w:val="auto"/>
                <w:kern w:val="0"/>
                <w:sz w:val="24"/>
                <w:szCs w:val="24"/>
                <w:highlight w:val="none"/>
                <w:lang w:val="en-US" w:eastAsia="zh-CN" w:bidi="ar-SA"/>
              </w:rPr>
              <w:t>4</w:t>
            </w:r>
            <w:r>
              <w:rPr>
                <w:rFonts w:hint="eastAsia" w:ascii="宋体" w:hAnsi="宋体" w:eastAsia="宋体" w:cs="宋体"/>
                <w:b w:val="0"/>
                <w:bCs w:val="0"/>
                <w:color w:val="auto"/>
                <w:kern w:val="0"/>
                <w:sz w:val="24"/>
                <w:szCs w:val="24"/>
                <w:highlight w:val="none"/>
                <w:lang w:val="en-US" w:eastAsia="zh-CN" w:bidi="ar-SA"/>
              </w:rPr>
              <w:t>.00；</w:t>
            </w:r>
          </w:p>
          <w:p>
            <w:pPr>
              <w:spacing w:line="240" w:lineRule="auto"/>
              <w:jc w:val="left"/>
              <w:rPr>
                <w:rFonts w:hint="default"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3）经国家认可的第三方检测机构出具的经口毒性试验专业检测报告</w:t>
            </w:r>
            <w:r>
              <w:rPr>
                <w:rFonts w:hint="eastAsia" w:ascii="宋体" w:hAnsi="宋体" w:cs="宋体"/>
                <w:b w:val="0"/>
                <w:bCs w:val="0"/>
                <w:color w:val="auto"/>
                <w:kern w:val="0"/>
                <w:sz w:val="24"/>
                <w:szCs w:val="24"/>
                <w:highlight w:val="none"/>
                <w:lang w:val="en-US" w:eastAsia="zh-CN" w:bidi="ar-SA"/>
              </w:rPr>
              <w:t>；</w:t>
            </w:r>
          </w:p>
          <w:p>
            <w:pPr>
              <w:spacing w:line="240" w:lineRule="auto"/>
              <w:jc w:val="left"/>
              <w:rPr>
                <w:rFonts w:hint="default"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4）经国家认可的第三方检测机构出具的金属腐蚀性测定专业检测报告</w:t>
            </w:r>
            <w:r>
              <w:rPr>
                <w:rFonts w:hint="eastAsia" w:ascii="宋体" w:hAnsi="宋体" w:cs="宋体"/>
                <w:b w:val="0"/>
                <w:bCs w:val="0"/>
                <w:color w:val="auto"/>
                <w:kern w:val="0"/>
                <w:sz w:val="24"/>
                <w:szCs w:val="24"/>
                <w:highlight w:val="none"/>
                <w:lang w:val="en-US" w:eastAsia="zh-CN" w:bidi="ar-SA"/>
              </w:rPr>
              <w:t>；</w:t>
            </w:r>
          </w:p>
          <w:p>
            <w:pPr>
              <w:spacing w:line="240" w:lineRule="auto"/>
              <w:jc w:val="left"/>
              <w:rPr>
                <w:rFonts w:hint="eastAsia"/>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SA"/>
              </w:rPr>
              <w:t>以</w:t>
            </w:r>
            <w:r>
              <w:rPr>
                <w:rFonts w:hint="eastAsia" w:ascii="宋体" w:hAnsi="宋体" w:eastAsia="宋体" w:cs="宋体"/>
                <w:b w:val="0"/>
                <w:bCs w:val="0"/>
                <w:color w:val="auto"/>
                <w:kern w:val="0"/>
                <w:sz w:val="24"/>
                <w:szCs w:val="24"/>
                <w:highlight w:val="none"/>
                <w:lang w:val="en-US" w:eastAsia="zh-CN" w:bidi="ar-SA"/>
              </w:rPr>
              <w:t>上检测报告</w:t>
            </w:r>
            <w:r>
              <w:rPr>
                <w:rFonts w:hint="eastAsia" w:ascii="宋体" w:hAnsi="宋体" w:cs="宋体"/>
                <w:b w:val="0"/>
                <w:bCs w:val="0"/>
                <w:color w:val="auto"/>
                <w:kern w:val="0"/>
                <w:sz w:val="24"/>
                <w:szCs w:val="24"/>
                <w:highlight w:val="none"/>
                <w:lang w:val="en-US" w:eastAsia="zh-CN" w:bidi="ar-SA"/>
              </w:rPr>
              <w:t>（复印件）</w:t>
            </w:r>
            <w:r>
              <w:rPr>
                <w:rFonts w:hint="eastAsia" w:ascii="宋体" w:hAnsi="宋体" w:eastAsia="宋体" w:cs="宋体"/>
                <w:b w:val="0"/>
                <w:bCs w:val="0"/>
                <w:color w:val="auto"/>
                <w:kern w:val="0"/>
                <w:sz w:val="24"/>
                <w:szCs w:val="24"/>
                <w:highlight w:val="none"/>
                <w:lang w:val="en-US" w:eastAsia="zh-CN" w:bidi="ar-SA"/>
              </w:rPr>
              <w:t>需加盖产品生产企业原厂公章。</w:t>
            </w:r>
          </w:p>
          <w:p>
            <w:pPr>
              <w:rPr>
                <w:rFonts w:hint="eastAsia" w:eastAsia="宋体"/>
                <w:color w:val="auto"/>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429" w:type="dxa"/>
            <w:vAlign w:val="center"/>
          </w:tcPr>
          <w:p>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rPr>
            </w:pPr>
            <w:r>
              <w:rPr>
                <w:rFonts w:hint="eastAsia" w:cs="宋体"/>
                <w:color w:val="auto"/>
                <w:kern w:val="0"/>
                <w:sz w:val="24"/>
              </w:rPr>
              <w:t>报价方式</w:t>
            </w:r>
          </w:p>
        </w:tc>
        <w:tc>
          <w:tcPr>
            <w:tcW w:w="6429" w:type="dxa"/>
            <w:vAlign w:val="center"/>
          </w:tcPr>
          <w:p>
            <w:pPr>
              <w:rPr>
                <w:color w:val="auto"/>
                <w:kern w:val="0"/>
                <w:sz w:val="24"/>
              </w:rPr>
            </w:pPr>
            <w:r>
              <w:rPr>
                <w:rFonts w:hint="eastAsia" w:cs="宋体"/>
                <w:color w:val="auto"/>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3</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7</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18</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3</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7</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18</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eastAsia="仿宋_GB2312"/>
          <w:bCs/>
          <w:color w:val="auto"/>
          <w:sz w:val="24"/>
        </w:rPr>
      </w:pPr>
      <w:r>
        <w:rPr>
          <w:rFonts w:hint="eastAsia" w:cs="宋体"/>
          <w:color w:val="auto"/>
          <w:sz w:val="30"/>
          <w:szCs w:val="30"/>
        </w:rPr>
        <w:t>二、供应商须知</w:t>
      </w:r>
    </w:p>
    <w:p>
      <w:pPr>
        <w:spacing w:line="440" w:lineRule="exact"/>
        <w:rPr>
          <w:rFonts w:eastAsia="黑体"/>
          <w:bCs/>
          <w:color w:val="auto"/>
          <w:sz w:val="24"/>
        </w:rPr>
      </w:pPr>
    </w:p>
    <w:p>
      <w:pPr>
        <w:spacing w:line="440" w:lineRule="exact"/>
        <w:rPr>
          <w:rFonts w:eastAsia="黑体"/>
          <w:bCs/>
          <w:color w:val="auto"/>
          <w:sz w:val="24"/>
        </w:rPr>
      </w:pPr>
      <w:r>
        <w:rPr>
          <w:rFonts w:eastAsia="黑体"/>
          <w:bCs/>
          <w:color w:val="auto"/>
          <w:sz w:val="24"/>
        </w:rPr>
        <w:t>一、总　则</w:t>
      </w:r>
    </w:p>
    <w:p>
      <w:pPr>
        <w:spacing w:line="440" w:lineRule="exact"/>
        <w:ind w:left="420" w:hanging="420"/>
        <w:rPr>
          <w:bCs/>
          <w:color w:val="auto"/>
          <w:sz w:val="24"/>
        </w:rPr>
      </w:pPr>
      <w:r>
        <w:rPr>
          <w:rFonts w:hint="eastAsia"/>
          <w:bCs/>
          <w:color w:val="auto"/>
          <w:sz w:val="24"/>
        </w:rPr>
        <w:t>1.适用范围</w:t>
      </w:r>
    </w:p>
    <w:p>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pPr>
        <w:spacing w:line="440" w:lineRule="exact"/>
        <w:ind w:left="420" w:hanging="420"/>
        <w:rPr>
          <w:bCs/>
          <w:color w:val="auto"/>
          <w:sz w:val="24"/>
        </w:rPr>
      </w:pPr>
      <w:r>
        <w:rPr>
          <w:rFonts w:hint="eastAsia"/>
          <w:bCs/>
          <w:color w:val="auto"/>
          <w:sz w:val="24"/>
        </w:rPr>
        <w:t>2.定义</w:t>
      </w:r>
    </w:p>
    <w:p>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pPr>
        <w:spacing w:line="440" w:lineRule="exact"/>
        <w:ind w:left="420" w:hanging="420"/>
        <w:rPr>
          <w:bCs/>
          <w:color w:val="auto"/>
          <w:sz w:val="24"/>
        </w:rPr>
      </w:pPr>
      <w:r>
        <w:rPr>
          <w:rFonts w:hint="eastAsia"/>
          <w:bCs/>
          <w:color w:val="auto"/>
          <w:sz w:val="24"/>
        </w:rPr>
        <w:t>4. 费用</w:t>
      </w:r>
    </w:p>
    <w:p>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pPr>
        <w:spacing w:line="440" w:lineRule="exact"/>
        <w:ind w:left="420" w:hanging="420"/>
        <w:rPr>
          <w:color w:val="auto"/>
          <w:sz w:val="24"/>
        </w:rPr>
      </w:pPr>
      <w:r>
        <w:rPr>
          <w:color w:val="auto"/>
          <w:sz w:val="24"/>
        </w:rPr>
        <w:t xml:space="preserve">5. </w:t>
      </w:r>
      <w:r>
        <w:rPr>
          <w:rFonts w:hint="eastAsia" w:cs="宋体"/>
          <w:color w:val="auto"/>
          <w:sz w:val="24"/>
        </w:rPr>
        <w:t>保密</w:t>
      </w:r>
    </w:p>
    <w:p>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pPr>
        <w:spacing w:line="440" w:lineRule="exact"/>
        <w:ind w:left="420" w:hanging="420"/>
        <w:rPr>
          <w:color w:val="auto"/>
          <w:sz w:val="24"/>
        </w:rPr>
      </w:pPr>
      <w:r>
        <w:rPr>
          <w:color w:val="auto"/>
          <w:sz w:val="24"/>
        </w:rPr>
        <w:t xml:space="preserve">6. </w:t>
      </w:r>
      <w:r>
        <w:rPr>
          <w:rFonts w:hint="eastAsia" w:cs="宋体"/>
          <w:color w:val="auto"/>
          <w:sz w:val="24"/>
        </w:rPr>
        <w:t>计量单位</w:t>
      </w:r>
    </w:p>
    <w:p>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auto"/>
          <w:sz w:val="24"/>
        </w:rPr>
      </w:pPr>
    </w:p>
    <w:p>
      <w:pPr>
        <w:spacing w:line="440" w:lineRule="exact"/>
        <w:rPr>
          <w:rFonts w:eastAsia="黑体"/>
          <w:bCs/>
          <w:color w:val="auto"/>
          <w:sz w:val="24"/>
        </w:rPr>
      </w:pPr>
      <w:r>
        <w:rPr>
          <w:rFonts w:eastAsia="黑体"/>
          <w:bCs/>
          <w:color w:val="auto"/>
          <w:sz w:val="24"/>
        </w:rPr>
        <w:t>二、响应文件的编制</w:t>
      </w:r>
    </w:p>
    <w:p>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pPr>
        <w:spacing w:line="440" w:lineRule="exact"/>
        <w:ind w:left="363" w:leftChars="1" w:hanging="360" w:hangingChars="150"/>
        <w:rPr>
          <w:bCs/>
          <w:color w:val="auto"/>
          <w:sz w:val="24"/>
        </w:rPr>
      </w:pPr>
      <w:r>
        <w:rPr>
          <w:rFonts w:hint="eastAsia"/>
          <w:bCs/>
          <w:color w:val="auto"/>
          <w:sz w:val="24"/>
        </w:rPr>
        <w:t>8.5响应文件的组成</w:t>
      </w:r>
    </w:p>
    <w:p>
      <w:pPr>
        <w:spacing w:line="440" w:lineRule="exact"/>
        <w:ind w:left="364" w:leftChars="130"/>
        <w:rPr>
          <w:bCs/>
          <w:color w:val="auto"/>
          <w:sz w:val="24"/>
        </w:rPr>
      </w:pPr>
      <w:r>
        <w:rPr>
          <w:rFonts w:hint="eastAsia"/>
          <w:bCs/>
          <w:color w:val="auto"/>
          <w:sz w:val="24"/>
        </w:rPr>
        <w:t>不限于以下内容，如未提供，谈判小组有权拒绝其响应文件：</w:t>
      </w:r>
    </w:p>
    <w:p>
      <w:pPr>
        <w:spacing w:line="440" w:lineRule="exact"/>
        <w:ind w:left="363" w:leftChars="1" w:hanging="360" w:hangingChars="150"/>
        <w:rPr>
          <w:bCs/>
          <w:color w:val="auto"/>
          <w:sz w:val="24"/>
        </w:rPr>
      </w:pPr>
      <w:r>
        <w:rPr>
          <w:rFonts w:hint="eastAsia"/>
          <w:bCs/>
          <w:color w:val="auto"/>
          <w:sz w:val="24"/>
        </w:rPr>
        <w:t>1）谈判书(附件1)；</w:t>
      </w:r>
    </w:p>
    <w:p>
      <w:pPr>
        <w:spacing w:line="440" w:lineRule="exact"/>
        <w:ind w:left="363" w:leftChars="1" w:hanging="360" w:hangingChars="150"/>
        <w:rPr>
          <w:bCs/>
          <w:color w:val="auto"/>
          <w:sz w:val="24"/>
        </w:rPr>
      </w:pPr>
      <w:r>
        <w:rPr>
          <w:rFonts w:hint="eastAsia"/>
          <w:bCs/>
          <w:color w:val="auto"/>
          <w:sz w:val="24"/>
        </w:rPr>
        <w:t>2）报价组成情况表(附件2)；</w:t>
      </w:r>
    </w:p>
    <w:p>
      <w:pPr>
        <w:spacing w:line="440" w:lineRule="exact"/>
        <w:ind w:left="363" w:leftChars="1" w:hanging="360" w:hangingChars="150"/>
        <w:rPr>
          <w:bCs/>
          <w:color w:val="auto"/>
          <w:sz w:val="24"/>
        </w:rPr>
      </w:pPr>
      <w:r>
        <w:rPr>
          <w:rFonts w:hint="eastAsia"/>
          <w:bCs/>
          <w:color w:val="auto"/>
          <w:sz w:val="24"/>
        </w:rPr>
        <w:t>3）货物（服务）清单(附件3)；</w:t>
      </w:r>
    </w:p>
    <w:p>
      <w:pPr>
        <w:spacing w:line="440" w:lineRule="exact"/>
        <w:ind w:left="363" w:leftChars="1" w:hanging="360" w:hangingChars="150"/>
        <w:rPr>
          <w:bCs/>
          <w:color w:val="auto"/>
          <w:sz w:val="24"/>
        </w:rPr>
      </w:pPr>
      <w:r>
        <w:rPr>
          <w:rFonts w:hint="eastAsia"/>
          <w:bCs/>
          <w:color w:val="auto"/>
          <w:sz w:val="24"/>
        </w:rPr>
        <w:t>4）资格性符合性检查对照表(附件4)；</w:t>
      </w:r>
    </w:p>
    <w:p>
      <w:pPr>
        <w:spacing w:line="440" w:lineRule="exact"/>
        <w:ind w:left="363" w:leftChars="1" w:hanging="360" w:hangingChars="150"/>
        <w:rPr>
          <w:bCs/>
          <w:color w:val="auto"/>
          <w:sz w:val="24"/>
        </w:rPr>
      </w:pPr>
      <w:r>
        <w:rPr>
          <w:rFonts w:hint="eastAsia"/>
          <w:bCs/>
          <w:color w:val="auto"/>
          <w:sz w:val="24"/>
        </w:rPr>
        <w:t>5）技术响应、偏离情况说明表(附件5)；</w:t>
      </w:r>
    </w:p>
    <w:p>
      <w:pPr>
        <w:spacing w:line="440" w:lineRule="exact"/>
        <w:ind w:left="363" w:leftChars="1" w:hanging="360" w:hangingChars="150"/>
        <w:rPr>
          <w:bCs/>
          <w:color w:val="auto"/>
          <w:sz w:val="24"/>
        </w:rPr>
      </w:pPr>
      <w:r>
        <w:rPr>
          <w:rFonts w:hint="eastAsia"/>
          <w:bCs/>
          <w:color w:val="auto"/>
          <w:sz w:val="24"/>
        </w:rPr>
        <w:t>6）合同草案条款响应、偏离情况说明表(附件6)；</w:t>
      </w:r>
    </w:p>
    <w:p>
      <w:pPr>
        <w:spacing w:line="440" w:lineRule="exact"/>
        <w:ind w:left="363" w:leftChars="1" w:hanging="360" w:hangingChars="150"/>
        <w:rPr>
          <w:bCs/>
          <w:color w:val="auto"/>
          <w:sz w:val="24"/>
        </w:rPr>
      </w:pPr>
      <w:r>
        <w:rPr>
          <w:rFonts w:hint="eastAsia"/>
          <w:bCs/>
          <w:color w:val="auto"/>
          <w:sz w:val="24"/>
        </w:rPr>
        <w:t>7）法人（负责人）代表授权书(附件7)；</w:t>
      </w:r>
    </w:p>
    <w:p>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color w:val="auto"/>
          <w:sz w:val="24"/>
        </w:rPr>
      </w:pPr>
    </w:p>
    <w:p>
      <w:pPr>
        <w:spacing w:line="440" w:lineRule="exact"/>
        <w:outlineLvl w:val="0"/>
        <w:rPr>
          <w:rFonts w:eastAsia="黑体"/>
          <w:color w:val="auto"/>
          <w:sz w:val="24"/>
        </w:rPr>
      </w:pPr>
      <w:r>
        <w:rPr>
          <w:rFonts w:eastAsia="黑体"/>
          <w:color w:val="auto"/>
          <w:sz w:val="24"/>
        </w:rPr>
        <w:t>四、报价要求</w:t>
      </w:r>
    </w:p>
    <w:p>
      <w:pPr>
        <w:spacing w:line="440" w:lineRule="exact"/>
        <w:ind w:left="360" w:hanging="360" w:hangingChars="150"/>
        <w:rPr>
          <w:color w:val="auto"/>
          <w:sz w:val="24"/>
        </w:rPr>
      </w:pPr>
      <w:r>
        <w:rPr>
          <w:rFonts w:hint="eastAsia"/>
          <w:color w:val="auto"/>
          <w:sz w:val="24"/>
        </w:rPr>
        <w:t>11</w:t>
      </w:r>
      <w:r>
        <w:rPr>
          <w:color w:val="auto"/>
          <w:sz w:val="24"/>
        </w:rPr>
        <w:t>. 报价以人民币报价。</w:t>
      </w:r>
    </w:p>
    <w:p>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pPr>
        <w:spacing w:line="440" w:lineRule="exact"/>
        <w:ind w:left="420" w:hanging="420"/>
        <w:rPr>
          <w:bCs/>
          <w:color w:val="auto"/>
          <w:sz w:val="24"/>
        </w:rPr>
      </w:pPr>
    </w:p>
    <w:p>
      <w:pPr>
        <w:spacing w:line="440" w:lineRule="exact"/>
        <w:ind w:left="420" w:hanging="420"/>
        <w:rPr>
          <w:rFonts w:eastAsia="黑体"/>
          <w:bCs/>
          <w:color w:val="auto"/>
          <w:sz w:val="24"/>
        </w:rPr>
      </w:pPr>
      <w:r>
        <w:rPr>
          <w:rFonts w:eastAsia="黑体"/>
          <w:bCs/>
          <w:color w:val="auto"/>
          <w:sz w:val="24"/>
        </w:rPr>
        <w:t>五、响应文件的份数、封装和递交</w:t>
      </w:r>
    </w:p>
    <w:p>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pPr>
        <w:spacing w:line="440" w:lineRule="exact"/>
        <w:ind w:left="398"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六、谈判小组的组成</w:t>
      </w:r>
    </w:p>
    <w:p>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七、谈判的步骤</w:t>
      </w:r>
    </w:p>
    <w:p>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八、确定成交供应商</w:t>
      </w:r>
    </w:p>
    <w:p>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pPr>
        <w:spacing w:line="440" w:lineRule="exact"/>
        <w:ind w:left="360" w:hanging="360" w:hangingChars="150"/>
        <w:rPr>
          <w:color w:val="auto"/>
          <w:sz w:val="24"/>
        </w:rPr>
      </w:pPr>
    </w:p>
    <w:p>
      <w:pPr>
        <w:spacing w:line="440" w:lineRule="exact"/>
        <w:rPr>
          <w:rFonts w:eastAsia="黑体"/>
          <w:color w:val="auto"/>
          <w:sz w:val="24"/>
        </w:rPr>
      </w:pPr>
      <w:r>
        <w:rPr>
          <w:rFonts w:hint="eastAsia" w:eastAsia="黑体" w:cs="黑体"/>
          <w:color w:val="auto"/>
          <w:sz w:val="24"/>
        </w:rPr>
        <w:t>九、发布成交公告</w:t>
      </w:r>
    </w:p>
    <w:p>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十、签订合同</w:t>
      </w:r>
    </w:p>
    <w:p>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pPr>
        <w:spacing w:line="440" w:lineRule="exact"/>
        <w:rPr>
          <w:color w:val="auto"/>
          <w:sz w:val="24"/>
        </w:rPr>
      </w:pPr>
    </w:p>
    <w:p>
      <w:pPr>
        <w:spacing w:line="440" w:lineRule="exact"/>
        <w:rPr>
          <w:rFonts w:eastAsia="黑体"/>
          <w:color w:val="auto"/>
          <w:sz w:val="24"/>
        </w:rPr>
      </w:pPr>
      <w:r>
        <w:rPr>
          <w:rFonts w:hint="eastAsia" w:eastAsia="黑体" w:cs="黑体"/>
          <w:color w:val="auto"/>
          <w:sz w:val="24"/>
        </w:rPr>
        <w:t>十一、付款方式</w:t>
      </w:r>
    </w:p>
    <w:p>
      <w:pPr>
        <w:spacing w:line="440" w:lineRule="exact"/>
        <w:ind w:left="363" w:leftChars="1" w:hanging="360" w:hangingChars="150"/>
        <w:rPr>
          <w:color w:val="auto"/>
          <w:sz w:val="24"/>
        </w:rPr>
      </w:pPr>
      <w:r>
        <w:rPr>
          <w:color w:val="auto"/>
          <w:sz w:val="24"/>
        </w:rPr>
        <w:t>3</w:t>
      </w:r>
      <w:r>
        <w:rPr>
          <w:rFonts w:hint="eastAsia"/>
          <w:color w:val="auto"/>
          <w:sz w:val="24"/>
        </w:rPr>
        <w:t>2</w:t>
      </w:r>
      <w:r>
        <w:rPr>
          <w:color w:val="auto"/>
          <w:sz w:val="24"/>
        </w:rPr>
        <w:t xml:space="preserve">. </w:t>
      </w:r>
      <w:r>
        <w:rPr>
          <w:rFonts w:hint="eastAsia" w:cs="宋体"/>
          <w:color w:val="auto"/>
          <w:sz w:val="24"/>
        </w:rPr>
        <w:t>货物（服务）交付验收合格后，采购人报省财政厅办理相应金额的支付手续。</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十二、适用法律</w:t>
      </w:r>
    </w:p>
    <w:p>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rPr>
        <w:sectPr>
          <w:headerReference r:id="rId11" w:type="default"/>
          <w:pgSz w:w="11906" w:h="16838"/>
          <w:pgMar w:top="1440" w:right="1800" w:bottom="1440" w:left="1800" w:header="851" w:footer="992" w:gutter="0"/>
          <w:cols w:space="720" w:num="1"/>
          <w:docGrid w:type="lines" w:linePitch="312" w:charSpace="0"/>
        </w:sectPr>
      </w:pPr>
    </w:p>
    <w:p>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采购货物（服务）技术规格、参数及要求</w:t>
      </w:r>
    </w:p>
    <w:p>
      <w:pPr>
        <w:spacing w:before="240" w:after="60"/>
        <w:jc w:val="left"/>
        <w:outlineLvl w:val="0"/>
        <w:rPr>
          <w:rFonts w:ascii="宋体" w:hAnsi="宋体" w:cs="宋体"/>
          <w:color w:val="auto"/>
          <w:sz w:val="24"/>
        </w:rPr>
      </w:pPr>
      <w:r>
        <w:rPr>
          <w:rFonts w:hint="eastAsia" w:ascii="宋体" w:hAnsi="宋体" w:cs="宋体"/>
          <w:color w:val="auto"/>
          <w:sz w:val="24"/>
        </w:rPr>
        <w:t>一、采购货物具体技术参数及要求</w:t>
      </w:r>
    </w:p>
    <w:tbl>
      <w:tblPr>
        <w:tblStyle w:val="32"/>
        <w:tblW w:w="85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9"/>
        <w:gridCol w:w="662"/>
        <w:gridCol w:w="551"/>
        <w:gridCol w:w="1115"/>
        <w:gridCol w:w="663"/>
        <w:gridCol w:w="663"/>
        <w:gridCol w:w="610"/>
        <w:gridCol w:w="824"/>
        <w:gridCol w:w="720"/>
        <w:gridCol w:w="780"/>
        <w:gridCol w:w="768"/>
        <w:gridCol w:w="7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4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序号</w:t>
            </w:r>
          </w:p>
        </w:tc>
        <w:tc>
          <w:tcPr>
            <w:tcW w:w="6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项目类型</w:t>
            </w:r>
          </w:p>
        </w:tc>
        <w:tc>
          <w:tcPr>
            <w:tcW w:w="166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项目名称</w:t>
            </w:r>
          </w:p>
        </w:tc>
        <w:tc>
          <w:tcPr>
            <w:tcW w:w="6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单次用量</w:t>
            </w:r>
          </w:p>
        </w:tc>
        <w:tc>
          <w:tcPr>
            <w:tcW w:w="6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规格</w:t>
            </w:r>
          </w:p>
        </w:tc>
        <w:tc>
          <w:tcPr>
            <w:tcW w:w="6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单位</w:t>
            </w:r>
          </w:p>
        </w:tc>
        <w:tc>
          <w:tcPr>
            <w:tcW w:w="309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rPr>
              <w:t>金额（元）</w:t>
            </w:r>
          </w:p>
        </w:tc>
        <w:tc>
          <w:tcPr>
            <w:tcW w:w="72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u w:val="none"/>
              </w:rPr>
            </w:pP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u w:val="none"/>
              </w:rPr>
            </w:pPr>
          </w:p>
        </w:tc>
        <w:tc>
          <w:tcPr>
            <w:tcW w:w="166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u w:val="none"/>
              </w:rPr>
            </w:pPr>
          </w:p>
        </w:tc>
        <w:tc>
          <w:tcPr>
            <w:tcW w:w="6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u w:val="none"/>
              </w:rPr>
            </w:pPr>
          </w:p>
        </w:tc>
        <w:tc>
          <w:tcPr>
            <w:tcW w:w="6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u w:val="none"/>
              </w:rPr>
            </w:pPr>
          </w:p>
        </w:tc>
        <w:tc>
          <w:tcPr>
            <w:tcW w:w="6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rPr>
              <w:t>限价</w:t>
            </w:r>
            <w:r>
              <w:rPr>
                <w:rFonts w:hint="eastAsia" w:ascii="宋体" w:hAnsi="宋体" w:eastAsia="宋体" w:cs="宋体"/>
                <w:i w:val="0"/>
                <w:iCs w:val="0"/>
                <w:color w:val="auto"/>
                <w:kern w:val="0"/>
                <w:sz w:val="22"/>
                <w:szCs w:val="22"/>
                <w:u w:val="none"/>
                <w:lang w:val="en-US" w:eastAsia="zh-CN"/>
              </w:rPr>
              <w:t>单价</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rPr>
              <w:t>限价</w:t>
            </w:r>
            <w:r>
              <w:rPr>
                <w:rFonts w:hint="eastAsia" w:ascii="宋体" w:hAnsi="宋体" w:eastAsia="宋体" w:cs="宋体"/>
                <w:i w:val="0"/>
                <w:iCs w:val="0"/>
                <w:color w:val="auto"/>
                <w:kern w:val="0"/>
                <w:sz w:val="22"/>
                <w:szCs w:val="22"/>
                <w:u w:val="none"/>
                <w:lang w:val="en-US" w:eastAsia="zh-CN"/>
              </w:rPr>
              <w:t>小计</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i w:val="0"/>
                <w:iCs w:val="0"/>
                <w:color w:val="auto"/>
                <w:kern w:val="0"/>
                <w:sz w:val="22"/>
                <w:szCs w:val="22"/>
                <w:u w:val="none"/>
                <w:lang w:val="en-US" w:eastAsia="zh-CN"/>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i w:val="0"/>
                <w:iCs w:val="0"/>
                <w:color w:val="auto"/>
                <w:kern w:val="0"/>
                <w:sz w:val="22"/>
                <w:szCs w:val="22"/>
                <w:u w:val="none"/>
                <w:lang w:val="en-US" w:eastAsia="zh-CN"/>
              </w:rPr>
            </w:pPr>
          </w:p>
        </w:tc>
        <w:tc>
          <w:tcPr>
            <w:tcW w:w="7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w:t>
            </w:r>
          </w:p>
        </w:tc>
        <w:tc>
          <w:tcPr>
            <w:tcW w:w="662"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除四害</w:t>
            </w:r>
          </w:p>
        </w:tc>
        <w:tc>
          <w:tcPr>
            <w:tcW w:w="551"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药品</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高氯残杀威</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8 </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500g/瓶</w:t>
            </w:r>
          </w:p>
        </w:tc>
        <w:tc>
          <w:tcPr>
            <w:tcW w:w="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瓶</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55.00 </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440.00 </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室内蚊虫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w:t>
            </w:r>
          </w:p>
        </w:tc>
        <w:tc>
          <w:tcPr>
            <w:tcW w:w="66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551"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丙烯氯菊</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8 </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500ml/瓶</w:t>
            </w:r>
          </w:p>
        </w:tc>
        <w:tc>
          <w:tcPr>
            <w:tcW w:w="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瓶</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115.00 </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920.00 </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室内蚊虫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3</w:t>
            </w:r>
          </w:p>
        </w:tc>
        <w:tc>
          <w:tcPr>
            <w:tcW w:w="66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551"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高氯毒死蜱</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8 </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500g/瓶</w:t>
            </w:r>
          </w:p>
        </w:tc>
        <w:tc>
          <w:tcPr>
            <w:tcW w:w="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瓶</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128.00 </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1,024.00 </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户外蚊虫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4</w:t>
            </w:r>
          </w:p>
        </w:tc>
        <w:tc>
          <w:tcPr>
            <w:tcW w:w="66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551"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胆钙化醇</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4 </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5kg/盒</w:t>
            </w:r>
          </w:p>
        </w:tc>
        <w:tc>
          <w:tcPr>
            <w:tcW w:w="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盒</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95.00 </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380.00 </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老鼠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5</w:t>
            </w:r>
          </w:p>
        </w:tc>
        <w:tc>
          <w:tcPr>
            <w:tcW w:w="66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551"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粘鼠板</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20 </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10片/盒</w:t>
            </w:r>
          </w:p>
        </w:tc>
        <w:tc>
          <w:tcPr>
            <w:tcW w:w="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片</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2.00 </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40.00 </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老鼠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6</w:t>
            </w:r>
          </w:p>
        </w:tc>
        <w:tc>
          <w:tcPr>
            <w:tcW w:w="66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551"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杀虫饵粒</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10 </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500g/袋</w:t>
            </w:r>
          </w:p>
        </w:tc>
        <w:tc>
          <w:tcPr>
            <w:tcW w:w="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袋</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65.00 </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650.00 </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蟑螂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7</w:t>
            </w:r>
          </w:p>
        </w:tc>
        <w:tc>
          <w:tcPr>
            <w:tcW w:w="66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551"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杀虫胶饵</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20 </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50g/支</w:t>
            </w:r>
          </w:p>
        </w:tc>
        <w:tc>
          <w:tcPr>
            <w:tcW w:w="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支</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29.00 </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580.00 </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蟑螂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8</w:t>
            </w:r>
          </w:p>
        </w:tc>
        <w:tc>
          <w:tcPr>
            <w:tcW w:w="66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5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人工</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除四害防治用工</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8 </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w:t>
            </w:r>
          </w:p>
        </w:tc>
        <w:tc>
          <w:tcPr>
            <w:tcW w:w="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元/工日</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240.00 </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1,920.00 </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9</w:t>
            </w:r>
          </w:p>
        </w:tc>
        <w:tc>
          <w:tcPr>
            <w:tcW w:w="66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3602"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每月小计</w:t>
            </w:r>
          </w:p>
        </w:tc>
        <w:tc>
          <w:tcPr>
            <w:tcW w:w="15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rPr>
              <w:t xml:space="preserve">5,954.00 </w:t>
            </w:r>
          </w:p>
        </w:tc>
        <w:tc>
          <w:tcPr>
            <w:tcW w:w="154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10</w:t>
            </w:r>
          </w:p>
        </w:tc>
        <w:tc>
          <w:tcPr>
            <w:tcW w:w="66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3602"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12个月合计（12次）</w:t>
            </w:r>
          </w:p>
        </w:tc>
        <w:tc>
          <w:tcPr>
            <w:tcW w:w="15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kern w:val="0"/>
                <w:sz w:val="22"/>
                <w:szCs w:val="22"/>
                <w:u w:val="none"/>
                <w:lang w:val="en-US" w:eastAsia="zh-CN"/>
              </w:rPr>
            </w:pPr>
            <w:r>
              <w:rPr>
                <w:rFonts w:hint="eastAsia" w:ascii="宋体" w:hAnsi="宋体" w:eastAsia="宋体" w:cs="宋体"/>
                <w:b/>
                <w:bCs/>
                <w:i w:val="0"/>
                <w:iCs w:val="0"/>
                <w:color w:val="auto"/>
                <w:kern w:val="0"/>
                <w:sz w:val="22"/>
                <w:szCs w:val="22"/>
                <w:u w:val="none"/>
                <w:lang w:val="en-US" w:eastAsia="zh-CN"/>
              </w:rPr>
              <w:t xml:space="preserve">71,448.00 </w:t>
            </w:r>
          </w:p>
        </w:tc>
        <w:tc>
          <w:tcPr>
            <w:tcW w:w="154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11</w:t>
            </w:r>
          </w:p>
        </w:tc>
        <w:tc>
          <w:tcPr>
            <w:tcW w:w="662"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白蚁防治</w:t>
            </w:r>
          </w:p>
        </w:tc>
        <w:tc>
          <w:tcPr>
            <w:tcW w:w="55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药品</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白蚁检测诱杀装置</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31 </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w:t>
            </w:r>
          </w:p>
        </w:tc>
        <w:tc>
          <w:tcPr>
            <w:tcW w:w="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个</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39.00 </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1,209.00 </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室外白蚁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12</w:t>
            </w:r>
          </w:p>
        </w:tc>
        <w:tc>
          <w:tcPr>
            <w:tcW w:w="66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5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u w:val="none"/>
              </w:rPr>
            </w:pP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白蚁粉剂</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110 </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60g/瓶</w:t>
            </w:r>
          </w:p>
        </w:tc>
        <w:tc>
          <w:tcPr>
            <w:tcW w:w="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瓶</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28.00 </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3,080.00 </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室内白蚁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13</w:t>
            </w:r>
          </w:p>
        </w:tc>
        <w:tc>
          <w:tcPr>
            <w:tcW w:w="66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5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u w:val="none"/>
              </w:rPr>
            </w:pP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白蚁水剂</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12 </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5kg/桶</w:t>
            </w:r>
          </w:p>
        </w:tc>
        <w:tc>
          <w:tcPr>
            <w:tcW w:w="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桶</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420.00 </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5,040.00 </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白蚁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14</w:t>
            </w:r>
          </w:p>
        </w:tc>
        <w:tc>
          <w:tcPr>
            <w:tcW w:w="66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5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人工</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白蚁防治用工</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10 </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w:t>
            </w:r>
          </w:p>
        </w:tc>
        <w:tc>
          <w:tcPr>
            <w:tcW w:w="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元/工日</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240.00 </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2,400.00 </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15</w:t>
            </w:r>
          </w:p>
        </w:tc>
        <w:tc>
          <w:tcPr>
            <w:tcW w:w="66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3602"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每季度小计</w:t>
            </w:r>
          </w:p>
        </w:tc>
        <w:tc>
          <w:tcPr>
            <w:tcW w:w="15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rPr>
              <w:t xml:space="preserve">11,729.00 </w:t>
            </w:r>
          </w:p>
        </w:tc>
        <w:tc>
          <w:tcPr>
            <w:tcW w:w="154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16</w:t>
            </w:r>
          </w:p>
        </w:tc>
        <w:tc>
          <w:tcPr>
            <w:tcW w:w="66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3602"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12个月合计（4次）</w:t>
            </w:r>
          </w:p>
        </w:tc>
        <w:tc>
          <w:tcPr>
            <w:tcW w:w="15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kern w:val="0"/>
                <w:sz w:val="22"/>
                <w:szCs w:val="22"/>
                <w:u w:val="none"/>
                <w:lang w:val="en-US" w:eastAsia="zh-CN"/>
              </w:rPr>
            </w:pPr>
            <w:r>
              <w:rPr>
                <w:rFonts w:hint="eastAsia" w:ascii="宋体" w:hAnsi="宋体" w:eastAsia="宋体" w:cs="宋体"/>
                <w:b/>
                <w:bCs/>
                <w:i w:val="0"/>
                <w:iCs w:val="0"/>
                <w:color w:val="auto"/>
                <w:kern w:val="0"/>
                <w:sz w:val="22"/>
                <w:szCs w:val="22"/>
                <w:u w:val="none"/>
                <w:lang w:val="en-US" w:eastAsia="zh-CN"/>
              </w:rPr>
              <w:t xml:space="preserve">46,916.00 </w:t>
            </w:r>
          </w:p>
        </w:tc>
        <w:tc>
          <w:tcPr>
            <w:tcW w:w="154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17</w:t>
            </w:r>
          </w:p>
        </w:tc>
        <w:tc>
          <w:tcPr>
            <w:tcW w:w="6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防疫消杀</w:t>
            </w:r>
          </w:p>
        </w:tc>
        <w:tc>
          <w:tcPr>
            <w:tcW w:w="5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月工费</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消杀技术用工</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1 </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w:t>
            </w:r>
          </w:p>
        </w:tc>
        <w:tc>
          <w:tcPr>
            <w:tcW w:w="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月</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2,800.00 </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2,800.00 </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rPr>
              <w:t>防疫日常消杀为每天1人每日按规定时间进行消杀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18</w:t>
            </w: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u w:val="none"/>
              </w:rPr>
            </w:pPr>
          </w:p>
        </w:tc>
        <w:tc>
          <w:tcPr>
            <w:tcW w:w="5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药品</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新冠消毒液</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1 </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80kg</w:t>
            </w:r>
          </w:p>
        </w:tc>
        <w:tc>
          <w:tcPr>
            <w:tcW w:w="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月</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1,600.00 </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1,600.00 </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19</w:t>
            </w: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u w:val="none"/>
              </w:rPr>
            </w:pPr>
          </w:p>
        </w:tc>
        <w:tc>
          <w:tcPr>
            <w:tcW w:w="3602"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12个月合计（12个月）</w:t>
            </w:r>
          </w:p>
        </w:tc>
        <w:tc>
          <w:tcPr>
            <w:tcW w:w="15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 xml:space="preserve">52,800.00 </w:t>
            </w:r>
          </w:p>
        </w:tc>
        <w:tc>
          <w:tcPr>
            <w:tcW w:w="154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20</w:t>
            </w:r>
          </w:p>
        </w:tc>
        <w:tc>
          <w:tcPr>
            <w:tcW w:w="23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不含税合计</w:t>
            </w:r>
          </w:p>
        </w:tc>
        <w:tc>
          <w:tcPr>
            <w:tcW w:w="193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u w:val="none"/>
              </w:rPr>
            </w:pPr>
          </w:p>
        </w:tc>
        <w:tc>
          <w:tcPr>
            <w:tcW w:w="15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171,164.00 </w:t>
            </w:r>
          </w:p>
        </w:tc>
        <w:tc>
          <w:tcPr>
            <w:tcW w:w="154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21</w:t>
            </w:r>
          </w:p>
        </w:tc>
        <w:tc>
          <w:tcPr>
            <w:tcW w:w="23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劳保及防护用品（2%）</w:t>
            </w:r>
          </w:p>
        </w:tc>
        <w:tc>
          <w:tcPr>
            <w:tcW w:w="193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（20）*2%</w:t>
            </w:r>
          </w:p>
        </w:tc>
        <w:tc>
          <w:tcPr>
            <w:tcW w:w="15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3,423.28 </w:t>
            </w:r>
          </w:p>
        </w:tc>
        <w:tc>
          <w:tcPr>
            <w:tcW w:w="154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22</w:t>
            </w:r>
          </w:p>
        </w:tc>
        <w:tc>
          <w:tcPr>
            <w:tcW w:w="23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危化药品施工费（2%）</w:t>
            </w:r>
          </w:p>
        </w:tc>
        <w:tc>
          <w:tcPr>
            <w:tcW w:w="193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（20）*2%</w:t>
            </w:r>
          </w:p>
        </w:tc>
        <w:tc>
          <w:tcPr>
            <w:tcW w:w="15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3,423.28 </w:t>
            </w:r>
          </w:p>
        </w:tc>
        <w:tc>
          <w:tcPr>
            <w:tcW w:w="154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23</w:t>
            </w:r>
          </w:p>
        </w:tc>
        <w:tc>
          <w:tcPr>
            <w:tcW w:w="23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机械租赁费（1%)</w:t>
            </w:r>
          </w:p>
        </w:tc>
        <w:tc>
          <w:tcPr>
            <w:tcW w:w="193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（20）*1%</w:t>
            </w:r>
          </w:p>
        </w:tc>
        <w:tc>
          <w:tcPr>
            <w:tcW w:w="15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1,711.64 </w:t>
            </w:r>
          </w:p>
        </w:tc>
        <w:tc>
          <w:tcPr>
            <w:tcW w:w="154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24</w:t>
            </w:r>
          </w:p>
        </w:tc>
        <w:tc>
          <w:tcPr>
            <w:tcW w:w="23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管理费(3%)</w:t>
            </w:r>
          </w:p>
        </w:tc>
        <w:tc>
          <w:tcPr>
            <w:tcW w:w="193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（20）*3%</w:t>
            </w:r>
          </w:p>
        </w:tc>
        <w:tc>
          <w:tcPr>
            <w:tcW w:w="15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5,134.92 </w:t>
            </w:r>
          </w:p>
        </w:tc>
        <w:tc>
          <w:tcPr>
            <w:tcW w:w="154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25</w:t>
            </w:r>
          </w:p>
        </w:tc>
        <w:tc>
          <w:tcPr>
            <w:tcW w:w="23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利润（3%）</w:t>
            </w:r>
          </w:p>
        </w:tc>
        <w:tc>
          <w:tcPr>
            <w:tcW w:w="193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（20）*3%</w:t>
            </w:r>
          </w:p>
        </w:tc>
        <w:tc>
          <w:tcPr>
            <w:tcW w:w="15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5,134.92 </w:t>
            </w:r>
          </w:p>
        </w:tc>
        <w:tc>
          <w:tcPr>
            <w:tcW w:w="154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26</w:t>
            </w:r>
          </w:p>
        </w:tc>
        <w:tc>
          <w:tcPr>
            <w:tcW w:w="23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税费（3%）</w:t>
            </w:r>
          </w:p>
        </w:tc>
        <w:tc>
          <w:tcPr>
            <w:tcW w:w="193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（20+21+......+25）*3%</w:t>
            </w:r>
          </w:p>
        </w:tc>
        <w:tc>
          <w:tcPr>
            <w:tcW w:w="15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5,699.76 </w:t>
            </w:r>
          </w:p>
        </w:tc>
        <w:tc>
          <w:tcPr>
            <w:tcW w:w="154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27</w:t>
            </w:r>
          </w:p>
        </w:tc>
        <w:tc>
          <w:tcPr>
            <w:tcW w:w="4264"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总计</w:t>
            </w:r>
          </w:p>
        </w:tc>
        <w:tc>
          <w:tcPr>
            <w:tcW w:w="15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 xml:space="preserve">195,691.80 </w:t>
            </w:r>
          </w:p>
        </w:tc>
        <w:tc>
          <w:tcPr>
            <w:tcW w:w="154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18"/>
                <w:szCs w:val="18"/>
                <w:u w:val="none"/>
              </w:rPr>
            </w:pPr>
          </w:p>
        </w:tc>
      </w:tr>
    </w:tbl>
    <w:p>
      <w:pPr>
        <w:spacing w:line="440" w:lineRule="exact"/>
        <w:ind w:firstLine="480" w:firstLineChars="200"/>
        <w:rPr>
          <w:rFonts w:hint="default" w:ascii="宋体" w:hAnsi="宋体" w:eastAsia="宋体" w:cs="宋体"/>
          <w:b w:val="0"/>
          <w:bCs w:val="0"/>
          <w:color w:val="auto"/>
          <w:kern w:val="2"/>
          <w:sz w:val="24"/>
          <w:szCs w:val="24"/>
          <w:lang w:val="en-US" w:eastAsia="zh-CN" w:bidi="ar-SA"/>
        </w:rPr>
      </w:pPr>
      <w:r>
        <w:rPr>
          <w:rFonts w:hint="eastAsia"/>
          <w:bCs/>
          <w:color w:val="auto"/>
          <w:sz w:val="24"/>
          <w:szCs w:val="24"/>
          <w:lang/>
        </w:rPr>
        <w:t>湖北省博物馆</w:t>
      </w:r>
      <w:r>
        <w:rPr>
          <w:rFonts w:hint="eastAsia" w:ascii="宋体" w:hAnsi="宋体" w:cs="宋体"/>
          <w:color w:val="auto"/>
          <w:sz w:val="24"/>
          <w:szCs w:val="24"/>
          <w:lang w:val="en-US" w:eastAsia="zh-CN"/>
        </w:rPr>
        <w:t>场馆及公共区域：综合馆、编钟馆、楚文化馆、馆区内公共区域及设备楼（74305.23平米）和三中心、文展大楼（68419.66平米）武警营区（1750平米）防疫消杀服务、防虫灭鼠、环境治理防治服务项目。</w:t>
      </w:r>
      <w:r>
        <w:rPr>
          <w:rFonts w:hint="eastAsia" w:ascii="宋体" w:hAnsi="宋体" w:eastAsia="宋体" w:cs="宋体"/>
          <w:b w:val="0"/>
          <w:bCs w:val="0"/>
          <w:color w:val="auto"/>
          <w:kern w:val="2"/>
          <w:sz w:val="24"/>
          <w:szCs w:val="24"/>
          <w:lang w:val="en-US" w:eastAsia="zh-CN" w:bidi="ar-SA"/>
        </w:rPr>
        <w:t>服务期满后，</w:t>
      </w:r>
      <w:r>
        <w:rPr>
          <w:rFonts w:hint="eastAsia" w:ascii="宋体" w:hAnsi="宋体" w:cs="宋体"/>
          <w:b w:val="0"/>
          <w:bCs w:val="0"/>
          <w:color w:val="auto"/>
          <w:kern w:val="2"/>
          <w:sz w:val="24"/>
          <w:szCs w:val="24"/>
          <w:lang w:val="en-US" w:eastAsia="zh-CN" w:bidi="ar-SA"/>
        </w:rPr>
        <w:t>甲方</w:t>
      </w:r>
      <w:r>
        <w:rPr>
          <w:rFonts w:hint="eastAsia" w:ascii="宋体" w:hAnsi="宋体" w:eastAsia="宋体" w:cs="宋体"/>
          <w:b w:val="0"/>
          <w:bCs w:val="0"/>
          <w:color w:val="auto"/>
          <w:kern w:val="2"/>
          <w:sz w:val="24"/>
          <w:szCs w:val="24"/>
          <w:lang w:val="en-US" w:eastAsia="zh-CN" w:bidi="ar-SA"/>
        </w:rPr>
        <w:t>对供应商服务质量综合评定结果</w:t>
      </w:r>
      <w:r>
        <w:rPr>
          <w:rFonts w:hint="eastAsia" w:ascii="宋体" w:hAnsi="宋体" w:cs="宋体"/>
          <w:b w:val="0"/>
          <w:bCs w:val="0"/>
          <w:color w:val="auto"/>
          <w:kern w:val="2"/>
          <w:sz w:val="24"/>
          <w:szCs w:val="24"/>
          <w:lang w:val="en-US" w:eastAsia="zh-CN" w:bidi="ar-SA"/>
        </w:rPr>
        <w:t>优良，</w:t>
      </w:r>
      <w:r>
        <w:rPr>
          <w:rFonts w:hint="eastAsia" w:ascii="宋体" w:hAnsi="宋体" w:eastAsia="宋体" w:cs="宋体"/>
          <w:b w:val="0"/>
          <w:bCs w:val="0"/>
          <w:color w:val="auto"/>
          <w:kern w:val="2"/>
          <w:sz w:val="24"/>
          <w:szCs w:val="24"/>
          <w:lang w:val="en-US" w:eastAsia="zh-CN" w:bidi="ar-SA"/>
        </w:rPr>
        <w:t>可续签一年，最多续签两次。</w:t>
      </w:r>
    </w:p>
    <w:p>
      <w:pPr>
        <w:spacing w:line="440" w:lineRule="exact"/>
        <w:rPr>
          <w:rFonts w:ascii="宋体" w:hAnsi="宋体"/>
          <w:color w:val="auto"/>
          <w:sz w:val="24"/>
          <w:szCs w:val="22"/>
        </w:rPr>
      </w:pPr>
      <w:r>
        <w:rPr>
          <w:rFonts w:hint="eastAsia" w:ascii="宋体" w:hAnsi="宋体"/>
          <w:color w:val="auto"/>
          <w:sz w:val="24"/>
          <w:szCs w:val="22"/>
        </w:rPr>
        <w:t>二、合同草案条款</w:t>
      </w:r>
    </w:p>
    <w:p>
      <w:pPr>
        <w:spacing w:line="440" w:lineRule="exact"/>
        <w:rPr>
          <w:rFonts w:ascii="宋体" w:hAnsi="宋体"/>
          <w:color w:val="auto"/>
          <w:sz w:val="24"/>
          <w:szCs w:val="22"/>
        </w:rPr>
      </w:pPr>
      <w:r>
        <w:rPr>
          <w:rFonts w:hint="eastAsia" w:ascii="宋体" w:hAnsi="宋体"/>
          <w:color w:val="auto"/>
          <w:sz w:val="24"/>
          <w:szCs w:val="22"/>
        </w:rPr>
        <w:t>2.1交付需求：</w:t>
      </w:r>
    </w:p>
    <w:p>
      <w:pPr>
        <w:spacing w:line="440" w:lineRule="exact"/>
        <w:rPr>
          <w:rFonts w:ascii="宋体" w:hAnsi="宋体"/>
          <w:color w:val="auto"/>
          <w:sz w:val="24"/>
          <w:szCs w:val="22"/>
        </w:rPr>
      </w:pPr>
      <w:r>
        <w:rPr>
          <w:rFonts w:hint="eastAsia" w:ascii="宋体" w:hAnsi="宋体"/>
          <w:color w:val="auto"/>
          <w:sz w:val="24"/>
          <w:szCs w:val="22"/>
        </w:rPr>
        <w:t>2.1.1交货时间：合同签订之日起</w:t>
      </w:r>
      <w:r>
        <w:rPr>
          <w:rFonts w:hint="eastAsia" w:ascii="宋体" w:hAnsi="宋体"/>
          <w:color w:val="auto"/>
          <w:sz w:val="24"/>
          <w:szCs w:val="22"/>
          <w:lang w:eastAsia="zh-CN"/>
        </w:rPr>
        <w:t>十</w:t>
      </w:r>
      <w:r>
        <w:rPr>
          <w:rFonts w:hint="eastAsia" w:ascii="宋体" w:hAnsi="宋体"/>
          <w:color w:val="auto"/>
          <w:sz w:val="24"/>
          <w:szCs w:val="22"/>
          <w:lang w:val="en-US" w:eastAsia="zh-CN"/>
        </w:rPr>
        <w:t>二</w:t>
      </w:r>
      <w:r>
        <w:rPr>
          <w:rFonts w:hint="eastAsia" w:ascii="宋体" w:hAnsi="宋体"/>
          <w:color w:val="auto"/>
          <w:sz w:val="24"/>
          <w:szCs w:val="22"/>
          <w:lang w:eastAsia="zh-CN"/>
        </w:rPr>
        <w:t>个月</w:t>
      </w:r>
      <w:r>
        <w:rPr>
          <w:rFonts w:hint="eastAsia" w:ascii="宋体" w:hAnsi="宋体"/>
          <w:color w:val="auto"/>
          <w:sz w:val="24"/>
          <w:szCs w:val="22"/>
        </w:rPr>
        <w:t>。</w:t>
      </w:r>
    </w:p>
    <w:p>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auto"/>
          <w:sz w:val="24"/>
          <w:szCs w:val="22"/>
        </w:rPr>
      </w:pPr>
      <w:r>
        <w:rPr>
          <w:rFonts w:hint="eastAsia" w:ascii="宋体" w:hAnsi="宋体"/>
          <w:color w:val="auto"/>
          <w:sz w:val="24"/>
          <w:szCs w:val="22"/>
        </w:rPr>
        <w:t>2.1.4验收要求：货物安装调试完毕，经采购人验收签字认可。</w:t>
      </w:r>
    </w:p>
    <w:p>
      <w:pPr>
        <w:spacing w:line="440" w:lineRule="exact"/>
        <w:rPr>
          <w:rFonts w:ascii="宋体" w:hAnsi="宋体"/>
          <w:color w:val="auto"/>
          <w:sz w:val="24"/>
          <w:szCs w:val="22"/>
        </w:rPr>
      </w:pPr>
      <w:r>
        <w:rPr>
          <w:rFonts w:hint="eastAsia" w:ascii="宋体" w:hAnsi="宋体"/>
          <w:color w:val="auto"/>
          <w:sz w:val="24"/>
          <w:szCs w:val="22"/>
        </w:rPr>
        <w:t>2.1.5合同签订及付款方式。</w:t>
      </w:r>
    </w:p>
    <w:p>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pPr>
        <w:widowControl w:val="0"/>
        <w:wordWrap/>
        <w:adjustRightInd/>
        <w:snapToGrid/>
        <w:spacing w:line="360" w:lineRule="auto"/>
        <w:ind w:firstLine="480" w:firstLineChars="200"/>
        <w:textAlignment w:val="auto"/>
        <w:rPr>
          <w:rFonts w:ascii="宋体" w:hAnsi="宋体"/>
          <w:color w:val="auto"/>
          <w:sz w:val="24"/>
          <w:szCs w:val="22"/>
        </w:rPr>
      </w:pPr>
      <w:r>
        <w:rPr>
          <w:rFonts w:hint="eastAsia" w:ascii="宋体" w:hAnsi="宋体"/>
          <w:color w:val="auto"/>
          <w:sz w:val="24"/>
          <w:szCs w:val="22"/>
        </w:rPr>
        <w:t>2.1.7付款方式：</w:t>
      </w:r>
      <w:r>
        <w:rPr>
          <w:rFonts w:hint="eastAsia" w:ascii="宋体" w:hAnsi="宋体" w:cs="宋体"/>
          <w:color w:val="auto"/>
          <w:sz w:val="24"/>
          <w:szCs w:val="24"/>
        </w:rPr>
        <w:t>本项目无预付款，项</w:t>
      </w:r>
      <w:r>
        <w:rPr>
          <w:rFonts w:hint="eastAsia" w:ascii="宋体" w:hAnsi="宋体" w:cs="宋体"/>
          <w:color w:val="auto"/>
          <w:sz w:val="24"/>
          <w:szCs w:val="24"/>
          <w:highlight w:val="none"/>
        </w:rPr>
        <w:t>目实施</w:t>
      </w:r>
      <w:r>
        <w:rPr>
          <w:rFonts w:hint="eastAsia" w:ascii="宋体" w:hAnsi="宋体" w:cs="宋体"/>
          <w:color w:val="auto"/>
          <w:sz w:val="24"/>
          <w:szCs w:val="24"/>
          <w:highlight w:val="none"/>
          <w:lang w:eastAsia="zh-CN"/>
        </w:rPr>
        <w:t>每</w:t>
      </w:r>
      <w:r>
        <w:rPr>
          <w:rFonts w:hint="eastAsia" w:ascii="宋体" w:hAnsi="宋体" w:cs="宋体"/>
          <w:color w:val="auto"/>
          <w:sz w:val="24"/>
          <w:szCs w:val="24"/>
          <w:highlight w:val="none"/>
          <w:lang w:val="en-US" w:eastAsia="zh-CN"/>
        </w:rPr>
        <w:t>六</w:t>
      </w:r>
      <w:r>
        <w:rPr>
          <w:rFonts w:hint="eastAsia" w:ascii="宋体" w:hAnsi="宋体" w:cs="宋体"/>
          <w:color w:val="auto"/>
          <w:sz w:val="24"/>
          <w:szCs w:val="24"/>
          <w:highlight w:val="none"/>
          <w:lang w:eastAsia="zh-CN"/>
        </w:rPr>
        <w:t>个月，</w:t>
      </w:r>
      <w:r>
        <w:rPr>
          <w:rFonts w:hint="eastAsia" w:ascii="宋体" w:hAnsi="宋体" w:cs="宋体"/>
          <w:color w:val="auto"/>
          <w:sz w:val="24"/>
          <w:szCs w:val="24"/>
          <w:highlight w:val="none"/>
        </w:rPr>
        <w:t>经验收合格后</w:t>
      </w:r>
      <w:r>
        <w:rPr>
          <w:rFonts w:hint="eastAsia" w:ascii="宋体" w:hAnsi="宋体" w:cs="宋体"/>
          <w:color w:val="auto"/>
          <w:sz w:val="24"/>
          <w:szCs w:val="24"/>
          <w:highlight w:val="none"/>
          <w:lang w:val="en-US" w:eastAsia="zh-CN"/>
        </w:rPr>
        <w:t>支付合同总金额的50%，</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提供票据后15日之内，采购人按湖北省财政厅相关规定将款项从国库支付至</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对公账户。</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认可采购人按约定的付款时间向湖北省财政厅提出了资金支付申请，则视同采购人已履行了合同付款义务。</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必须按国家有关财税规定开具发票。</w:t>
      </w:r>
    </w:p>
    <w:p>
      <w:pPr>
        <w:spacing w:before="100" w:beforeAutospacing="1" w:line="360" w:lineRule="auto"/>
        <w:rPr>
          <w:rFonts w:ascii="宋体" w:hAnsi="宋体"/>
          <w:color w:val="auto"/>
          <w:sz w:val="24"/>
          <w:szCs w:val="22"/>
        </w:rPr>
      </w:pPr>
      <w:r>
        <w:rPr>
          <w:rFonts w:hint="eastAsia" w:ascii="宋体" w:hAnsi="宋体"/>
          <w:color w:val="auto"/>
          <w:sz w:val="24"/>
          <w:szCs w:val="22"/>
        </w:rPr>
        <w:t>2.2售后服务需求</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2.2.1质保服务要求：成交供应商提供所投本单位生产产品</w:t>
      </w:r>
      <w:r>
        <w:rPr>
          <w:rFonts w:ascii="宋体" w:hAnsi="宋体"/>
          <w:color w:val="auto"/>
          <w:sz w:val="24"/>
          <w:szCs w:val="22"/>
        </w:rPr>
        <w:t>1</w:t>
      </w:r>
      <w:r>
        <w:rPr>
          <w:rFonts w:hint="eastAsia" w:ascii="宋体" w:hAnsi="宋体"/>
          <w:color w:val="auto"/>
          <w:sz w:val="24"/>
          <w:szCs w:val="22"/>
        </w:rPr>
        <w:t>年的免费上门保修，终身维修。保修期自验收合格之日起计算。供应商在此项目后期的维护中，若出现系统故障，服务商应</w:t>
      </w:r>
      <w:r>
        <w:rPr>
          <w:rFonts w:ascii="宋体" w:hAnsi="宋体"/>
          <w:color w:val="auto"/>
          <w:sz w:val="24"/>
          <w:szCs w:val="22"/>
        </w:rPr>
        <w:t>4</w:t>
      </w:r>
      <w:r>
        <w:rPr>
          <w:rFonts w:hint="eastAsia" w:ascii="宋体" w:hAnsi="宋体"/>
          <w:color w:val="auto"/>
          <w:sz w:val="24"/>
          <w:szCs w:val="22"/>
        </w:rPr>
        <w:t>小时内响应，</w:t>
      </w:r>
      <w:r>
        <w:rPr>
          <w:rFonts w:ascii="宋体" w:hAnsi="宋体"/>
          <w:color w:val="auto"/>
          <w:sz w:val="24"/>
          <w:szCs w:val="22"/>
        </w:rPr>
        <w:t>48</w:t>
      </w:r>
      <w:r>
        <w:rPr>
          <w:rFonts w:hint="eastAsia" w:ascii="宋体" w:hAnsi="宋体"/>
          <w:color w:val="auto"/>
          <w:sz w:val="24"/>
          <w:szCs w:val="22"/>
        </w:rPr>
        <w:t>小时内到场排除故障并保证系统正常运行。</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2.2.3其他服务要求：供应商须提供所投产品生产厂家服务机构情况，包括地址、联系方式及技术人员数量等。提供生产厂家完整的随机资料，包括完整的使用和维修手册等。</w:t>
      </w:r>
    </w:p>
    <w:p>
      <w:pPr>
        <w:spacing w:line="360" w:lineRule="auto"/>
        <w:ind w:left="566" w:leftChars="202"/>
        <w:rPr>
          <w:rFonts w:ascii="宋体" w:hAnsi="宋体"/>
          <w:b/>
          <w:color w:val="auto"/>
          <w:sz w:val="24"/>
        </w:rPr>
      </w:pPr>
    </w:p>
    <w:p>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tabs>
          <w:tab w:val="left" w:pos="7665"/>
        </w:tabs>
        <w:jc w:val="both"/>
        <w:outlineLvl w:val="1"/>
        <w:rPr>
          <w:color w:val="auto"/>
          <w:sz w:val="36"/>
          <w:szCs w:val="36"/>
        </w:rPr>
      </w:pPr>
    </w:p>
    <w:p>
      <w:pPr>
        <w:tabs>
          <w:tab w:val="left" w:pos="7665"/>
        </w:tabs>
        <w:ind w:firstLine="705" w:firstLineChars="196"/>
        <w:jc w:val="center"/>
        <w:outlineLvl w:val="1"/>
        <w:rPr>
          <w:color w:val="auto"/>
          <w:sz w:val="36"/>
          <w:szCs w:val="36"/>
        </w:rPr>
      </w:pPr>
    </w:p>
    <w:p>
      <w:pPr>
        <w:tabs>
          <w:tab w:val="left" w:pos="7665"/>
        </w:tabs>
        <w:ind w:firstLine="705"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pPr>
        <w:spacing w:line="440" w:lineRule="exact"/>
        <w:jc w:val="center"/>
        <w:rPr>
          <w:rFonts w:eastAsia="仿宋_GB2312"/>
          <w:b/>
          <w:color w:val="auto"/>
          <w:sz w:val="44"/>
          <w:szCs w:val="44"/>
        </w:rPr>
      </w:pPr>
    </w:p>
    <w:p>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rPr>
      </w:pPr>
    </w:p>
    <w:p>
      <w:pPr>
        <w:spacing w:line="500" w:lineRule="exact"/>
        <w:ind w:firstLine="540"/>
        <w:jc w:val="center"/>
        <w:rPr>
          <w:b/>
          <w:color w:val="auto"/>
          <w:kern w:val="0"/>
          <w:sz w:val="36"/>
          <w:szCs w:val="36"/>
        </w:rPr>
      </w:pPr>
      <w:r>
        <w:rPr>
          <w:b/>
          <w:color w:val="auto"/>
          <w:kern w:val="0"/>
          <w:sz w:val="36"/>
          <w:szCs w:val="36"/>
        </w:rPr>
        <w:t>合同书</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pPr>
        <w:spacing w:line="500" w:lineRule="exact"/>
        <w:ind w:firstLine="480" w:firstLineChars="200"/>
        <w:rPr>
          <w:color w:val="auto"/>
          <w:sz w:val="24"/>
          <w:szCs w:val="20"/>
        </w:rPr>
      </w:pPr>
      <w:r>
        <w:rPr>
          <w:color w:val="auto"/>
          <w:sz w:val="24"/>
          <w:szCs w:val="20"/>
        </w:rPr>
        <w:t>本合同由（以下简称“需方”）与（以下简称“供方”）签订。</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eastAsia="宋体"/>
          <w:color w:val="auto"/>
          <w:kern w:val="0"/>
          <w:sz w:val="24"/>
          <w:szCs w:val="20"/>
        </w:rPr>
      </w:pPr>
      <w:r>
        <w:rPr>
          <w:rFonts w:ascii="宋体" w:hAnsi="宋体" w:eastAsia="宋体"/>
          <w:color w:val="auto"/>
          <w:kern w:val="0"/>
          <w:sz w:val="24"/>
          <w:szCs w:val="20"/>
        </w:rPr>
        <w:t>经双方协商，同意按下列条文执行：</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pPr>
        <w:widowControl w:val="0"/>
        <w:wordWrap/>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rPr>
        <w:t>本项目无预付款，项</w:t>
      </w:r>
      <w:r>
        <w:rPr>
          <w:rFonts w:hint="eastAsia" w:ascii="宋体" w:hAnsi="宋体" w:cs="宋体"/>
          <w:color w:val="auto"/>
          <w:sz w:val="24"/>
          <w:szCs w:val="24"/>
          <w:highlight w:val="none"/>
        </w:rPr>
        <w:t>目实施</w:t>
      </w:r>
      <w:r>
        <w:rPr>
          <w:rFonts w:hint="eastAsia" w:ascii="宋体" w:hAnsi="宋体" w:cs="宋体"/>
          <w:color w:val="auto"/>
          <w:sz w:val="24"/>
          <w:szCs w:val="24"/>
          <w:highlight w:val="none"/>
          <w:lang w:eastAsia="zh-CN"/>
        </w:rPr>
        <w:t>每</w:t>
      </w:r>
      <w:r>
        <w:rPr>
          <w:rFonts w:hint="eastAsia" w:ascii="宋体" w:hAnsi="宋体" w:cs="宋体"/>
          <w:color w:val="auto"/>
          <w:sz w:val="24"/>
          <w:szCs w:val="24"/>
          <w:highlight w:val="none"/>
          <w:lang w:val="en-US" w:eastAsia="zh-CN"/>
        </w:rPr>
        <w:t>六</w:t>
      </w:r>
      <w:r>
        <w:rPr>
          <w:rFonts w:hint="eastAsia" w:ascii="宋体" w:hAnsi="宋体" w:cs="宋体"/>
          <w:color w:val="auto"/>
          <w:sz w:val="24"/>
          <w:szCs w:val="24"/>
          <w:highlight w:val="none"/>
          <w:lang w:eastAsia="zh-CN"/>
        </w:rPr>
        <w:t>个月，</w:t>
      </w:r>
      <w:r>
        <w:rPr>
          <w:rFonts w:hint="eastAsia" w:ascii="宋体" w:hAnsi="宋体" w:cs="宋体"/>
          <w:color w:val="auto"/>
          <w:sz w:val="24"/>
          <w:szCs w:val="24"/>
          <w:highlight w:val="none"/>
        </w:rPr>
        <w:t>经验收合格后</w:t>
      </w:r>
      <w:r>
        <w:rPr>
          <w:rFonts w:hint="eastAsia" w:ascii="宋体" w:hAnsi="宋体" w:cs="宋体"/>
          <w:color w:val="auto"/>
          <w:sz w:val="24"/>
          <w:szCs w:val="24"/>
          <w:highlight w:val="none"/>
          <w:lang w:val="en-US" w:eastAsia="zh-CN"/>
        </w:rPr>
        <w:t>支付合同总金额的50%，</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提供票据后15日之内，采购人按湖北省财政厅相关规定将款项从国库支付至</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对公账户。</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认可采购人按约定的付款时间向湖北省财政厅提出了资金支付申请，则视同采购人已履行了合同付款义务。</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必须按国家有关财税规定开具发票。</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rPr>
      </w:pP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pPr>
        <w:adjustRightInd w:val="0"/>
        <w:snapToGrid w:val="0"/>
        <w:ind w:firstLine="2160" w:firstLineChars="600"/>
        <w:jc w:val="both"/>
        <w:outlineLvl w:val="0"/>
        <w:rPr>
          <w:color w:val="auto"/>
          <w:sz w:val="36"/>
          <w:szCs w:val="36"/>
        </w:rPr>
      </w:pPr>
    </w:p>
    <w:p>
      <w:pPr>
        <w:adjustRightInd w:val="0"/>
        <w:snapToGrid w:val="0"/>
        <w:ind w:firstLine="2160" w:firstLineChars="600"/>
        <w:jc w:val="both"/>
        <w:outlineLvl w:val="0"/>
        <w:rPr>
          <w:color w:val="auto"/>
          <w:sz w:val="36"/>
          <w:szCs w:val="36"/>
        </w:rPr>
      </w:pPr>
    </w:p>
    <w:p>
      <w:pPr>
        <w:adjustRightInd w:val="0"/>
        <w:snapToGrid w:val="0"/>
        <w:ind w:firstLine="2160" w:firstLineChars="600"/>
        <w:jc w:val="both"/>
        <w:outlineLvl w:val="0"/>
        <w:rPr>
          <w:color w:val="auto"/>
          <w:sz w:val="36"/>
          <w:szCs w:val="36"/>
        </w:rPr>
      </w:pPr>
    </w:p>
    <w:p>
      <w:pPr>
        <w:adjustRightInd w:val="0"/>
        <w:snapToGrid w:val="0"/>
        <w:ind w:firstLine="2160" w:firstLineChars="600"/>
        <w:jc w:val="both"/>
        <w:outlineLvl w:val="0"/>
        <w:rPr>
          <w:color w:val="auto"/>
          <w:sz w:val="36"/>
          <w:szCs w:val="36"/>
        </w:rPr>
      </w:pPr>
    </w:p>
    <w:p>
      <w:pPr>
        <w:adjustRightInd w:val="0"/>
        <w:snapToGrid w:val="0"/>
        <w:ind w:firstLine="2160" w:firstLineChars="600"/>
        <w:jc w:val="both"/>
        <w:outlineLvl w:val="0"/>
        <w:rPr>
          <w:color w:val="auto"/>
          <w:sz w:val="36"/>
          <w:szCs w:val="36"/>
        </w:rPr>
      </w:pPr>
    </w:p>
    <w:p>
      <w:pPr>
        <w:adjustRightInd w:val="0"/>
        <w:snapToGrid w:val="0"/>
        <w:ind w:firstLine="2160" w:firstLineChars="600"/>
        <w:jc w:val="both"/>
        <w:outlineLvl w:val="0"/>
        <w:rPr>
          <w:color w:val="auto"/>
          <w:sz w:val="36"/>
          <w:szCs w:val="36"/>
        </w:rPr>
      </w:pPr>
    </w:p>
    <w:p>
      <w:pPr>
        <w:adjustRightInd w:val="0"/>
        <w:snapToGrid w:val="0"/>
        <w:ind w:firstLine="2160" w:firstLineChars="600"/>
        <w:jc w:val="both"/>
        <w:outlineLvl w:val="0"/>
        <w:rPr>
          <w:color w:val="auto"/>
          <w:sz w:val="36"/>
          <w:szCs w:val="36"/>
        </w:rPr>
      </w:pPr>
    </w:p>
    <w:p>
      <w:pPr>
        <w:adjustRightInd w:val="0"/>
        <w:snapToGrid w:val="0"/>
        <w:ind w:firstLine="2160" w:firstLineChars="600"/>
        <w:jc w:val="both"/>
        <w:outlineLvl w:val="0"/>
        <w:rPr>
          <w:color w:val="auto"/>
          <w:sz w:val="36"/>
          <w:szCs w:val="36"/>
        </w:rPr>
      </w:pPr>
    </w:p>
    <w:p>
      <w:pPr>
        <w:adjustRightInd w:val="0"/>
        <w:snapToGrid w:val="0"/>
        <w:ind w:firstLine="2160" w:firstLineChars="600"/>
        <w:jc w:val="both"/>
        <w:outlineLvl w:val="0"/>
        <w:rPr>
          <w:color w:val="auto"/>
          <w:sz w:val="36"/>
          <w:szCs w:val="36"/>
        </w:rPr>
      </w:pPr>
    </w:p>
    <w:p>
      <w:pPr>
        <w:adjustRightInd w:val="0"/>
        <w:snapToGrid w:val="0"/>
        <w:ind w:firstLine="2160" w:firstLineChars="600"/>
        <w:jc w:val="both"/>
        <w:outlineLvl w:val="0"/>
        <w:rPr>
          <w:color w:val="auto"/>
          <w:sz w:val="36"/>
          <w:szCs w:val="36"/>
        </w:rPr>
      </w:pPr>
    </w:p>
    <w:p>
      <w:pPr>
        <w:adjustRightInd w:val="0"/>
        <w:snapToGrid w:val="0"/>
        <w:ind w:firstLine="2160" w:firstLineChars="600"/>
        <w:jc w:val="both"/>
        <w:outlineLvl w:val="0"/>
        <w:rPr>
          <w:color w:val="auto"/>
          <w:sz w:val="36"/>
          <w:szCs w:val="36"/>
        </w:rPr>
      </w:pPr>
    </w:p>
    <w:p>
      <w:pPr>
        <w:adjustRightInd w:val="0"/>
        <w:snapToGrid w:val="0"/>
        <w:ind w:firstLine="2160" w:firstLineChars="600"/>
        <w:jc w:val="both"/>
        <w:outlineLvl w:val="0"/>
        <w:rPr>
          <w:color w:val="auto"/>
          <w:sz w:val="36"/>
          <w:szCs w:val="36"/>
        </w:rPr>
      </w:pPr>
    </w:p>
    <w:p>
      <w:pPr>
        <w:adjustRightInd w:val="0"/>
        <w:snapToGrid w:val="0"/>
        <w:ind w:firstLine="2160" w:firstLineChars="600"/>
        <w:jc w:val="both"/>
        <w:outlineLvl w:val="0"/>
        <w:rPr>
          <w:color w:val="auto"/>
          <w:sz w:val="36"/>
          <w:szCs w:val="36"/>
        </w:rPr>
      </w:pPr>
    </w:p>
    <w:p>
      <w:pPr>
        <w:adjustRightInd w:val="0"/>
        <w:snapToGrid w:val="0"/>
        <w:ind w:firstLine="2160" w:firstLineChars="600"/>
        <w:jc w:val="both"/>
        <w:outlineLvl w:val="0"/>
        <w:rPr>
          <w:color w:val="auto"/>
          <w:sz w:val="36"/>
          <w:szCs w:val="36"/>
        </w:rPr>
      </w:pPr>
    </w:p>
    <w:p>
      <w:pPr>
        <w:adjustRightInd w:val="0"/>
        <w:snapToGrid w:val="0"/>
        <w:ind w:firstLine="2160" w:firstLineChars="600"/>
        <w:jc w:val="both"/>
        <w:outlineLvl w:val="0"/>
        <w:rPr>
          <w:color w:val="auto"/>
          <w:sz w:val="36"/>
          <w:szCs w:val="36"/>
        </w:rPr>
      </w:pPr>
    </w:p>
    <w:p>
      <w:pPr>
        <w:adjustRightInd w:val="0"/>
        <w:snapToGrid w:val="0"/>
        <w:ind w:firstLine="2160" w:firstLineChars="600"/>
        <w:jc w:val="both"/>
        <w:outlineLvl w:val="0"/>
        <w:rPr>
          <w:color w:val="auto"/>
          <w:sz w:val="36"/>
          <w:szCs w:val="36"/>
        </w:rPr>
      </w:pPr>
    </w:p>
    <w:p>
      <w:pPr>
        <w:adjustRightInd w:val="0"/>
        <w:snapToGrid w:val="0"/>
        <w:ind w:firstLine="2160" w:firstLineChars="600"/>
        <w:jc w:val="both"/>
        <w:outlineLvl w:val="0"/>
        <w:rPr>
          <w:color w:val="auto"/>
          <w:sz w:val="36"/>
          <w:szCs w:val="36"/>
        </w:rPr>
      </w:pPr>
    </w:p>
    <w:p>
      <w:pPr>
        <w:adjustRightInd w:val="0"/>
        <w:snapToGrid w:val="0"/>
        <w:ind w:firstLine="2160" w:firstLineChars="600"/>
        <w:jc w:val="both"/>
        <w:outlineLvl w:val="0"/>
        <w:rPr>
          <w:color w:val="auto"/>
          <w:sz w:val="36"/>
          <w:szCs w:val="36"/>
        </w:rPr>
      </w:pPr>
    </w:p>
    <w:p>
      <w:pPr>
        <w:adjustRightInd w:val="0"/>
        <w:snapToGrid w:val="0"/>
        <w:ind w:firstLine="2160" w:firstLineChars="600"/>
        <w:jc w:val="both"/>
        <w:outlineLvl w:val="0"/>
        <w:rPr>
          <w:color w:val="auto"/>
          <w:sz w:val="36"/>
          <w:szCs w:val="36"/>
        </w:rPr>
      </w:pPr>
    </w:p>
    <w:p>
      <w:pPr>
        <w:adjustRightInd w:val="0"/>
        <w:snapToGrid w:val="0"/>
        <w:ind w:firstLine="2160" w:firstLineChars="600"/>
        <w:jc w:val="both"/>
        <w:outlineLvl w:val="0"/>
        <w:rPr>
          <w:color w:val="auto"/>
          <w:sz w:val="36"/>
          <w:szCs w:val="36"/>
        </w:rPr>
      </w:pPr>
    </w:p>
    <w:p>
      <w:pPr>
        <w:adjustRightInd w:val="0"/>
        <w:snapToGrid w:val="0"/>
        <w:ind w:firstLine="2160" w:firstLineChars="600"/>
        <w:jc w:val="both"/>
        <w:outlineLvl w:val="0"/>
        <w:rPr>
          <w:color w:val="auto"/>
          <w:sz w:val="36"/>
          <w:szCs w:val="36"/>
        </w:rPr>
      </w:pPr>
    </w:p>
    <w:p>
      <w:pPr>
        <w:adjustRightInd w:val="0"/>
        <w:snapToGrid w:val="0"/>
        <w:ind w:firstLine="2160" w:firstLineChars="600"/>
        <w:jc w:val="both"/>
        <w:outlineLvl w:val="0"/>
        <w:rPr>
          <w:color w:val="auto"/>
          <w:sz w:val="36"/>
          <w:szCs w:val="36"/>
        </w:rPr>
      </w:pPr>
    </w:p>
    <w:p>
      <w:pPr>
        <w:adjustRightInd w:val="0"/>
        <w:snapToGrid w:val="0"/>
        <w:ind w:firstLine="2160" w:firstLineChars="600"/>
        <w:jc w:val="both"/>
        <w:outlineLvl w:val="0"/>
        <w:rPr>
          <w:color w:val="auto"/>
          <w:sz w:val="36"/>
          <w:szCs w:val="36"/>
        </w:rPr>
      </w:pPr>
    </w:p>
    <w:p>
      <w:pPr>
        <w:pStyle w:val="2"/>
        <w:numPr>
          <w:ilvl w:val="1"/>
          <w:numId w:val="0"/>
        </w:numPr>
        <w:ind w:leftChars="0"/>
        <w:rPr>
          <w:color w:val="auto"/>
        </w:rPr>
      </w:pPr>
    </w:p>
    <w:p>
      <w:pPr>
        <w:adjustRightInd w:val="0"/>
        <w:snapToGrid w:val="0"/>
        <w:ind w:firstLine="2160" w:firstLineChars="600"/>
        <w:jc w:val="both"/>
        <w:outlineLvl w:val="0"/>
        <w:rPr>
          <w:color w:val="auto"/>
          <w:sz w:val="36"/>
          <w:szCs w:val="36"/>
        </w:rPr>
      </w:pPr>
    </w:p>
    <w:p>
      <w:pPr>
        <w:adjustRightInd w:val="0"/>
        <w:snapToGrid w:val="0"/>
        <w:ind w:firstLine="2160" w:firstLineChars="600"/>
        <w:jc w:val="both"/>
        <w:outlineLvl w:val="0"/>
        <w:rPr>
          <w:color w:val="auto"/>
          <w:sz w:val="36"/>
          <w:szCs w:val="36"/>
        </w:rPr>
      </w:pPr>
    </w:p>
    <w:p>
      <w:pPr>
        <w:adjustRightInd w:val="0"/>
        <w:snapToGrid w:val="0"/>
        <w:ind w:firstLine="2160" w:firstLineChars="600"/>
        <w:jc w:val="both"/>
        <w:outlineLvl w:val="0"/>
        <w:rPr>
          <w:color w:val="auto"/>
          <w:sz w:val="36"/>
          <w:szCs w:val="36"/>
        </w:rPr>
      </w:pPr>
    </w:p>
    <w:p>
      <w:pPr>
        <w:adjustRightInd w:val="0"/>
        <w:snapToGrid w:val="0"/>
        <w:ind w:firstLine="2160" w:firstLineChars="600"/>
        <w:jc w:val="both"/>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pPr>
        <w:adjustRightInd w:val="0"/>
        <w:snapToGrid w:val="0"/>
        <w:jc w:val="center"/>
        <w:outlineLvl w:val="0"/>
        <w:rPr>
          <w:b/>
          <w:color w:val="auto"/>
          <w:sz w:val="18"/>
          <w:szCs w:val="18"/>
        </w:rPr>
      </w:pPr>
    </w:p>
    <w:p>
      <w:pPr>
        <w:adjustRightInd w:val="0"/>
        <w:snapToGrid w:val="0"/>
        <w:outlineLvl w:val="0"/>
        <w:rPr>
          <w:color w:val="auto"/>
          <w:szCs w:val="28"/>
        </w:rPr>
      </w:pPr>
      <w:r>
        <w:rPr>
          <w:color w:val="auto"/>
          <w:szCs w:val="28"/>
        </w:rPr>
        <w:t>封面：</w:t>
      </w:r>
    </w:p>
    <w:p>
      <w:pPr>
        <w:pStyle w:val="19"/>
        <w:tabs>
          <w:tab w:val="left" w:pos="1260"/>
        </w:tabs>
        <w:jc w:val="center"/>
        <w:rPr>
          <w:rFonts w:ascii="Times New Roman" w:hAnsi="Times New Roman" w:cs="Times New Roman"/>
          <w:bCs/>
          <w:color w:val="auto"/>
          <w:spacing w:val="100"/>
          <w:w w:val="110"/>
          <w:kern w:val="0"/>
          <w:sz w:val="52"/>
          <w:szCs w:val="52"/>
        </w:rPr>
      </w:pPr>
    </w:p>
    <w:p>
      <w:pPr>
        <w:pStyle w:val="19"/>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pPr>
        <w:pStyle w:val="19"/>
        <w:jc w:val="center"/>
        <w:rPr>
          <w:rFonts w:ascii="Times New Roman" w:hAnsi="Times New Roman" w:cs="Times New Roman"/>
          <w:color w:val="auto"/>
          <w:sz w:val="44"/>
        </w:rPr>
      </w:pPr>
      <w:r>
        <w:rPr>
          <w:rFonts w:ascii="Times New Roman" w:hAnsi="Times New Roman" w:cs="Times New Roman"/>
          <w:color w:val="auto"/>
          <w:sz w:val="44"/>
        </w:rPr>
        <w:t>（正本）</w:t>
      </w:r>
    </w:p>
    <w:p>
      <w:pPr>
        <w:pStyle w:val="19"/>
        <w:jc w:val="center"/>
        <w:rPr>
          <w:rFonts w:ascii="Times New Roman" w:hAnsi="Times New Roman" w:cs="Times New Roman"/>
          <w:color w:val="auto"/>
          <w:sz w:val="44"/>
        </w:rPr>
      </w:pPr>
    </w:p>
    <w:p>
      <w:pPr>
        <w:pStyle w:val="19"/>
        <w:jc w:val="center"/>
        <w:rPr>
          <w:rFonts w:ascii="Times New Roman" w:hAnsi="Times New Roman" w:cs="Times New Roman"/>
          <w:color w:val="auto"/>
          <w:sz w:val="44"/>
        </w:rPr>
      </w:pP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pPr>
        <w:pStyle w:val="17"/>
        <w:spacing w:line="360" w:lineRule="auto"/>
        <w:ind w:firstLine="1280" w:firstLineChars="400"/>
        <w:rPr>
          <w:color w:val="auto"/>
          <w:szCs w:val="32"/>
          <w:u w:val="single"/>
        </w:rPr>
      </w:pPr>
      <w:r>
        <w:rPr>
          <w:color w:val="auto"/>
          <w:szCs w:val="32"/>
        </w:rPr>
        <w:t>项目名称：</w:t>
      </w: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pPr>
        <w:jc w:val="center"/>
        <w:rPr>
          <w:rFonts w:ascii="宋体" w:hAnsi="宋体"/>
          <w:color w:val="auto"/>
          <w:sz w:val="32"/>
          <w:szCs w:val="32"/>
        </w:rPr>
      </w:pPr>
      <w:r>
        <w:rPr>
          <w:rFonts w:ascii="宋体" w:hAnsi="宋体"/>
          <w:color w:val="auto"/>
          <w:sz w:val="32"/>
          <w:szCs w:val="32"/>
        </w:rPr>
        <w:t>年  月  日</w:t>
      </w:r>
    </w:p>
    <w:p>
      <w:pPr>
        <w:adjustRightInd w:val="0"/>
        <w:snapToGrid w:val="0"/>
        <w:jc w:val="center"/>
        <w:outlineLvl w:val="0"/>
        <w:rPr>
          <w:rFonts w:eastAsia="宋体"/>
          <w:color w:val="auto"/>
          <w:sz w:val="44"/>
          <w:szCs w:val="44"/>
        </w:rPr>
      </w:pPr>
      <w:r>
        <w:rPr>
          <w:color w:val="auto"/>
          <w:szCs w:val="21"/>
        </w:rPr>
        <w:br w:type="page"/>
      </w:r>
      <w:r>
        <w:rPr>
          <w:rFonts w:eastAsia="宋体"/>
          <w:color w:val="auto"/>
          <w:sz w:val="44"/>
          <w:szCs w:val="44"/>
        </w:rPr>
        <w:t>目</w:t>
      </w:r>
      <w:r>
        <w:rPr>
          <w:rFonts w:hint="eastAsia" w:eastAsia="宋体"/>
          <w:color w:val="auto"/>
          <w:sz w:val="44"/>
          <w:szCs w:val="44"/>
        </w:rPr>
        <w:t xml:space="preserve">  </w:t>
      </w:r>
      <w:r>
        <w:rPr>
          <w:rFonts w:eastAsia="宋体"/>
          <w:color w:val="auto"/>
          <w:sz w:val="44"/>
          <w:szCs w:val="44"/>
        </w:rPr>
        <w:t>录</w:t>
      </w:r>
    </w:p>
    <w:p>
      <w:pPr>
        <w:adjustRightInd w:val="0"/>
        <w:snapToGrid w:val="0"/>
        <w:outlineLvl w:val="0"/>
        <w:rPr>
          <w:color w:val="auto"/>
          <w:sz w:val="24"/>
        </w:rPr>
      </w:pPr>
      <w:r>
        <w:rPr>
          <w:color w:val="auto"/>
          <w:szCs w:val="21"/>
        </w:rPr>
        <w:br w:type="page"/>
      </w:r>
      <w:r>
        <w:rPr>
          <w:color w:val="auto"/>
          <w:sz w:val="24"/>
        </w:rPr>
        <w:t>附件1</w:t>
      </w:r>
    </w:p>
    <w:p>
      <w:pPr>
        <w:adjustRightInd w:val="0"/>
        <w:snapToGrid w:val="0"/>
        <w:jc w:val="center"/>
        <w:outlineLvl w:val="0"/>
        <w:rPr>
          <w:color w:val="auto"/>
          <w:sz w:val="32"/>
          <w:szCs w:val="32"/>
        </w:rPr>
      </w:pPr>
      <w:r>
        <w:rPr>
          <w:color w:val="auto"/>
          <w:sz w:val="32"/>
          <w:szCs w:val="32"/>
        </w:rPr>
        <w:t>谈判书</w:t>
      </w:r>
    </w:p>
    <w:p>
      <w:pPr>
        <w:spacing w:line="500" w:lineRule="exact"/>
        <w:ind w:left="-118" w:leftChars="-42"/>
        <w:rPr>
          <w:rFonts w:eastAsia="仿宋_GB2312"/>
          <w:color w:val="auto"/>
          <w:szCs w:val="28"/>
        </w:rPr>
      </w:pP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湖北省博物馆/湖北省文物考古研究所</w:t>
      </w:r>
      <w:r>
        <w:rPr>
          <w:rFonts w:ascii="Times New Roman" w:hAnsi="Times New Roman" w:cs="Times New Roman"/>
          <w:color w:val="auto"/>
          <w:sz w:val="24"/>
          <w:u w:val="single"/>
        </w:rPr>
        <w:t>)</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pPr>
        <w:pStyle w:val="19"/>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pPr>
        <w:pStyle w:val="19"/>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pPr>
        <w:pStyle w:val="19"/>
        <w:spacing w:line="440" w:lineRule="exact"/>
        <w:ind w:firstLine="840"/>
        <w:rPr>
          <w:rFonts w:ascii="宋体" w:hAnsi="宋体" w:eastAsia="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ascii="宋体" w:hAnsi="宋体" w:eastAsia="宋体"/>
          <w:color w:val="auto"/>
          <w:sz w:val="24"/>
        </w:rPr>
        <w:t>附件2</w:t>
      </w:r>
    </w:p>
    <w:p>
      <w:pPr>
        <w:ind w:firstLine="3040" w:firstLineChars="950"/>
        <w:rPr>
          <w:rFonts w:eastAsia="宋体"/>
          <w:color w:val="auto"/>
          <w:sz w:val="32"/>
          <w:szCs w:val="32"/>
        </w:rPr>
      </w:pPr>
      <w:r>
        <w:rPr>
          <w:rFonts w:eastAsia="宋体"/>
          <w:color w:val="auto"/>
          <w:sz w:val="32"/>
          <w:szCs w:val="32"/>
        </w:rPr>
        <w:t>报价组成情况表</w:t>
      </w:r>
    </w:p>
    <w:p>
      <w:pPr>
        <w:spacing w:line="500" w:lineRule="exact"/>
        <w:rPr>
          <w:rFonts w:eastAsia="仿宋_GB2312"/>
          <w:color w:val="auto"/>
        </w:rPr>
      </w:pP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spacing w:line="240" w:lineRule="atLeast"/>
        <w:rPr>
          <w:rFonts w:eastAsia="仿宋_GB2312"/>
          <w:color w:val="auto"/>
          <w:sz w:val="24"/>
          <w:u w:val="single"/>
        </w:rPr>
      </w:pPr>
      <w:r>
        <w:rPr>
          <w:color w:val="auto"/>
          <w:sz w:val="24"/>
        </w:rPr>
        <w:t>项目名称：</w:t>
      </w:r>
    </w:p>
    <w:tbl>
      <w:tblPr>
        <w:tblStyle w:val="32"/>
        <w:tblW w:w="85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9"/>
        <w:gridCol w:w="662"/>
        <w:gridCol w:w="551"/>
        <w:gridCol w:w="1115"/>
        <w:gridCol w:w="663"/>
        <w:gridCol w:w="663"/>
        <w:gridCol w:w="610"/>
        <w:gridCol w:w="824"/>
        <w:gridCol w:w="720"/>
        <w:gridCol w:w="780"/>
        <w:gridCol w:w="768"/>
        <w:gridCol w:w="7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4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序号</w:t>
            </w:r>
          </w:p>
        </w:tc>
        <w:tc>
          <w:tcPr>
            <w:tcW w:w="6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项目类型</w:t>
            </w:r>
          </w:p>
        </w:tc>
        <w:tc>
          <w:tcPr>
            <w:tcW w:w="166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项目名称</w:t>
            </w:r>
          </w:p>
        </w:tc>
        <w:tc>
          <w:tcPr>
            <w:tcW w:w="6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单次用量</w:t>
            </w:r>
          </w:p>
        </w:tc>
        <w:tc>
          <w:tcPr>
            <w:tcW w:w="6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规格</w:t>
            </w:r>
          </w:p>
        </w:tc>
        <w:tc>
          <w:tcPr>
            <w:tcW w:w="6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单位</w:t>
            </w:r>
          </w:p>
        </w:tc>
        <w:tc>
          <w:tcPr>
            <w:tcW w:w="309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rPr>
              <w:t>金额（元）</w:t>
            </w:r>
          </w:p>
        </w:tc>
        <w:tc>
          <w:tcPr>
            <w:tcW w:w="72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u w:val="none"/>
              </w:rPr>
            </w:pP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u w:val="none"/>
              </w:rPr>
            </w:pPr>
          </w:p>
        </w:tc>
        <w:tc>
          <w:tcPr>
            <w:tcW w:w="166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u w:val="none"/>
              </w:rPr>
            </w:pPr>
          </w:p>
        </w:tc>
        <w:tc>
          <w:tcPr>
            <w:tcW w:w="6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u w:val="none"/>
              </w:rPr>
            </w:pPr>
          </w:p>
        </w:tc>
        <w:tc>
          <w:tcPr>
            <w:tcW w:w="6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u w:val="none"/>
              </w:rPr>
            </w:pPr>
          </w:p>
        </w:tc>
        <w:tc>
          <w:tcPr>
            <w:tcW w:w="6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rPr>
              <w:t>限价</w:t>
            </w:r>
            <w:r>
              <w:rPr>
                <w:rFonts w:hint="eastAsia" w:ascii="宋体" w:hAnsi="宋体" w:eastAsia="宋体" w:cs="宋体"/>
                <w:i w:val="0"/>
                <w:iCs w:val="0"/>
                <w:color w:val="auto"/>
                <w:kern w:val="0"/>
                <w:sz w:val="22"/>
                <w:szCs w:val="22"/>
                <w:u w:val="none"/>
                <w:lang w:val="en-US" w:eastAsia="zh-CN"/>
              </w:rPr>
              <w:t>单价</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rPr>
              <w:t>限价</w:t>
            </w:r>
            <w:r>
              <w:rPr>
                <w:rFonts w:hint="eastAsia" w:ascii="宋体" w:hAnsi="宋体" w:eastAsia="宋体" w:cs="宋体"/>
                <w:i w:val="0"/>
                <w:iCs w:val="0"/>
                <w:color w:val="auto"/>
                <w:kern w:val="0"/>
                <w:sz w:val="22"/>
                <w:szCs w:val="22"/>
                <w:u w:val="none"/>
                <w:lang w:val="en-US" w:eastAsia="zh-CN"/>
              </w:rPr>
              <w:t>小计</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i w:val="0"/>
                <w:iCs w:val="0"/>
                <w:color w:val="auto"/>
                <w:kern w:val="0"/>
                <w:sz w:val="22"/>
                <w:szCs w:val="22"/>
                <w:u w:val="none"/>
                <w:lang w:val="en-US" w:eastAsia="zh-CN"/>
              </w:rPr>
            </w:pPr>
            <w:r>
              <w:rPr>
                <w:rFonts w:hint="eastAsia" w:ascii="宋体" w:hAnsi="宋体" w:cs="宋体"/>
                <w:i w:val="0"/>
                <w:iCs w:val="0"/>
                <w:color w:val="auto"/>
                <w:kern w:val="0"/>
                <w:sz w:val="22"/>
                <w:szCs w:val="22"/>
                <w:u w:val="none"/>
                <w:lang w:val="en-US" w:eastAsia="zh-CN"/>
              </w:rPr>
              <w:t>报价单价</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i w:val="0"/>
                <w:iCs w:val="0"/>
                <w:color w:val="auto"/>
                <w:kern w:val="0"/>
                <w:sz w:val="22"/>
                <w:szCs w:val="22"/>
                <w:u w:val="none"/>
                <w:lang w:val="en-US" w:eastAsia="zh-CN"/>
              </w:rPr>
            </w:pPr>
            <w:r>
              <w:rPr>
                <w:rFonts w:hint="eastAsia" w:ascii="宋体" w:hAnsi="宋体" w:cs="宋体"/>
                <w:i w:val="0"/>
                <w:iCs w:val="0"/>
                <w:color w:val="auto"/>
                <w:kern w:val="0"/>
                <w:sz w:val="22"/>
                <w:szCs w:val="22"/>
                <w:u w:val="none"/>
                <w:lang w:val="en-US" w:eastAsia="zh-CN"/>
              </w:rPr>
              <w:t>报价小计</w:t>
            </w:r>
          </w:p>
        </w:tc>
        <w:tc>
          <w:tcPr>
            <w:tcW w:w="7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w:t>
            </w:r>
          </w:p>
        </w:tc>
        <w:tc>
          <w:tcPr>
            <w:tcW w:w="662"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除四害</w:t>
            </w:r>
          </w:p>
        </w:tc>
        <w:tc>
          <w:tcPr>
            <w:tcW w:w="551"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药品</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高氯残杀威</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8 </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500g/瓶</w:t>
            </w:r>
          </w:p>
        </w:tc>
        <w:tc>
          <w:tcPr>
            <w:tcW w:w="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瓶</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55.00 </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440.00 </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室内蚊虫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w:t>
            </w:r>
          </w:p>
        </w:tc>
        <w:tc>
          <w:tcPr>
            <w:tcW w:w="66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551"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丙烯氯菊</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8 </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500ml/瓶</w:t>
            </w:r>
          </w:p>
        </w:tc>
        <w:tc>
          <w:tcPr>
            <w:tcW w:w="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瓶</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115.00 </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920.00 </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室内蚊虫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3</w:t>
            </w:r>
          </w:p>
        </w:tc>
        <w:tc>
          <w:tcPr>
            <w:tcW w:w="66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551"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高氯毒死蜱</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8 </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500g/瓶</w:t>
            </w:r>
          </w:p>
        </w:tc>
        <w:tc>
          <w:tcPr>
            <w:tcW w:w="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瓶</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128.00 </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1,024.00 </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户外蚊虫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4</w:t>
            </w:r>
          </w:p>
        </w:tc>
        <w:tc>
          <w:tcPr>
            <w:tcW w:w="66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551"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胆钙化醇</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4 </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5kg/盒</w:t>
            </w:r>
          </w:p>
        </w:tc>
        <w:tc>
          <w:tcPr>
            <w:tcW w:w="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盒</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95.00 </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380.00 </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老鼠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5</w:t>
            </w:r>
          </w:p>
        </w:tc>
        <w:tc>
          <w:tcPr>
            <w:tcW w:w="66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551"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粘鼠板</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20 </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10片/盒</w:t>
            </w:r>
          </w:p>
        </w:tc>
        <w:tc>
          <w:tcPr>
            <w:tcW w:w="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片</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2.00 </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40.00 </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老鼠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6</w:t>
            </w:r>
          </w:p>
        </w:tc>
        <w:tc>
          <w:tcPr>
            <w:tcW w:w="66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551"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杀虫饵粒</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10 </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500g/袋</w:t>
            </w:r>
          </w:p>
        </w:tc>
        <w:tc>
          <w:tcPr>
            <w:tcW w:w="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袋</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65.00 </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650.00 </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蟑螂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7</w:t>
            </w:r>
          </w:p>
        </w:tc>
        <w:tc>
          <w:tcPr>
            <w:tcW w:w="66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551"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杀虫胶饵</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20 </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50g/支</w:t>
            </w:r>
          </w:p>
        </w:tc>
        <w:tc>
          <w:tcPr>
            <w:tcW w:w="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支</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29.00 </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580.00 </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蟑螂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8</w:t>
            </w:r>
          </w:p>
        </w:tc>
        <w:tc>
          <w:tcPr>
            <w:tcW w:w="66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5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人工</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除四害防治用工</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8 </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w:t>
            </w:r>
          </w:p>
        </w:tc>
        <w:tc>
          <w:tcPr>
            <w:tcW w:w="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元/工日</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240.00 </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1,920.00 </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9</w:t>
            </w:r>
          </w:p>
        </w:tc>
        <w:tc>
          <w:tcPr>
            <w:tcW w:w="66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3602"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每月小计</w:t>
            </w:r>
          </w:p>
        </w:tc>
        <w:tc>
          <w:tcPr>
            <w:tcW w:w="15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rPr>
              <w:t xml:space="preserve">5,954.00 </w:t>
            </w:r>
          </w:p>
        </w:tc>
        <w:tc>
          <w:tcPr>
            <w:tcW w:w="154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10</w:t>
            </w:r>
          </w:p>
        </w:tc>
        <w:tc>
          <w:tcPr>
            <w:tcW w:w="66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3602"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12个月合计（12次）</w:t>
            </w:r>
          </w:p>
        </w:tc>
        <w:tc>
          <w:tcPr>
            <w:tcW w:w="15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kern w:val="0"/>
                <w:sz w:val="22"/>
                <w:szCs w:val="22"/>
                <w:u w:val="none"/>
                <w:lang w:val="en-US" w:eastAsia="zh-CN"/>
              </w:rPr>
            </w:pPr>
            <w:r>
              <w:rPr>
                <w:rFonts w:hint="eastAsia" w:ascii="宋体" w:hAnsi="宋体" w:eastAsia="宋体" w:cs="宋体"/>
                <w:b/>
                <w:bCs/>
                <w:i w:val="0"/>
                <w:iCs w:val="0"/>
                <w:color w:val="auto"/>
                <w:kern w:val="0"/>
                <w:sz w:val="22"/>
                <w:szCs w:val="22"/>
                <w:u w:val="none"/>
                <w:lang w:val="en-US" w:eastAsia="zh-CN"/>
              </w:rPr>
              <w:t xml:space="preserve">71,448.00 </w:t>
            </w:r>
          </w:p>
        </w:tc>
        <w:tc>
          <w:tcPr>
            <w:tcW w:w="154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11</w:t>
            </w:r>
          </w:p>
        </w:tc>
        <w:tc>
          <w:tcPr>
            <w:tcW w:w="662"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白蚁防治</w:t>
            </w:r>
          </w:p>
        </w:tc>
        <w:tc>
          <w:tcPr>
            <w:tcW w:w="55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药品</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白蚁检测诱杀装置</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31 </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w:t>
            </w:r>
          </w:p>
        </w:tc>
        <w:tc>
          <w:tcPr>
            <w:tcW w:w="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个</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39.00 </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1,209.00 </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室外白蚁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12</w:t>
            </w:r>
          </w:p>
        </w:tc>
        <w:tc>
          <w:tcPr>
            <w:tcW w:w="66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5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u w:val="none"/>
              </w:rPr>
            </w:pP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白蚁粉剂</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110 </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60g/瓶</w:t>
            </w:r>
          </w:p>
        </w:tc>
        <w:tc>
          <w:tcPr>
            <w:tcW w:w="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瓶</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28.00 </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3,080.00 </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室内白蚁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13</w:t>
            </w:r>
          </w:p>
        </w:tc>
        <w:tc>
          <w:tcPr>
            <w:tcW w:w="66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5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u w:val="none"/>
              </w:rPr>
            </w:pP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白蚁水剂</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12 </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5kg/桶</w:t>
            </w:r>
          </w:p>
        </w:tc>
        <w:tc>
          <w:tcPr>
            <w:tcW w:w="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桶</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420.00 </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5,040.00 </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白蚁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14</w:t>
            </w:r>
          </w:p>
        </w:tc>
        <w:tc>
          <w:tcPr>
            <w:tcW w:w="66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5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人工</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白蚁防治用工</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10 </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w:t>
            </w:r>
          </w:p>
        </w:tc>
        <w:tc>
          <w:tcPr>
            <w:tcW w:w="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元/工日</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240.00 </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2,400.00 </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15</w:t>
            </w:r>
          </w:p>
        </w:tc>
        <w:tc>
          <w:tcPr>
            <w:tcW w:w="66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3602"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每季度小计</w:t>
            </w:r>
          </w:p>
        </w:tc>
        <w:tc>
          <w:tcPr>
            <w:tcW w:w="15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rPr>
              <w:t xml:space="preserve">11,729.00 </w:t>
            </w:r>
          </w:p>
        </w:tc>
        <w:tc>
          <w:tcPr>
            <w:tcW w:w="154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16</w:t>
            </w:r>
          </w:p>
        </w:tc>
        <w:tc>
          <w:tcPr>
            <w:tcW w:w="66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3602"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12个月合计（4次）</w:t>
            </w:r>
          </w:p>
        </w:tc>
        <w:tc>
          <w:tcPr>
            <w:tcW w:w="15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kern w:val="0"/>
                <w:sz w:val="22"/>
                <w:szCs w:val="22"/>
                <w:u w:val="none"/>
                <w:lang w:val="en-US" w:eastAsia="zh-CN"/>
              </w:rPr>
            </w:pPr>
            <w:r>
              <w:rPr>
                <w:rFonts w:hint="eastAsia" w:ascii="宋体" w:hAnsi="宋体" w:eastAsia="宋体" w:cs="宋体"/>
                <w:b/>
                <w:bCs/>
                <w:i w:val="0"/>
                <w:iCs w:val="0"/>
                <w:color w:val="auto"/>
                <w:kern w:val="0"/>
                <w:sz w:val="22"/>
                <w:szCs w:val="22"/>
                <w:u w:val="none"/>
                <w:lang w:val="en-US" w:eastAsia="zh-CN"/>
              </w:rPr>
              <w:t xml:space="preserve">46,916.00 </w:t>
            </w:r>
          </w:p>
        </w:tc>
        <w:tc>
          <w:tcPr>
            <w:tcW w:w="154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17</w:t>
            </w:r>
          </w:p>
        </w:tc>
        <w:tc>
          <w:tcPr>
            <w:tcW w:w="6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防疫消杀</w:t>
            </w:r>
          </w:p>
        </w:tc>
        <w:tc>
          <w:tcPr>
            <w:tcW w:w="5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月工费</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消杀技术用工</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1 </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w:t>
            </w:r>
          </w:p>
        </w:tc>
        <w:tc>
          <w:tcPr>
            <w:tcW w:w="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月</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2,800.00 </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2,800.00 </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rPr>
              <w:t>防疫日常消杀为每天1人每日按规定时间进行消杀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18</w:t>
            </w: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u w:val="none"/>
              </w:rPr>
            </w:pPr>
          </w:p>
        </w:tc>
        <w:tc>
          <w:tcPr>
            <w:tcW w:w="5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药品</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新冠消毒液</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1 </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80kg</w:t>
            </w:r>
          </w:p>
        </w:tc>
        <w:tc>
          <w:tcPr>
            <w:tcW w:w="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月</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1,600.00 </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1,600.00 </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19</w:t>
            </w: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u w:val="none"/>
              </w:rPr>
            </w:pPr>
          </w:p>
        </w:tc>
        <w:tc>
          <w:tcPr>
            <w:tcW w:w="3602"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12个月合计（12个月）</w:t>
            </w:r>
          </w:p>
        </w:tc>
        <w:tc>
          <w:tcPr>
            <w:tcW w:w="15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 xml:space="preserve">52,800.00 </w:t>
            </w:r>
          </w:p>
        </w:tc>
        <w:tc>
          <w:tcPr>
            <w:tcW w:w="154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20</w:t>
            </w:r>
          </w:p>
        </w:tc>
        <w:tc>
          <w:tcPr>
            <w:tcW w:w="23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不含税合计</w:t>
            </w:r>
          </w:p>
        </w:tc>
        <w:tc>
          <w:tcPr>
            <w:tcW w:w="193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u w:val="none"/>
              </w:rPr>
            </w:pPr>
          </w:p>
        </w:tc>
        <w:tc>
          <w:tcPr>
            <w:tcW w:w="15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171,164.00 </w:t>
            </w:r>
          </w:p>
        </w:tc>
        <w:tc>
          <w:tcPr>
            <w:tcW w:w="154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21</w:t>
            </w:r>
          </w:p>
        </w:tc>
        <w:tc>
          <w:tcPr>
            <w:tcW w:w="23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劳保及防护用品（2%）</w:t>
            </w:r>
          </w:p>
        </w:tc>
        <w:tc>
          <w:tcPr>
            <w:tcW w:w="193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（20）*2%</w:t>
            </w:r>
          </w:p>
        </w:tc>
        <w:tc>
          <w:tcPr>
            <w:tcW w:w="15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3,423.28 </w:t>
            </w:r>
          </w:p>
        </w:tc>
        <w:tc>
          <w:tcPr>
            <w:tcW w:w="154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22</w:t>
            </w:r>
          </w:p>
        </w:tc>
        <w:tc>
          <w:tcPr>
            <w:tcW w:w="23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危化药品施工费（2%）</w:t>
            </w:r>
          </w:p>
        </w:tc>
        <w:tc>
          <w:tcPr>
            <w:tcW w:w="193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（20）*2%</w:t>
            </w:r>
          </w:p>
        </w:tc>
        <w:tc>
          <w:tcPr>
            <w:tcW w:w="15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3,423.28 </w:t>
            </w:r>
          </w:p>
        </w:tc>
        <w:tc>
          <w:tcPr>
            <w:tcW w:w="154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23</w:t>
            </w:r>
          </w:p>
        </w:tc>
        <w:tc>
          <w:tcPr>
            <w:tcW w:w="23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机械租赁费（1%)</w:t>
            </w:r>
          </w:p>
        </w:tc>
        <w:tc>
          <w:tcPr>
            <w:tcW w:w="193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（20）*1%</w:t>
            </w:r>
          </w:p>
        </w:tc>
        <w:tc>
          <w:tcPr>
            <w:tcW w:w="15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1,711.64 </w:t>
            </w:r>
          </w:p>
        </w:tc>
        <w:tc>
          <w:tcPr>
            <w:tcW w:w="154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24</w:t>
            </w:r>
          </w:p>
        </w:tc>
        <w:tc>
          <w:tcPr>
            <w:tcW w:w="23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管理费(3%)</w:t>
            </w:r>
          </w:p>
        </w:tc>
        <w:tc>
          <w:tcPr>
            <w:tcW w:w="193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（20）*3%</w:t>
            </w:r>
          </w:p>
        </w:tc>
        <w:tc>
          <w:tcPr>
            <w:tcW w:w="15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5,134.92 </w:t>
            </w:r>
          </w:p>
        </w:tc>
        <w:tc>
          <w:tcPr>
            <w:tcW w:w="154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25</w:t>
            </w:r>
          </w:p>
        </w:tc>
        <w:tc>
          <w:tcPr>
            <w:tcW w:w="23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利润（3%）</w:t>
            </w:r>
          </w:p>
        </w:tc>
        <w:tc>
          <w:tcPr>
            <w:tcW w:w="193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（20）*3%</w:t>
            </w:r>
          </w:p>
        </w:tc>
        <w:tc>
          <w:tcPr>
            <w:tcW w:w="15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5,134.92 </w:t>
            </w:r>
          </w:p>
        </w:tc>
        <w:tc>
          <w:tcPr>
            <w:tcW w:w="154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26</w:t>
            </w:r>
          </w:p>
        </w:tc>
        <w:tc>
          <w:tcPr>
            <w:tcW w:w="23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税费（3%）</w:t>
            </w:r>
          </w:p>
        </w:tc>
        <w:tc>
          <w:tcPr>
            <w:tcW w:w="193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（20+21+......+25）*3%</w:t>
            </w:r>
          </w:p>
        </w:tc>
        <w:tc>
          <w:tcPr>
            <w:tcW w:w="15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5,699.76 </w:t>
            </w:r>
          </w:p>
        </w:tc>
        <w:tc>
          <w:tcPr>
            <w:tcW w:w="154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27</w:t>
            </w:r>
          </w:p>
        </w:tc>
        <w:tc>
          <w:tcPr>
            <w:tcW w:w="4264"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总计</w:t>
            </w:r>
          </w:p>
        </w:tc>
        <w:tc>
          <w:tcPr>
            <w:tcW w:w="15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 xml:space="preserve">195,691.80 </w:t>
            </w:r>
          </w:p>
        </w:tc>
        <w:tc>
          <w:tcPr>
            <w:tcW w:w="154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18"/>
                <w:szCs w:val="18"/>
                <w:u w:val="none"/>
              </w:rPr>
            </w:pPr>
          </w:p>
        </w:tc>
      </w:tr>
    </w:tbl>
    <w:p>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pPr>
        <w:pStyle w:val="19"/>
        <w:spacing w:line="500" w:lineRule="exact"/>
        <w:rPr>
          <w:rFonts w:ascii="Times New Roman" w:hAnsi="Times New Roman" w:cs="Times New Roman"/>
          <w:color w:val="auto"/>
          <w:sz w:val="24"/>
          <w:szCs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bCs/>
          <w:color w:val="auto"/>
          <w:sz w:val="24"/>
        </w:rPr>
      </w:pPr>
      <w:r>
        <w:rPr>
          <w:color w:val="auto"/>
          <w:sz w:val="24"/>
        </w:rPr>
        <w:t>时间：</w:t>
      </w:r>
      <w:r>
        <w:rPr>
          <w:bCs/>
          <w:color w:val="auto"/>
          <w:sz w:val="24"/>
        </w:rPr>
        <w:br w:type="page"/>
      </w:r>
      <w:r>
        <w:rPr>
          <w:bCs/>
          <w:color w:val="auto"/>
          <w:sz w:val="24"/>
        </w:rPr>
        <w:t>附件3</w:t>
      </w:r>
    </w:p>
    <w:p>
      <w:pPr>
        <w:jc w:val="center"/>
        <w:rPr>
          <w:rFonts w:eastAsia="宋体"/>
          <w:color w:val="auto"/>
          <w:sz w:val="32"/>
          <w:szCs w:val="32"/>
        </w:rPr>
      </w:pPr>
      <w:r>
        <w:rPr>
          <w:rFonts w:hint="eastAsia" w:eastAsia="宋体"/>
          <w:color w:val="auto"/>
          <w:sz w:val="32"/>
          <w:szCs w:val="32"/>
        </w:rPr>
        <w:t>货物（</w:t>
      </w:r>
      <w:r>
        <w:rPr>
          <w:rFonts w:eastAsia="宋体"/>
          <w:color w:val="auto"/>
          <w:sz w:val="32"/>
          <w:szCs w:val="32"/>
        </w:rPr>
        <w:t>服务</w:t>
      </w:r>
      <w:r>
        <w:rPr>
          <w:rFonts w:hint="eastAsia" w:eastAsia="宋体"/>
          <w:color w:val="auto"/>
          <w:sz w:val="32"/>
          <w:szCs w:val="32"/>
        </w:rPr>
        <w:t>）</w:t>
      </w:r>
      <w:r>
        <w:rPr>
          <w:rFonts w:eastAsia="宋体"/>
          <w:color w:val="auto"/>
          <w:sz w:val="32"/>
          <w:szCs w:val="32"/>
        </w:rPr>
        <w:t>清单</w:t>
      </w:r>
    </w:p>
    <w:p>
      <w:pPr>
        <w:spacing w:line="240" w:lineRule="atLeast"/>
        <w:rPr>
          <w:color w:val="auto"/>
          <w:sz w:val="24"/>
        </w:rPr>
      </w:pPr>
    </w:p>
    <w:p>
      <w:pPr>
        <w:spacing w:line="240" w:lineRule="atLeast"/>
        <w:rPr>
          <w:color w:val="auto"/>
          <w:sz w:val="24"/>
        </w:rPr>
      </w:pPr>
      <w:r>
        <w:rPr>
          <w:color w:val="auto"/>
          <w:sz w:val="24"/>
        </w:rPr>
        <w:t>项目编号</w:t>
      </w:r>
      <w:r>
        <w:rPr>
          <w:rFonts w:hint="eastAsia"/>
          <w:color w:val="auto"/>
          <w:sz w:val="24"/>
        </w:rPr>
        <w:t>（包号）</w:t>
      </w:r>
      <w:r>
        <w:rPr>
          <w:color w:val="auto"/>
          <w:sz w:val="24"/>
        </w:rPr>
        <w:t>：</w:t>
      </w:r>
    </w:p>
    <w:p>
      <w:pPr>
        <w:rPr>
          <w:b/>
          <w:bCs/>
          <w:color w:val="auto"/>
          <w:sz w:val="32"/>
          <w:szCs w:val="32"/>
        </w:rPr>
      </w:pPr>
      <w:r>
        <w:rPr>
          <w:color w:val="auto"/>
          <w:sz w:val="24"/>
        </w:rPr>
        <w:t>项目名称：</w:t>
      </w:r>
    </w:p>
    <w:tbl>
      <w:tblPr>
        <w:tblStyle w:val="32"/>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序号</w:t>
            </w:r>
          </w:p>
        </w:tc>
        <w:tc>
          <w:tcPr>
            <w:tcW w:w="2187" w:type="dxa"/>
            <w:vAlign w:val="center"/>
          </w:tcPr>
          <w:p>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pPr>
              <w:adjustRightInd w:val="0"/>
              <w:snapToGrid w:val="0"/>
              <w:jc w:val="center"/>
              <w:rPr>
                <w:color w:val="auto"/>
                <w:sz w:val="24"/>
              </w:rPr>
            </w:pPr>
            <w:r>
              <w:rPr>
                <w:color w:val="auto"/>
                <w:sz w:val="24"/>
              </w:rPr>
              <w:t>生产地</w:t>
            </w:r>
          </w:p>
        </w:tc>
        <w:tc>
          <w:tcPr>
            <w:tcW w:w="1701" w:type="dxa"/>
            <w:vAlign w:val="center"/>
          </w:tcPr>
          <w:p>
            <w:pPr>
              <w:adjustRightInd w:val="0"/>
              <w:snapToGrid w:val="0"/>
              <w:jc w:val="center"/>
              <w:rPr>
                <w:color w:val="auto"/>
                <w:sz w:val="24"/>
              </w:rPr>
            </w:pPr>
            <w:r>
              <w:rPr>
                <w:color w:val="auto"/>
                <w:sz w:val="24"/>
              </w:rPr>
              <w:t>规格型号</w:t>
            </w:r>
          </w:p>
        </w:tc>
        <w:tc>
          <w:tcPr>
            <w:tcW w:w="1134" w:type="dxa"/>
            <w:vAlign w:val="center"/>
          </w:tcPr>
          <w:p>
            <w:pPr>
              <w:adjustRightInd w:val="0"/>
              <w:snapToGrid w:val="0"/>
              <w:jc w:val="center"/>
              <w:rPr>
                <w:color w:val="auto"/>
                <w:sz w:val="24"/>
              </w:rPr>
            </w:pPr>
            <w:r>
              <w:rPr>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1</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2</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3</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4</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5</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6</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7</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8</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bl>
    <w:p>
      <w:pPr>
        <w:spacing w:line="240" w:lineRule="atLeast"/>
        <w:ind w:firstLine="480" w:firstLineChars="200"/>
        <w:rPr>
          <w:color w:val="auto"/>
        </w:rPr>
      </w:pPr>
      <w:r>
        <w:rPr>
          <w:color w:val="auto"/>
          <w:sz w:val="24"/>
        </w:rPr>
        <w:t>说明：提供详细的货物和服务范围，包括货物和服务类别及制造（开发）商、备品备件等。</w:t>
      </w:r>
    </w:p>
    <w:p>
      <w:pPr>
        <w:spacing w:line="500" w:lineRule="exact"/>
        <w:rPr>
          <w:rFonts w:eastAsia="仿宋_GB2312"/>
          <w:color w:val="auto"/>
          <w:sz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spacing w:line="480" w:lineRule="auto"/>
        <w:rPr>
          <w:bCs/>
          <w:color w:val="auto"/>
          <w:sz w:val="24"/>
        </w:rPr>
      </w:pPr>
      <w:r>
        <w:rPr>
          <w:rFonts w:eastAsia="仿宋_GB2312"/>
          <w:bCs/>
          <w:color w:val="auto"/>
          <w:szCs w:val="28"/>
        </w:rPr>
        <w:br w:type="page"/>
      </w:r>
      <w:r>
        <w:rPr>
          <w:bCs/>
          <w:color w:val="auto"/>
          <w:sz w:val="24"/>
        </w:rPr>
        <w:t>附件4</w:t>
      </w:r>
    </w:p>
    <w:p>
      <w:pPr>
        <w:spacing w:line="480" w:lineRule="auto"/>
        <w:jc w:val="center"/>
        <w:rPr>
          <w:color w:val="auto"/>
          <w:sz w:val="32"/>
          <w:szCs w:val="32"/>
        </w:rPr>
      </w:pPr>
      <w:r>
        <w:rPr>
          <w:rFonts w:hint="eastAsia"/>
          <w:color w:val="auto"/>
          <w:sz w:val="32"/>
          <w:szCs w:val="32"/>
        </w:rPr>
        <w:t>资格性符合性检查对照表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rPr>
          <w:color w:val="auto"/>
          <w:sz w:val="24"/>
        </w:rPr>
      </w:pPr>
      <w:r>
        <w:rPr>
          <w:color w:val="auto"/>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序号</w:t>
            </w:r>
          </w:p>
        </w:tc>
        <w:tc>
          <w:tcPr>
            <w:tcW w:w="4164"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资格性符合性检查内容</w:t>
            </w:r>
          </w:p>
        </w:tc>
        <w:tc>
          <w:tcPr>
            <w:tcW w:w="1265"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响应文件响应情况</w:t>
            </w:r>
          </w:p>
        </w:tc>
        <w:tc>
          <w:tcPr>
            <w:tcW w:w="1096"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偏离情况说明</w:t>
            </w:r>
          </w:p>
        </w:tc>
        <w:tc>
          <w:tcPr>
            <w:tcW w:w="1541"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1</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ind w:left="-20" w:leftChars="-50" w:hanging="120" w:hangingChars="50"/>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2</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3</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4</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5</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6</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left"/>
              <w:rPr>
                <w:rFonts w:ascii="Calibri" w:hAnsi="Calibri" w:eastAsia="宋体" w:cs="Times New Roman"/>
                <w:color w:val="auto"/>
                <w:kern w:val="0"/>
                <w:sz w:val="24"/>
                <w:szCs w:val="20"/>
              </w:rPr>
            </w:pPr>
          </w:p>
        </w:tc>
        <w:tc>
          <w:tcPr>
            <w:tcW w:w="1096" w:type="dxa"/>
            <w:vAlign w:val="top"/>
          </w:tcPr>
          <w:p>
            <w:pPr>
              <w:jc w:val="left"/>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7</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left"/>
              <w:rPr>
                <w:rFonts w:ascii="Calibri" w:hAnsi="Calibri" w:eastAsia="宋体" w:cs="Times New Roman"/>
                <w:color w:val="auto"/>
                <w:kern w:val="0"/>
                <w:sz w:val="24"/>
                <w:szCs w:val="20"/>
              </w:rPr>
            </w:pPr>
          </w:p>
        </w:tc>
        <w:tc>
          <w:tcPr>
            <w:tcW w:w="1096" w:type="dxa"/>
            <w:vAlign w:val="top"/>
          </w:tcPr>
          <w:p>
            <w:pPr>
              <w:jc w:val="left"/>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8</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9</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ascii="Calibri" w:hAnsi="Calibri" w:eastAsia="宋体" w:cs="Times New Roman"/>
                <w:color w:val="auto"/>
                <w:kern w:val="0"/>
                <w:sz w:val="24"/>
                <w:szCs w:val="20"/>
              </w:rPr>
              <w:t>…</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自评结论</w:t>
            </w: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bl>
    <w:p>
      <w:pPr>
        <w:spacing w:line="240" w:lineRule="atLeast"/>
        <w:rPr>
          <w:color w:val="auto"/>
          <w:sz w:val="24"/>
        </w:rPr>
      </w:pPr>
      <w:r>
        <w:rPr>
          <w:color w:val="auto"/>
          <w:sz w:val="24"/>
        </w:rPr>
        <w:t>说明：</w:t>
      </w:r>
    </w:p>
    <w:p>
      <w:pPr>
        <w:spacing w:line="240" w:lineRule="atLeast"/>
        <w:ind w:firstLine="480" w:firstLineChars="200"/>
        <w:rPr>
          <w:color w:val="auto"/>
          <w:sz w:val="24"/>
        </w:rPr>
      </w:pPr>
      <w:r>
        <w:rPr>
          <w:color w:val="auto"/>
          <w:sz w:val="24"/>
        </w:rPr>
        <w:t>1. 备注栏中应提供相关内容在响应文件中的页码。</w:t>
      </w:r>
    </w:p>
    <w:p>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rPr>
      </w:pP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u w:val="single"/>
        </w:rPr>
      </w:pPr>
      <w:r>
        <w:rPr>
          <w:color w:val="auto"/>
          <w:sz w:val="24"/>
        </w:rPr>
        <w:t>授权代表（签字）</w:t>
      </w:r>
      <w:r>
        <w:rPr>
          <w:rFonts w:hint="eastAsia"/>
          <w:color w:val="auto"/>
          <w:sz w:val="24"/>
        </w:rPr>
        <w:t>：</w:t>
      </w:r>
    </w:p>
    <w:p>
      <w:pPr>
        <w:spacing w:line="440" w:lineRule="exact"/>
        <w:rPr>
          <w:color w:val="auto"/>
          <w:sz w:val="24"/>
        </w:rPr>
      </w:pPr>
      <w:r>
        <w:rPr>
          <w:color w:val="auto"/>
          <w:sz w:val="24"/>
        </w:rPr>
        <w:t>时间：</w:t>
      </w:r>
    </w:p>
    <w:p>
      <w:pPr>
        <w:widowControl/>
        <w:jc w:val="left"/>
        <w:rPr>
          <w:bCs/>
          <w:color w:val="auto"/>
          <w:sz w:val="24"/>
        </w:rPr>
      </w:pPr>
    </w:p>
    <w:p>
      <w:pPr>
        <w:widowControl/>
        <w:jc w:val="left"/>
        <w:rPr>
          <w:bCs/>
          <w:color w:val="auto"/>
          <w:sz w:val="24"/>
        </w:rPr>
      </w:pPr>
      <w:r>
        <w:rPr>
          <w:bCs/>
          <w:color w:val="auto"/>
          <w:sz w:val="24"/>
        </w:rPr>
        <w:br w:type="page"/>
      </w:r>
    </w:p>
    <w:p>
      <w:pPr>
        <w:spacing w:line="480" w:lineRule="auto"/>
        <w:rPr>
          <w:bCs/>
          <w:color w:val="auto"/>
          <w:sz w:val="24"/>
        </w:rPr>
      </w:pPr>
      <w:r>
        <w:rPr>
          <w:rFonts w:hint="eastAsia"/>
          <w:bCs/>
          <w:color w:val="auto"/>
          <w:sz w:val="24"/>
        </w:rPr>
        <w:t>附件5</w:t>
      </w:r>
    </w:p>
    <w:p>
      <w:pPr>
        <w:jc w:val="center"/>
        <w:rPr>
          <w:bCs/>
          <w:color w:val="auto"/>
          <w:sz w:val="32"/>
          <w:szCs w:val="32"/>
        </w:rPr>
      </w:pPr>
      <w:r>
        <w:rPr>
          <w:bCs/>
          <w:color w:val="auto"/>
          <w:sz w:val="32"/>
          <w:szCs w:val="32"/>
        </w:rPr>
        <w:t>技术响应、偏离情况说明表</w:t>
      </w:r>
    </w:p>
    <w:p>
      <w:pPr>
        <w:rPr>
          <w:bCs/>
          <w:color w:val="auto"/>
          <w:sz w:val="24"/>
        </w:rPr>
      </w:pPr>
      <w:r>
        <w:rPr>
          <w:bCs/>
          <w:color w:val="auto"/>
          <w:sz w:val="24"/>
        </w:rPr>
        <w:t>项目编号</w:t>
      </w:r>
      <w:r>
        <w:rPr>
          <w:rFonts w:hint="eastAsia"/>
          <w:color w:val="auto"/>
          <w:sz w:val="24"/>
        </w:rPr>
        <w:t>（包号）</w:t>
      </w:r>
      <w:r>
        <w:rPr>
          <w:bCs/>
          <w:color w:val="auto"/>
          <w:sz w:val="24"/>
        </w:rPr>
        <w:t>：</w:t>
      </w:r>
    </w:p>
    <w:p>
      <w:pPr>
        <w:rPr>
          <w:bCs/>
          <w:color w:val="auto"/>
          <w:sz w:val="24"/>
        </w:rPr>
      </w:pPr>
      <w:r>
        <w:rPr>
          <w:bCs/>
          <w:color w:val="auto"/>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jc w:val="center"/>
              <w:rPr>
                <w:bCs/>
                <w:color w:val="auto"/>
                <w:sz w:val="24"/>
              </w:rPr>
            </w:pPr>
            <w:r>
              <w:rPr>
                <w:bCs/>
                <w:color w:val="auto"/>
                <w:sz w:val="24"/>
              </w:rPr>
              <w:t>序号</w:t>
            </w:r>
          </w:p>
        </w:tc>
        <w:tc>
          <w:tcPr>
            <w:tcW w:w="2204" w:type="dxa"/>
            <w:vAlign w:val="center"/>
          </w:tcPr>
          <w:p>
            <w:pPr>
              <w:rPr>
                <w:bCs/>
                <w:color w:val="auto"/>
                <w:sz w:val="24"/>
              </w:rPr>
            </w:pPr>
            <w:r>
              <w:rPr>
                <w:bCs/>
                <w:color w:val="auto"/>
                <w:sz w:val="24"/>
              </w:rPr>
              <w:t>谈判文件要求部分</w:t>
            </w:r>
          </w:p>
        </w:tc>
        <w:tc>
          <w:tcPr>
            <w:tcW w:w="2269" w:type="dxa"/>
            <w:vAlign w:val="center"/>
          </w:tcPr>
          <w:p>
            <w:pPr>
              <w:ind w:leftChars="-38" w:right="-106" w:rightChars="-38" w:hanging="105" w:hangingChars="44"/>
              <w:jc w:val="center"/>
              <w:rPr>
                <w:bCs/>
                <w:color w:val="auto"/>
                <w:sz w:val="24"/>
              </w:rPr>
            </w:pPr>
            <w:r>
              <w:rPr>
                <w:bCs/>
                <w:color w:val="auto"/>
                <w:sz w:val="24"/>
              </w:rPr>
              <w:t>响应文件的响应部分</w:t>
            </w:r>
          </w:p>
        </w:tc>
        <w:tc>
          <w:tcPr>
            <w:tcW w:w="1278" w:type="dxa"/>
            <w:vAlign w:val="center"/>
          </w:tcPr>
          <w:p>
            <w:pPr>
              <w:jc w:val="center"/>
              <w:rPr>
                <w:bCs/>
                <w:color w:val="auto"/>
                <w:sz w:val="24"/>
              </w:rPr>
            </w:pPr>
            <w:r>
              <w:rPr>
                <w:bCs/>
                <w:color w:val="auto"/>
                <w:sz w:val="24"/>
              </w:rPr>
              <w:t>偏离说明</w:t>
            </w:r>
          </w:p>
        </w:tc>
        <w:tc>
          <w:tcPr>
            <w:tcW w:w="2315"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1</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2</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3</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4</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5</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6</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7</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8</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bl>
    <w:p>
      <w:pPr>
        <w:adjustRightInd w:val="0"/>
        <w:snapToGrid w:val="0"/>
        <w:ind w:left="720" w:hanging="720" w:hangingChars="300"/>
        <w:rPr>
          <w:rFonts w:ascii="宋体" w:hAnsi="宋体"/>
          <w:color w:val="auto"/>
          <w:sz w:val="24"/>
        </w:rPr>
      </w:pPr>
      <w:r>
        <w:rPr>
          <w:rFonts w:ascii="宋体" w:hAnsi="宋体"/>
          <w:color w:val="auto"/>
          <w:sz w:val="24"/>
        </w:rPr>
        <w:t>说明：</w:t>
      </w:r>
    </w:p>
    <w:p>
      <w:pPr>
        <w:spacing w:line="300" w:lineRule="auto"/>
        <w:ind w:firstLine="480" w:firstLineChars="200"/>
        <w:rPr>
          <w:color w:val="auto"/>
          <w:sz w:val="24"/>
        </w:rPr>
      </w:pPr>
      <w:r>
        <w:rPr>
          <w:color w:val="auto"/>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pPr>
        <w:rPr>
          <w:bCs/>
          <w:color w:val="auto"/>
          <w:szCs w:val="28"/>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sz w:val="24"/>
          <w:u w:val="single"/>
        </w:rPr>
      </w:pPr>
      <w:r>
        <w:rPr>
          <w:color w:val="auto"/>
          <w:sz w:val="24"/>
        </w:rPr>
        <w:t>时间：</w:t>
      </w:r>
    </w:p>
    <w:p>
      <w:pPr>
        <w:rPr>
          <w:bCs/>
          <w:color w:val="auto"/>
          <w:sz w:val="24"/>
        </w:rPr>
      </w:pPr>
      <w:r>
        <w:rPr>
          <w:bCs/>
          <w:color w:val="auto"/>
          <w:szCs w:val="28"/>
        </w:rPr>
        <w:br w:type="page"/>
      </w:r>
      <w:r>
        <w:rPr>
          <w:bCs/>
          <w:color w:val="auto"/>
          <w:sz w:val="24"/>
        </w:rPr>
        <w:t>附件</w:t>
      </w:r>
      <w:r>
        <w:rPr>
          <w:rFonts w:hint="eastAsia"/>
          <w:bCs/>
          <w:color w:val="auto"/>
          <w:sz w:val="24"/>
        </w:rPr>
        <w:t>6</w:t>
      </w:r>
    </w:p>
    <w:p>
      <w:pPr>
        <w:jc w:val="center"/>
        <w:rPr>
          <w:bCs/>
          <w:color w:val="auto"/>
          <w:sz w:val="32"/>
          <w:szCs w:val="32"/>
        </w:rPr>
      </w:pPr>
      <w:r>
        <w:rPr>
          <w:bCs/>
          <w:color w:val="auto"/>
          <w:sz w:val="32"/>
          <w:szCs w:val="32"/>
        </w:rPr>
        <w:t>合同草案条款响应、偏离情况说明表</w:t>
      </w:r>
    </w:p>
    <w:p>
      <w:pPr>
        <w:rPr>
          <w:bCs/>
          <w:color w:val="auto"/>
          <w:sz w:val="24"/>
        </w:rPr>
      </w:pPr>
      <w:r>
        <w:rPr>
          <w:bCs/>
          <w:color w:val="auto"/>
          <w:sz w:val="24"/>
        </w:rPr>
        <w:t>项目名称：</w:t>
      </w:r>
    </w:p>
    <w:p>
      <w:pPr>
        <w:rPr>
          <w:bCs/>
          <w:color w:val="auto"/>
          <w:sz w:val="24"/>
        </w:rPr>
      </w:pPr>
      <w:r>
        <w:rPr>
          <w:bCs/>
          <w:color w:val="auto"/>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rPr>
                <w:bCs/>
                <w:color w:val="auto"/>
                <w:sz w:val="24"/>
              </w:rPr>
            </w:pPr>
            <w:r>
              <w:rPr>
                <w:bCs/>
                <w:color w:val="auto"/>
                <w:sz w:val="24"/>
              </w:rPr>
              <w:t>序号</w:t>
            </w:r>
          </w:p>
        </w:tc>
        <w:tc>
          <w:tcPr>
            <w:tcW w:w="2061" w:type="dxa"/>
            <w:vAlign w:val="center"/>
          </w:tcPr>
          <w:p>
            <w:pPr>
              <w:ind w:right="-106" w:rightChars="-38"/>
              <w:jc w:val="center"/>
              <w:rPr>
                <w:bCs/>
                <w:color w:val="auto"/>
                <w:sz w:val="24"/>
              </w:rPr>
            </w:pPr>
            <w:r>
              <w:rPr>
                <w:bCs/>
                <w:color w:val="auto"/>
                <w:sz w:val="24"/>
              </w:rPr>
              <w:t>谈判文件要求部分</w:t>
            </w:r>
          </w:p>
        </w:tc>
        <w:tc>
          <w:tcPr>
            <w:tcW w:w="2269" w:type="dxa"/>
            <w:vAlign w:val="center"/>
          </w:tcPr>
          <w:p>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pPr>
              <w:jc w:val="center"/>
              <w:rPr>
                <w:bCs/>
                <w:color w:val="auto"/>
                <w:sz w:val="24"/>
              </w:rPr>
            </w:pPr>
            <w:r>
              <w:rPr>
                <w:bCs/>
                <w:color w:val="auto"/>
                <w:sz w:val="24"/>
              </w:rPr>
              <w:t>偏离说明</w:t>
            </w:r>
          </w:p>
        </w:tc>
        <w:tc>
          <w:tcPr>
            <w:tcW w:w="2459"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1</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2</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3</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4</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5</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6</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7</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8</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bl>
    <w:p>
      <w:pPr>
        <w:pStyle w:val="17"/>
        <w:spacing w:line="300" w:lineRule="auto"/>
        <w:ind w:firstLine="0"/>
        <w:rPr>
          <w:rFonts w:ascii="宋体" w:hAnsi="宋体"/>
          <w:color w:val="auto"/>
          <w:sz w:val="24"/>
          <w:szCs w:val="24"/>
        </w:rPr>
      </w:pPr>
      <w:r>
        <w:rPr>
          <w:rFonts w:ascii="宋体" w:hAnsi="宋体"/>
          <w:color w:val="auto"/>
          <w:sz w:val="24"/>
          <w:szCs w:val="24"/>
        </w:rPr>
        <w:t>说明：</w:t>
      </w:r>
    </w:p>
    <w:p>
      <w:pPr>
        <w:spacing w:line="300" w:lineRule="auto"/>
        <w:ind w:firstLine="480" w:firstLineChars="200"/>
        <w:rPr>
          <w:color w:val="auto"/>
          <w:sz w:val="24"/>
        </w:rPr>
      </w:pPr>
      <w:r>
        <w:rPr>
          <w:color w:val="auto"/>
          <w:sz w:val="24"/>
        </w:rPr>
        <w:t>1. 备注栏中应提供相关内容在响应文件中的页码。</w:t>
      </w:r>
    </w:p>
    <w:p>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rPr>
      </w:pPr>
      <w:r>
        <w:rPr>
          <w:color w:val="auto"/>
          <w:sz w:val="24"/>
        </w:rPr>
        <w:t>授权代表（签字）：</w:t>
      </w:r>
    </w:p>
    <w:p>
      <w:pPr>
        <w:spacing w:line="440" w:lineRule="exact"/>
        <w:rPr>
          <w:color w:val="auto"/>
          <w:sz w:val="24"/>
        </w:rPr>
      </w:pPr>
      <w:r>
        <w:rPr>
          <w:color w:val="auto"/>
          <w:sz w:val="24"/>
        </w:rPr>
        <w:t>时间：</w:t>
      </w:r>
    </w:p>
    <w:p>
      <w:pPr>
        <w:ind w:firstLine="480" w:firstLineChars="200"/>
        <w:rPr>
          <w:rFonts w:ascii="宋体" w:hAnsi="宋体"/>
          <w:color w:val="auto"/>
          <w:sz w:val="24"/>
        </w:rPr>
      </w:pPr>
    </w:p>
    <w:p>
      <w:pPr>
        <w:pStyle w:val="19"/>
        <w:spacing w:line="500" w:lineRule="exact"/>
        <w:rPr>
          <w:rFonts w:ascii="Times New Roman" w:hAnsi="Times New Roman" w:cs="Times New Roman"/>
          <w:color w:val="auto"/>
          <w:sz w:val="24"/>
          <w:szCs w:val="24"/>
        </w:rPr>
      </w:pPr>
    </w:p>
    <w:p>
      <w:pPr>
        <w:rPr>
          <w:bCs/>
          <w:color w:val="auto"/>
          <w:sz w:val="24"/>
        </w:rPr>
      </w:pPr>
      <w:r>
        <w:rPr>
          <w:bCs/>
          <w:color w:val="auto"/>
          <w:sz w:val="24"/>
        </w:rPr>
        <w:t>附件</w:t>
      </w:r>
      <w:r>
        <w:rPr>
          <w:rFonts w:hint="eastAsia"/>
          <w:bCs/>
          <w:color w:val="auto"/>
          <w:sz w:val="24"/>
        </w:rPr>
        <w:t>7</w:t>
      </w:r>
    </w:p>
    <w:p>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pPr>
        <w:spacing w:beforeLines="50" w:afterLines="100"/>
        <w:rPr>
          <w:bCs/>
          <w:color w:val="auto"/>
          <w:sz w:val="24"/>
        </w:rPr>
      </w:pPr>
    </w:p>
    <w:p>
      <w:pPr>
        <w:spacing w:beforeLines="50" w:afterLines="100"/>
        <w:rPr>
          <w:bCs/>
          <w:color w:val="auto"/>
          <w:sz w:val="24"/>
        </w:rPr>
      </w:pPr>
      <w:r>
        <w:rPr>
          <w:rFonts w:hint="eastAsia"/>
          <w:bCs/>
          <w:color w:val="auto"/>
          <w:sz w:val="24"/>
        </w:rPr>
        <w:t>（集中采购机构名称）</w:t>
      </w:r>
      <w:r>
        <w:rPr>
          <w:bCs/>
          <w:color w:val="auto"/>
          <w:sz w:val="24"/>
        </w:rPr>
        <w:t>：</w:t>
      </w:r>
    </w:p>
    <w:p>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pPr>
        <w:spacing w:line="440" w:lineRule="exact"/>
        <w:ind w:firstLine="480" w:firstLineChars="200"/>
        <w:rPr>
          <w:bCs/>
          <w:color w:val="auto"/>
          <w:sz w:val="24"/>
        </w:rPr>
      </w:pPr>
      <w:r>
        <w:rPr>
          <w:bCs/>
          <w:color w:val="auto"/>
          <w:sz w:val="24"/>
        </w:rPr>
        <w:t>特此声明。</w:t>
      </w:r>
    </w:p>
    <w:p>
      <w:pPr>
        <w:spacing w:beforeLines="50" w:afterLines="100" w:line="440" w:lineRule="exact"/>
        <w:rPr>
          <w:bCs/>
          <w:color w:val="auto"/>
          <w:sz w:val="24"/>
        </w:rPr>
      </w:pPr>
    </w:p>
    <w:p>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pPr>
        <w:spacing w:beforeLines="100" w:after="100" w:afterAutospacing="1"/>
        <w:ind w:firstLine="480" w:firstLineChars="200"/>
        <w:rPr>
          <w:bCs/>
          <w:color w:val="auto"/>
          <w:sz w:val="24"/>
          <w:u w:val="single"/>
        </w:rPr>
      </w:pPr>
      <w:r>
        <w:rPr>
          <w:bCs/>
          <w:color w:val="auto"/>
          <w:sz w:val="24"/>
        </w:rPr>
        <w:t>电话：电话（手机）：</w:t>
      </w:r>
    </w:p>
    <w:p>
      <w:pPr>
        <w:spacing w:beforeLines="100" w:after="100" w:afterAutospacing="1"/>
        <w:ind w:firstLine="480" w:firstLineChars="200"/>
        <w:rPr>
          <w:bCs/>
          <w:color w:val="auto"/>
          <w:sz w:val="24"/>
          <w:u w:val="single"/>
        </w:rPr>
      </w:pPr>
      <w:r>
        <w:rPr>
          <w:bCs/>
          <w:color w:val="auto"/>
          <w:sz w:val="24"/>
        </w:rPr>
        <w:t>传真：办公电话/传真：</w:t>
      </w:r>
    </w:p>
    <w:p>
      <w:pPr>
        <w:spacing w:beforeLines="50" w:afterLines="100"/>
        <w:rPr>
          <w:bCs/>
          <w:color w:val="auto"/>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trPr>
        <w:tc>
          <w:tcPr>
            <w:tcW w:w="8522" w:type="dxa"/>
            <w:vAlign w:val="top"/>
          </w:tcPr>
          <w:p>
            <w:pPr>
              <w:spacing w:beforeLines="50" w:afterLines="100"/>
              <w:rPr>
                <w:bCs/>
                <w:color w:val="auto"/>
                <w:sz w:val="24"/>
              </w:rPr>
            </w:pPr>
            <w:r>
              <w:rPr>
                <w:bCs/>
                <w:color w:val="auto"/>
                <w:sz w:val="24"/>
              </w:rPr>
              <w:t>粘贴被授权人身份证（复印件）</w:t>
            </w:r>
          </w:p>
        </w:tc>
      </w:tr>
    </w:tbl>
    <w:p>
      <w:pPr>
        <w:spacing w:beforeLines="50" w:afterLines="100"/>
        <w:rPr>
          <w:bCs/>
          <w:color w:val="auto"/>
          <w:sz w:val="24"/>
        </w:rPr>
      </w:pPr>
    </w:p>
    <w:p>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pPr>
        <w:spacing w:line="500" w:lineRule="exact"/>
        <w:jc w:val="center"/>
        <w:rPr>
          <w:bCs/>
          <w:color w:val="auto"/>
          <w:sz w:val="32"/>
          <w:szCs w:val="32"/>
        </w:rPr>
      </w:pPr>
      <w:r>
        <w:rPr>
          <w:rFonts w:hint="eastAsia"/>
          <w:bCs/>
          <w:color w:val="auto"/>
          <w:sz w:val="32"/>
          <w:szCs w:val="32"/>
        </w:rPr>
        <w:t>法人或者其他组织的营业执照等证明文件，自然人的</w:t>
      </w:r>
    </w:p>
    <w:p>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pPr>
        <w:rPr>
          <w:rFonts w:eastAsia="仿宋_GB2312"/>
          <w:bCs/>
          <w:color w:val="auto"/>
          <w:szCs w:val="28"/>
        </w:rPr>
      </w:pPr>
    </w:p>
    <w:p>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pPr>
        <w:spacing w:line="440" w:lineRule="exact"/>
        <w:ind w:left="360" w:hanging="360" w:hangingChars="150"/>
        <w:rPr>
          <w:bCs/>
          <w:color w:val="auto"/>
          <w:sz w:val="24"/>
        </w:rPr>
      </w:pPr>
    </w:p>
    <w:p>
      <w:pPr>
        <w:widowControl/>
        <w:jc w:val="left"/>
        <w:rPr>
          <w:bCs/>
          <w:color w:val="auto"/>
          <w:sz w:val="24"/>
        </w:rPr>
      </w:pPr>
      <w:r>
        <w:rPr>
          <w:bCs/>
          <w:color w:val="auto"/>
          <w:sz w:val="24"/>
        </w:rPr>
        <w:br w:type="page"/>
      </w:r>
    </w:p>
    <w:p>
      <w:pPr>
        <w:spacing w:line="440" w:lineRule="exact"/>
        <w:ind w:left="360" w:hanging="360" w:hangingChars="150"/>
        <w:rPr>
          <w:bCs/>
          <w:color w:val="auto"/>
          <w:sz w:val="24"/>
        </w:rPr>
      </w:pPr>
      <w:r>
        <w:rPr>
          <w:bCs/>
          <w:color w:val="auto"/>
          <w:sz w:val="24"/>
        </w:rPr>
        <w:t>附件</w:t>
      </w:r>
      <w:r>
        <w:rPr>
          <w:rFonts w:hint="eastAsia"/>
          <w:bCs/>
          <w:color w:val="auto"/>
          <w:sz w:val="24"/>
        </w:rPr>
        <w:t>9</w:t>
      </w:r>
    </w:p>
    <w:p>
      <w:pPr>
        <w:spacing w:line="440" w:lineRule="exact"/>
        <w:ind w:left="3" w:leftChars="1" w:firstLine="480" w:firstLineChars="200"/>
        <w:rPr>
          <w:bCs/>
          <w:color w:val="auto"/>
          <w:sz w:val="24"/>
        </w:rPr>
      </w:pPr>
    </w:p>
    <w:p>
      <w:pPr>
        <w:widowControl/>
        <w:jc w:val="left"/>
        <w:rPr>
          <w:bCs/>
          <w:color w:val="auto"/>
          <w:sz w:val="24"/>
        </w:rPr>
      </w:pPr>
    </w:p>
    <w:p>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pPr>
        <w:spacing w:line="440" w:lineRule="exact"/>
        <w:jc w:val="center"/>
        <w:rPr>
          <w:rFonts w:ascii="宋体" w:hAnsi="宋体"/>
          <w:bCs/>
          <w:color w:val="auto"/>
          <w:sz w:val="32"/>
          <w:szCs w:val="32"/>
        </w:rPr>
      </w:pPr>
    </w:p>
    <w:p>
      <w:pPr>
        <w:spacing w:line="500" w:lineRule="exact"/>
        <w:jc w:val="center"/>
        <w:rPr>
          <w:rFonts w:eastAsia="宋体"/>
          <w:bCs/>
          <w:color w:val="auto"/>
          <w:sz w:val="24"/>
        </w:rPr>
      </w:pPr>
      <w:r>
        <w:rPr>
          <w:rFonts w:hint="eastAsia" w:ascii="宋体" w:hAnsi="宋体"/>
          <w:bCs/>
          <w:color w:val="auto"/>
          <w:sz w:val="24"/>
        </w:rPr>
        <w:t>（提供履行合同所必需的设备和专业技术能力的相关文件）</w:t>
      </w:r>
    </w:p>
    <w:p>
      <w:pPr>
        <w:widowControl/>
        <w:jc w:val="left"/>
        <w:rPr>
          <w:color w:val="auto"/>
          <w:sz w:val="24"/>
        </w:rPr>
      </w:pPr>
      <w:r>
        <w:rPr>
          <w:color w:val="auto"/>
          <w:sz w:val="24"/>
        </w:rPr>
        <w:br w:type="page"/>
      </w:r>
    </w:p>
    <w:p>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12" w:type="default"/>
      <w:footerReference r:id="rId13" w:type="default"/>
      <w:footerReference r:id="rId1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10</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3"/>
      <w:lvlText w:val="%1"/>
      <w:lvlJc w:val="left"/>
      <w:pPr>
        <w:tabs>
          <w:tab w:val="left" w:pos="432"/>
        </w:tabs>
        <w:ind w:left="432" w:hanging="432"/>
      </w:pPr>
    </w:lvl>
    <w:lvl w:ilvl="1" w:tentative="1">
      <w:start w:val="1"/>
      <w:numFmt w:val="decimal"/>
      <w:pStyle w:val="2"/>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num w:numId="1">
    <w:abstractNumId w:val="1170484378"/>
  </w:num>
  <w:num w:numId="2">
    <w:abstractNumId w:val="42949671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mY4NDEwZTI2MTk5MzhmMGFjNjgyYTUxNDM3OGYwY2YifQ=="/>
  </w:docVars>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93576CC"/>
    <w:rsid w:val="0EF91CE6"/>
    <w:rsid w:val="15233A04"/>
    <w:rsid w:val="17657E73"/>
    <w:rsid w:val="1C710E91"/>
    <w:rsid w:val="1FF50351"/>
    <w:rsid w:val="229260C8"/>
    <w:rsid w:val="22D21317"/>
    <w:rsid w:val="268F2F81"/>
    <w:rsid w:val="354C380A"/>
    <w:rsid w:val="39FB41E4"/>
    <w:rsid w:val="3C610894"/>
    <w:rsid w:val="40176872"/>
    <w:rsid w:val="42BE4111"/>
    <w:rsid w:val="4FF63CF9"/>
    <w:rsid w:val="50181445"/>
    <w:rsid w:val="547B54A6"/>
    <w:rsid w:val="59AC1BE4"/>
    <w:rsid w:val="61AE6629"/>
    <w:rsid w:val="65602744"/>
    <w:rsid w:val="68FA7C56"/>
    <w:rsid w:val="6D9A1D3C"/>
    <w:rsid w:val="73915795"/>
    <w:rsid w:val="7E30493E"/>
    <w:rsid w:val="7F531815"/>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2">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qFormat/>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qFormat/>
    <w:uiPriority w:val="99"/>
    <w:rPr>
      <w:rFonts w:ascii="Times New Roman" w:hAnsi="Times New Roman" w:eastAsia="宋体" w:cs="Times New Roman"/>
      <w:b/>
      <w:bCs/>
      <w:szCs w:val="24"/>
    </w:rPr>
  </w:style>
  <w:style w:type="paragraph" w:styleId="12">
    <w:name w:val="annotation text"/>
    <w:basedOn w:val="1"/>
    <w:link w:val="97"/>
    <w:qFormat/>
    <w:uiPriority w:val="0"/>
    <w:pPr>
      <w:jc w:val="left"/>
    </w:pPr>
    <w:rPr>
      <w:rFonts w:ascii="Calibri" w:hAnsi="Calibri" w:eastAsia="宋体" w:cs="黑体"/>
      <w:szCs w:val="22"/>
    </w:rPr>
  </w:style>
  <w:style w:type="paragraph" w:styleId="13">
    <w:name w:val="Normal Indent"/>
    <w:basedOn w:val="1"/>
    <w:link w:val="98"/>
    <w:qFormat/>
    <w:uiPriority w:val="0"/>
    <w:pPr>
      <w:ind w:firstLine="420"/>
    </w:pPr>
    <w:rPr>
      <w:rFonts w:ascii="Calibri" w:hAnsi="Calibri" w:eastAsia="宋体" w:cs="黑体"/>
      <w:sz w:val="21"/>
      <w:szCs w:val="22"/>
    </w:rPr>
  </w:style>
  <w:style w:type="paragraph" w:styleId="14">
    <w:name w:val="List Bullet"/>
    <w:basedOn w:val="1"/>
    <w:qFormat/>
    <w:uiPriority w:val="0"/>
    <w:pPr>
      <w:numPr>
        <w:ilvl w:val="0"/>
        <w:numId w:val="2"/>
      </w:numPr>
    </w:pPr>
    <w:rPr>
      <w:sz w:val="21"/>
    </w:rPr>
  </w:style>
  <w:style w:type="paragraph" w:styleId="15">
    <w:name w:val="Document Map"/>
    <w:basedOn w:val="1"/>
    <w:link w:val="96"/>
    <w:semiHidden/>
    <w:qFormat/>
    <w:uiPriority w:val="0"/>
    <w:rPr>
      <w:rFonts w:ascii="Heiti SC Light" w:hAnsi="Calibri" w:eastAsia="Times New Roman"/>
      <w:sz w:val="24"/>
    </w:rPr>
  </w:style>
  <w:style w:type="paragraph" w:styleId="16">
    <w:name w:val="Body Text"/>
    <w:basedOn w:val="1"/>
    <w:link w:val="101"/>
    <w:qFormat/>
    <w:uiPriority w:val="0"/>
    <w:pPr>
      <w:spacing w:line="420" w:lineRule="auto"/>
    </w:pPr>
    <w:rPr>
      <w:sz w:val="24"/>
    </w:rPr>
  </w:style>
  <w:style w:type="paragraph" w:styleId="17">
    <w:name w:val="Body Text Indent"/>
    <w:basedOn w:val="1"/>
    <w:link w:val="85"/>
    <w:qFormat/>
    <w:uiPriority w:val="0"/>
    <w:pPr>
      <w:ind w:firstLine="600"/>
    </w:pPr>
    <w:rPr>
      <w:sz w:val="32"/>
      <w:szCs w:val="20"/>
    </w:rPr>
  </w:style>
  <w:style w:type="paragraph" w:styleId="18">
    <w:name w:val="toc 3"/>
    <w:basedOn w:val="1"/>
    <w:next w:val="1"/>
    <w:qFormat/>
    <w:uiPriority w:val="0"/>
    <w:pPr>
      <w:ind w:left="840" w:leftChars="400"/>
    </w:pPr>
    <w:rPr>
      <w:sz w:val="21"/>
    </w:rPr>
  </w:style>
  <w:style w:type="paragraph" w:styleId="19">
    <w:name w:val="Plain Text"/>
    <w:basedOn w:val="1"/>
    <w:link w:val="84"/>
    <w:qFormat/>
    <w:uiPriority w:val="0"/>
    <w:rPr>
      <w:rFonts w:ascii="宋体" w:hAnsi="Courier New" w:cs="Courier New"/>
      <w:sz w:val="21"/>
      <w:szCs w:val="21"/>
    </w:rPr>
  </w:style>
  <w:style w:type="paragraph" w:styleId="20">
    <w:name w:val="Balloon Text"/>
    <w:basedOn w:val="1"/>
    <w:link w:val="86"/>
    <w:unhideWhenUsed/>
    <w:qFormat/>
    <w:uiPriority w:val="0"/>
    <w:rPr>
      <w:sz w:val="18"/>
      <w:szCs w:val="18"/>
    </w:rPr>
  </w:style>
  <w:style w:type="paragraph" w:styleId="21">
    <w:name w:val="footer"/>
    <w:basedOn w:val="1"/>
    <w:link w:val="83"/>
    <w:qFormat/>
    <w:uiPriority w:val="99"/>
    <w:pPr>
      <w:tabs>
        <w:tab w:val="center" w:pos="4153"/>
        <w:tab w:val="right" w:pos="8306"/>
      </w:tabs>
      <w:snapToGrid w:val="0"/>
      <w:jc w:val="left"/>
    </w:pPr>
    <w:rPr>
      <w:sz w:val="18"/>
      <w:szCs w:val="18"/>
    </w:rPr>
  </w:style>
  <w:style w:type="paragraph" w:styleId="22">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103"/>
    <w:qFormat/>
    <w:uiPriority w:val="0"/>
    <w:pPr>
      <w:spacing w:after="120"/>
      <w:ind w:left="420" w:leftChars="200"/>
    </w:pPr>
    <w:rPr>
      <w:sz w:val="16"/>
      <w:szCs w:val="16"/>
    </w:rPr>
  </w:style>
  <w:style w:type="paragraph" w:styleId="25">
    <w:name w:val="Normal (Web)"/>
    <w:basedOn w:val="1"/>
    <w:qFormat/>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qFormat/>
    <w:uiPriority w:val="0"/>
  </w:style>
  <w:style w:type="character" w:styleId="29">
    <w:name w:val="FollowedHyperlink"/>
    <w:qFormat/>
    <w:uiPriority w:val="99"/>
    <w:rPr>
      <w:color w:val="800080"/>
      <w:u w:val="single"/>
    </w:rPr>
  </w:style>
  <w:style w:type="character" w:styleId="30">
    <w:name w:val="Hyperlink"/>
    <w:qFormat/>
    <w:uiPriority w:val="99"/>
    <w:rPr>
      <w:color w:val="0000FF"/>
      <w:u w:val="single"/>
    </w:rPr>
  </w:style>
  <w:style w:type="character" w:styleId="31">
    <w:name w:val="annotation reference"/>
    <w:qFormat/>
    <w:uiPriority w:val="0"/>
    <w:rPr>
      <w:sz w:val="21"/>
    </w:rPr>
  </w:style>
  <w:style w:type="table" w:styleId="33">
    <w:name w:val="Table Grid"/>
    <w:basedOn w:val="32"/>
    <w:qFormat/>
    <w:uiPriority w:val="59"/>
    <w:pPr/>
    <w:rPr>
      <w:rFonts w:ascii="Calibri" w:hAnsi="Calibri" w:eastAsia="宋体" w:cs="Times New Roman"/>
      <w:kern w:val="0"/>
      <w:sz w:val="20"/>
      <w:szCs w:val="20"/>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35">
    <w:name w:val="List Paragraph"/>
    <w:basedOn w:val="1"/>
    <w:qFormat/>
    <w:uiPriority w:val="0"/>
    <w:pPr>
      <w:ind w:firstLine="420" w:firstLineChars="200"/>
    </w:pPr>
  </w:style>
  <w:style w:type="paragraph" w:customStyle="1" w:styleId="36">
    <w:name w:val="列出段落1"/>
    <w:basedOn w:val="1"/>
    <w:qFormat/>
    <w:uiPriority w:val="0"/>
    <w:pPr>
      <w:ind w:firstLine="420" w:firstLineChars="200"/>
    </w:pPr>
    <w:rPr>
      <w:rFonts w:ascii="Calibri" w:hAnsi="Calibri"/>
      <w:sz w:val="21"/>
      <w:szCs w:val="22"/>
    </w:rPr>
  </w:style>
  <w:style w:type="paragraph" w:customStyle="1" w:styleId="37">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Char Char"/>
    <w:basedOn w:val="1"/>
    <w:qFormat/>
    <w:uiPriority w:val="0"/>
    <w:rPr>
      <w:rFonts w:ascii="Tahoma" w:hAnsi="Tahoma"/>
      <w:sz w:val="24"/>
      <w:szCs w:val="20"/>
    </w:rPr>
  </w:style>
  <w:style w:type="paragraph" w:customStyle="1" w:styleId="39">
    <w:name w:val="大汉方案正文"/>
    <w:basedOn w:val="1"/>
    <w:qFormat/>
    <w:uiPriority w:val="0"/>
    <w:pPr>
      <w:spacing w:line="360" w:lineRule="auto"/>
      <w:ind w:firstLine="200" w:firstLineChars="200"/>
    </w:pPr>
    <w:rPr>
      <w:rFonts w:ascii="Arial" w:hAnsi="Arial"/>
      <w:sz w:val="24"/>
      <w:szCs w:val="20"/>
    </w:rPr>
  </w:style>
  <w:style w:type="paragraph" w:customStyle="1" w:styleId="40">
    <w:name w:val="retrait3"/>
    <w:basedOn w:val="1"/>
    <w:qFormat/>
    <w:uiPriority w:val="0"/>
    <w:pPr>
      <w:widowControl/>
      <w:spacing w:before="20" w:after="20"/>
      <w:ind w:left="851"/>
      <w:jc w:val="left"/>
    </w:pPr>
    <w:rPr>
      <w:rFonts w:ascii="Arial" w:hAnsi="Arial"/>
      <w:kern w:val="0"/>
      <w:sz w:val="24"/>
      <w:szCs w:val="20"/>
    </w:rPr>
  </w:style>
  <w:style w:type="paragraph" w:customStyle="1" w:styleId="41">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qFormat/>
    <w:uiPriority w:val="99"/>
    <w:rPr>
      <w:rFonts w:ascii="Times New Roman" w:hAnsi="Times New Roman" w:eastAsia="宋体" w:cs="Times New Roman"/>
      <w:sz w:val="18"/>
      <w:szCs w:val="18"/>
    </w:rPr>
  </w:style>
  <w:style w:type="character" w:customStyle="1" w:styleId="84">
    <w:name w:val="纯文本 Char"/>
    <w:basedOn w:val="27"/>
    <w:link w:val="19"/>
    <w:qFormat/>
    <w:uiPriority w:val="0"/>
    <w:rPr>
      <w:rFonts w:ascii="宋体" w:hAnsi="Courier New" w:eastAsia="宋体" w:cs="Courier New"/>
      <w:szCs w:val="21"/>
    </w:rPr>
  </w:style>
  <w:style w:type="character" w:customStyle="1" w:styleId="85">
    <w:name w:val="正文文本缩进 Char"/>
    <w:basedOn w:val="27"/>
    <w:link w:val="17"/>
    <w:qFormat/>
    <w:uiPriority w:val="0"/>
    <w:rPr>
      <w:rFonts w:ascii="Times New Roman" w:hAnsi="Times New Roman" w:eastAsia="宋体" w:cs="Times New Roman"/>
      <w:sz w:val="32"/>
      <w:szCs w:val="20"/>
    </w:rPr>
  </w:style>
  <w:style w:type="character" w:customStyle="1" w:styleId="86">
    <w:name w:val="批注框文本 Char"/>
    <w:basedOn w:val="27"/>
    <w:link w:val="20"/>
    <w:qFormat/>
    <w:uiPriority w:val="0"/>
    <w:rPr>
      <w:rFonts w:ascii="Times New Roman" w:hAnsi="Times New Roman" w:eastAsia="宋体" w:cs="Times New Roman"/>
      <w:sz w:val="18"/>
      <w:szCs w:val="18"/>
    </w:rPr>
  </w:style>
  <w:style w:type="character" w:customStyle="1" w:styleId="87">
    <w:name w:val="标题 1 Char"/>
    <w:basedOn w:val="27"/>
    <w:link w:val="3"/>
    <w:qFormat/>
    <w:uiPriority w:val="0"/>
    <w:rPr>
      <w:rFonts w:ascii="Calibri" w:hAnsi="Calibri" w:eastAsia="仿宋" w:cs="Times New Roman"/>
      <w:b/>
      <w:bCs/>
      <w:kern w:val="44"/>
      <w:sz w:val="30"/>
      <w:szCs w:val="44"/>
    </w:rPr>
  </w:style>
  <w:style w:type="character" w:customStyle="1" w:styleId="88">
    <w:name w:val="标题 2 Char"/>
    <w:basedOn w:val="27"/>
    <w:link w:val="2"/>
    <w:qFormat/>
    <w:uiPriority w:val="0"/>
    <w:rPr>
      <w:rFonts w:ascii="Cambria" w:hAnsi="Cambria" w:eastAsia="宋体" w:cs="Times New Roman"/>
      <w:b/>
      <w:bCs/>
      <w:sz w:val="28"/>
      <w:szCs w:val="32"/>
    </w:rPr>
  </w:style>
  <w:style w:type="character" w:customStyle="1" w:styleId="89">
    <w:name w:val="标题 3 Char"/>
    <w:basedOn w:val="27"/>
    <w:link w:val="4"/>
    <w:qFormat/>
    <w:uiPriority w:val="0"/>
    <w:rPr>
      <w:rFonts w:ascii="Calibri" w:hAnsi="Calibri" w:eastAsia="宋体" w:cs="Times New Roman"/>
      <w:b/>
      <w:bCs/>
      <w:sz w:val="32"/>
      <w:szCs w:val="32"/>
    </w:rPr>
  </w:style>
  <w:style w:type="character" w:customStyle="1" w:styleId="90">
    <w:name w:val="标题 4 Char"/>
    <w:basedOn w:val="27"/>
    <w:link w:val="5"/>
    <w:qFormat/>
    <w:uiPriority w:val="0"/>
    <w:rPr>
      <w:rFonts w:ascii="Cambria" w:hAnsi="Cambria" w:eastAsia="宋体" w:cs="Times New Roman"/>
      <w:b/>
      <w:bCs/>
      <w:sz w:val="28"/>
      <w:szCs w:val="28"/>
    </w:rPr>
  </w:style>
  <w:style w:type="character" w:customStyle="1" w:styleId="91">
    <w:name w:val="标题 5 Char"/>
    <w:basedOn w:val="27"/>
    <w:link w:val="6"/>
    <w:qFormat/>
    <w:uiPriority w:val="0"/>
    <w:rPr>
      <w:rFonts w:ascii="Times New Roman" w:hAnsi="Times New Roman" w:eastAsia="宋体" w:cs="Times New Roman"/>
      <w:b/>
      <w:bCs/>
      <w:kern w:val="0"/>
      <w:sz w:val="28"/>
      <w:szCs w:val="28"/>
    </w:rPr>
  </w:style>
  <w:style w:type="character" w:customStyle="1" w:styleId="92">
    <w:name w:val="标题 6 Char"/>
    <w:basedOn w:val="27"/>
    <w:link w:val="7"/>
    <w:qFormat/>
    <w:uiPriority w:val="0"/>
    <w:rPr>
      <w:rFonts w:ascii="Arial" w:hAnsi="Arial" w:eastAsia="黑体" w:cs="Times New Roman"/>
      <w:b/>
      <w:bCs/>
      <w:kern w:val="0"/>
      <w:sz w:val="24"/>
      <w:szCs w:val="24"/>
    </w:rPr>
  </w:style>
  <w:style w:type="character" w:customStyle="1" w:styleId="93">
    <w:name w:val="标题 7 Char"/>
    <w:basedOn w:val="27"/>
    <w:link w:val="8"/>
    <w:qFormat/>
    <w:uiPriority w:val="0"/>
    <w:rPr>
      <w:rFonts w:ascii="Times New Roman" w:hAnsi="Times New Roman" w:eastAsia="宋体" w:cs="Times New Roman"/>
      <w:b/>
      <w:bCs/>
      <w:kern w:val="0"/>
      <w:sz w:val="24"/>
      <w:szCs w:val="24"/>
    </w:rPr>
  </w:style>
  <w:style w:type="character" w:customStyle="1" w:styleId="94">
    <w:name w:val="标题 8 Char"/>
    <w:basedOn w:val="27"/>
    <w:link w:val="9"/>
    <w:qFormat/>
    <w:uiPriority w:val="0"/>
    <w:rPr>
      <w:rFonts w:ascii="Arial" w:hAnsi="Arial" w:eastAsia="黑体" w:cs="Times New Roman"/>
      <w:kern w:val="0"/>
      <w:sz w:val="24"/>
      <w:szCs w:val="24"/>
    </w:rPr>
  </w:style>
  <w:style w:type="character" w:customStyle="1" w:styleId="95">
    <w:name w:val="标题 9 Char"/>
    <w:basedOn w:val="27"/>
    <w:link w:val="10"/>
    <w:qFormat/>
    <w:uiPriority w:val="0"/>
    <w:rPr>
      <w:rFonts w:ascii="Arial" w:hAnsi="Arial" w:eastAsia="黑体" w:cs="Times New Roman"/>
      <w:kern w:val="0"/>
      <w:szCs w:val="21"/>
    </w:rPr>
  </w:style>
  <w:style w:type="character" w:customStyle="1" w:styleId="96">
    <w:name w:val="文档结构图 Char"/>
    <w:basedOn w:val="27"/>
    <w:link w:val="15"/>
    <w:semiHidden/>
    <w:qFormat/>
    <w:uiPriority w:val="0"/>
    <w:rPr>
      <w:rFonts w:ascii="Heiti SC Light" w:hAnsi="Calibri" w:eastAsia="Times New Roman" w:cs="Times New Roman"/>
      <w:sz w:val="24"/>
      <w:szCs w:val="24"/>
    </w:rPr>
  </w:style>
  <w:style w:type="character" w:customStyle="1" w:styleId="97">
    <w:name w:val="批注文字 Char"/>
    <w:link w:val="12"/>
    <w:qFormat/>
    <w:uiPriority w:val="0"/>
    <w:rPr>
      <w:sz w:val="28"/>
    </w:rPr>
  </w:style>
  <w:style w:type="character" w:customStyle="1" w:styleId="98">
    <w:name w:val="正文缩进 Char"/>
    <w:link w:val="13"/>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7"/>
    <w:qFormat/>
    <w:uiPriority w:val="0"/>
    <w:rPr>
      <w:rFonts w:ascii="Times New Roman" w:hAnsi="Times New Roman" w:eastAsia="宋体" w:cs="Times New Roman"/>
      <w:sz w:val="28"/>
      <w:szCs w:val="24"/>
    </w:rPr>
  </w:style>
  <w:style w:type="character" w:customStyle="1" w:styleId="101">
    <w:name w:val="正文文本 Char"/>
    <w:basedOn w:val="27"/>
    <w:link w:val="16"/>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7"/>
    <w:link w:val="24"/>
    <w:qFormat/>
    <w:uiPriority w:val="0"/>
    <w:rPr>
      <w:rFonts w:ascii="Times New Roman" w:hAnsi="Times New Roman" w:eastAsia="宋体" w:cs="Times New Roman"/>
      <w:sz w:val="16"/>
      <w:szCs w:val="16"/>
    </w:rPr>
  </w:style>
  <w:style w:type="character" w:customStyle="1" w:styleId="104">
    <w:name w:val="标题 Char"/>
    <w:basedOn w:val="27"/>
    <w:link w:val="26"/>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7"/>
    <w:link w:val="22"/>
    <w:qFormat/>
    <w:uiPriority w:val="0"/>
    <w:rPr>
      <w:rFonts w:ascii="Times New Roman" w:hAnsi="Times New Roman" w:eastAsia="宋体" w:cs="Times New Roman"/>
      <w:sz w:val="18"/>
      <w:szCs w:val="18"/>
    </w:rPr>
  </w:style>
  <w:style w:type="character" w:customStyle="1" w:styleId="107">
    <w:name w:val="批注主题 Char"/>
    <w:basedOn w:val="97"/>
    <w:link w:val="11"/>
    <w:semiHidden/>
    <w:qFormat/>
    <w:uiPriority w:val="99"/>
    <w:rPr>
      <w:rFonts w:ascii="Times New Roman" w:hAnsi="Times New Roman" w:eastAsia="宋体" w:cs="Times New Roman"/>
      <w:b/>
      <w:bCs/>
      <w:szCs w:val="24"/>
    </w:rPr>
  </w:style>
  <w:style w:type="table" w:customStyle="1" w:styleId="108">
    <w:name w:val="网格型1"/>
    <w:basedOn w:val="32"/>
    <w:qFormat/>
    <w:locked/>
    <w:uiPriority w:val="59"/>
    <w:pPr/>
    <w:rPr>
      <w:rFonts w:ascii="Calibri" w:hAnsi="Calibri" w:eastAsia="宋体"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9798</Words>
  <Characters>10909</Characters>
  <Lines>72</Lines>
  <Paragraphs>20</Paragraphs>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2023-07-11T08:34:00Z</cp:lastPrinted>
  <dcterms:modified xsi:type="dcterms:W3CDTF">2023-07-12T03:17:37Z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469CA992B704456E867A3AAC66F2B91B</vt:lpwstr>
  </property>
</Properties>
</file>