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bookmarkStart w:id="0" w:name="_GoBack"/>
      <w:bookmarkEnd w:id="0"/>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2558" w:leftChars="342" w:hanging="1600" w:hangingChars="500"/>
        <w:rPr>
          <w:rFonts w:hint="eastAsia"/>
          <w:bCs/>
          <w:color w:val="auto"/>
          <w:sz w:val="32"/>
          <w:szCs w:val="32"/>
        </w:rPr>
      </w:pPr>
      <w:r>
        <w:rPr>
          <w:bCs/>
          <w:color w:val="auto"/>
          <w:sz w:val="32"/>
          <w:szCs w:val="32"/>
        </w:rPr>
        <w:t>项目名称：</w:t>
      </w:r>
      <w:r>
        <w:rPr>
          <w:rFonts w:hint="eastAsia"/>
          <w:bCs/>
          <w:color w:val="auto"/>
          <w:sz w:val="32"/>
          <w:szCs w:val="32"/>
        </w:rPr>
        <w:t>湖北省博物馆</w:t>
      </w:r>
      <w:r>
        <w:rPr>
          <w:rFonts w:hint="eastAsia"/>
          <w:bCs/>
          <w:color w:val="auto"/>
          <w:sz w:val="32"/>
          <w:szCs w:val="32"/>
          <w:lang w:val="en-US" w:eastAsia="zh-CN"/>
        </w:rPr>
        <w:t>2023年度</w:t>
      </w:r>
      <w:r>
        <w:rPr>
          <w:rFonts w:hint="eastAsia"/>
          <w:bCs/>
          <w:color w:val="auto"/>
          <w:sz w:val="32"/>
          <w:szCs w:val="32"/>
          <w:lang w:eastAsia="zh-CN"/>
        </w:rPr>
        <w:t>有害生物防治服务</w:t>
      </w:r>
      <w:r>
        <w:rPr>
          <w:rFonts w:hint="eastAsia"/>
          <w:bCs/>
          <w:color w:val="auto"/>
          <w:sz w:val="32"/>
          <w:szCs w:val="32"/>
        </w:rPr>
        <w:t>项目</w:t>
      </w:r>
    </w:p>
    <w:p>
      <w:pPr>
        <w:spacing w:line="480" w:lineRule="auto"/>
        <w:ind w:left="958" w:leftChars="342"/>
        <w:rPr>
          <w:bCs/>
          <w:color w:val="auto"/>
          <w:sz w:val="32"/>
        </w:rPr>
      </w:pPr>
      <w:r>
        <w:rPr>
          <w:rFonts w:hint="eastAsia"/>
          <w:bCs/>
          <w:color w:val="auto"/>
          <w:sz w:val="32"/>
          <w:szCs w:val="32"/>
        </w:rPr>
        <w:t>谈判</w:t>
      </w:r>
      <w:r>
        <w:rPr>
          <w:bCs/>
          <w:color w:val="auto"/>
          <w:sz w:val="32"/>
          <w:szCs w:val="32"/>
        </w:rPr>
        <w:t>内容：</w:t>
      </w:r>
      <w:r>
        <w:rPr>
          <w:rFonts w:hint="eastAsia"/>
          <w:bCs/>
          <w:color w:val="auto"/>
          <w:sz w:val="32"/>
          <w:szCs w:val="32"/>
          <w:lang w:eastAsia="zh-CN"/>
        </w:rPr>
        <w:t>有害生物防治</w:t>
      </w: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3</w:t>
      </w:r>
      <w:r>
        <w:rPr>
          <w:color w:val="auto"/>
          <w:sz w:val="32"/>
          <w:szCs w:val="32"/>
        </w:rPr>
        <w:t>年</w:t>
      </w:r>
      <w:r>
        <w:rPr>
          <w:rFonts w:hint="eastAsia"/>
          <w:color w:val="auto"/>
          <w:sz w:val="32"/>
          <w:szCs w:val="32"/>
          <w:lang w:val="en-US" w:eastAsia="zh-CN"/>
        </w:rPr>
        <w:t>7</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szCs w:val="24"/>
        </w:rPr>
        <w:t>湖北省博物馆</w:t>
      </w:r>
      <w:r>
        <w:rPr>
          <w:rFonts w:hint="eastAsia"/>
          <w:bCs/>
          <w:color w:val="auto"/>
          <w:sz w:val="24"/>
          <w:szCs w:val="24"/>
          <w:lang w:val="en-US" w:eastAsia="zh-CN"/>
        </w:rPr>
        <w:t>2023年度</w:t>
      </w:r>
      <w:r>
        <w:rPr>
          <w:rFonts w:hint="eastAsia"/>
          <w:bCs/>
          <w:color w:val="auto"/>
          <w:sz w:val="24"/>
          <w:szCs w:val="24"/>
          <w:lang w:eastAsia="zh-CN"/>
        </w:rPr>
        <w:t>有害生物防治服务</w:t>
      </w:r>
      <w:r>
        <w:rPr>
          <w:rFonts w:hint="eastAsia"/>
          <w:bCs/>
          <w:color w:val="auto"/>
          <w:sz w:val="24"/>
          <w:szCs w:val="24"/>
        </w:rPr>
        <w:t>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80" w:lineRule="auto"/>
        <w:ind w:firstLine="480" w:firstLineChars="200"/>
        <w:rPr>
          <w:bCs/>
          <w:color w:val="auto"/>
          <w:sz w:val="24"/>
        </w:rPr>
      </w:pPr>
      <w:r>
        <w:rPr>
          <w:bCs/>
          <w:color w:val="auto"/>
          <w:sz w:val="24"/>
        </w:rPr>
        <w:t>二、项目名称：</w:t>
      </w:r>
      <w:r>
        <w:rPr>
          <w:rFonts w:hint="eastAsia"/>
          <w:bCs/>
          <w:color w:val="auto"/>
          <w:sz w:val="24"/>
          <w:szCs w:val="24"/>
        </w:rPr>
        <w:t>湖北省博物馆</w:t>
      </w:r>
      <w:r>
        <w:rPr>
          <w:rFonts w:hint="eastAsia"/>
          <w:bCs/>
          <w:color w:val="auto"/>
          <w:sz w:val="24"/>
          <w:szCs w:val="24"/>
          <w:lang w:val="en-US" w:eastAsia="zh-CN"/>
        </w:rPr>
        <w:t>2023年度</w:t>
      </w:r>
      <w:r>
        <w:rPr>
          <w:rFonts w:hint="eastAsia"/>
          <w:bCs/>
          <w:color w:val="auto"/>
          <w:sz w:val="24"/>
          <w:szCs w:val="24"/>
          <w:lang w:eastAsia="zh-CN"/>
        </w:rPr>
        <w:t>有害生物防治服务</w:t>
      </w:r>
      <w:r>
        <w:rPr>
          <w:rFonts w:hint="eastAsia"/>
          <w:bCs/>
          <w:color w:val="auto"/>
          <w:sz w:val="24"/>
          <w:szCs w:val="24"/>
        </w:rPr>
        <w:t>项目</w:t>
      </w:r>
    </w:p>
    <w:p>
      <w:pPr>
        <w:spacing w:line="440" w:lineRule="exact"/>
        <w:ind w:firstLine="480" w:firstLineChars="200"/>
        <w:rPr>
          <w:bCs/>
          <w:color w:val="auto"/>
          <w:sz w:val="24"/>
        </w:rPr>
      </w:pPr>
      <w:r>
        <w:rPr>
          <w:bCs/>
          <w:color w:val="auto"/>
          <w:sz w:val="24"/>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6"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除四害</w:t>
            </w:r>
          </w:p>
        </w:tc>
        <w:tc>
          <w:tcPr>
            <w:tcW w:w="2246" w:type="dxa"/>
            <w:tcBorders>
              <w:top w:val="single" w:color="000000" w:sz="4" w:space="0"/>
              <w:left w:val="nil"/>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白蚁防治</w:t>
            </w:r>
          </w:p>
        </w:tc>
        <w:tc>
          <w:tcPr>
            <w:tcW w:w="2246" w:type="dxa"/>
            <w:tcBorders>
              <w:top w:val="single" w:color="000000" w:sz="4" w:space="0"/>
              <w:left w:val="nil"/>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3</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抗疫消杀</w:t>
            </w:r>
          </w:p>
        </w:tc>
        <w:tc>
          <w:tcPr>
            <w:tcW w:w="2246" w:type="dxa"/>
            <w:tcBorders>
              <w:top w:val="single" w:color="000000" w:sz="4" w:space="0"/>
              <w:left w:val="nil"/>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4</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5</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6</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p>
        </w:tc>
      </w:tr>
    </w:tbl>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195691.8</w:t>
      </w:r>
      <w:r>
        <w:rPr>
          <w:rFonts w:hint="eastAsia"/>
          <w:bCs/>
          <w:color w:val="auto"/>
          <w:sz w:val="24"/>
          <w:u w:val="single"/>
        </w:rPr>
        <w:t xml:space="preserve">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3</w:t>
      </w:r>
      <w:r>
        <w:rPr>
          <w:rFonts w:hint="eastAsia" w:cs="宋体"/>
          <w:color w:val="auto"/>
          <w:sz w:val="24"/>
        </w:rPr>
        <w:t>年</w:t>
      </w:r>
      <w:r>
        <w:rPr>
          <w:rFonts w:hint="eastAsia"/>
          <w:color w:val="auto"/>
          <w:sz w:val="24"/>
          <w:lang w:val="en-US" w:eastAsia="zh-CN"/>
        </w:rPr>
        <w:t>7</w:t>
      </w:r>
      <w:r>
        <w:rPr>
          <w:rFonts w:hint="eastAsia" w:cs="宋体"/>
          <w:color w:val="auto"/>
          <w:sz w:val="24"/>
        </w:rPr>
        <w:t>月</w:t>
      </w:r>
      <w:r>
        <w:rPr>
          <w:rFonts w:hint="eastAsia"/>
          <w:color w:val="auto"/>
          <w:sz w:val="24"/>
          <w:lang w:val="en-US" w:eastAsia="zh-CN"/>
        </w:rPr>
        <w:t>20</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3</w:t>
      </w:r>
      <w:r>
        <w:rPr>
          <w:color w:val="auto"/>
          <w:sz w:val="24"/>
        </w:rPr>
        <w:t>年</w:t>
      </w:r>
      <w:r>
        <w:rPr>
          <w:rFonts w:hint="eastAsia"/>
          <w:color w:val="auto"/>
          <w:sz w:val="24"/>
          <w:lang w:val="en-US" w:eastAsia="zh-CN"/>
        </w:rPr>
        <w:t xml:space="preserve"> 7</w:t>
      </w:r>
      <w:r>
        <w:rPr>
          <w:color w:val="auto"/>
          <w:sz w:val="24"/>
        </w:rPr>
        <w:t>月</w:t>
      </w:r>
      <w:r>
        <w:rPr>
          <w:rFonts w:hint="eastAsia"/>
          <w:color w:val="auto"/>
          <w:sz w:val="24"/>
          <w:lang w:val="en-US" w:eastAsia="zh-CN"/>
        </w:rPr>
        <w:t>18</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szCs w:val="24"/>
              </w:rPr>
              <w:t>湖北省博物馆</w:t>
            </w:r>
            <w:r>
              <w:rPr>
                <w:rFonts w:hint="eastAsia"/>
                <w:bCs/>
                <w:color w:val="auto"/>
                <w:kern w:val="0"/>
                <w:sz w:val="24"/>
                <w:szCs w:val="24"/>
                <w:lang w:val="en-US" w:eastAsia="zh-CN"/>
              </w:rPr>
              <w:t>2023年度</w:t>
            </w:r>
            <w:r>
              <w:rPr>
                <w:rFonts w:hint="eastAsia"/>
                <w:bCs/>
                <w:color w:val="auto"/>
                <w:kern w:val="0"/>
                <w:sz w:val="24"/>
                <w:szCs w:val="24"/>
                <w:lang w:eastAsia="zh-CN"/>
              </w:rPr>
              <w:t>有害生物防治服务</w:t>
            </w:r>
            <w:r>
              <w:rPr>
                <w:rFonts w:hint="eastAsia"/>
                <w:bCs/>
                <w:color w:val="auto"/>
                <w:kern w:val="0"/>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spacing w:line="440" w:lineRule="exact"/>
              <w:ind w:firstLine="480" w:firstLineChars="200"/>
              <w:rPr>
                <w:bCs/>
                <w:color w:val="auto"/>
                <w:kern w:val="0"/>
                <w:sz w:val="24"/>
              </w:rPr>
            </w:pPr>
            <w:r>
              <w:rPr>
                <w:rFonts w:hint="eastAsia"/>
                <w:bCs/>
                <w:color w:val="auto"/>
                <w:sz w:val="24"/>
                <w:szCs w:val="24"/>
                <w:lang/>
              </w:rPr>
              <w:t>湖北省博物馆</w:t>
            </w:r>
            <w:r>
              <w:rPr>
                <w:rFonts w:hint="eastAsia" w:ascii="宋体" w:hAnsi="宋体" w:cs="宋体"/>
                <w:color w:val="auto"/>
                <w:sz w:val="24"/>
                <w:szCs w:val="24"/>
                <w:lang w:val="en-US" w:eastAsia="zh-CN"/>
              </w:rPr>
              <w:t>场馆及公共区域：综合馆、编钟馆、楚文化馆、馆区内公共区域及设备楼（74305.23平米）和三中心、文展大楼（68419.66平米）武警营区（1750平米）防疫消杀服务、防虫灭鼠、环境治理防治、有害生物防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19.56918</w:t>
            </w:r>
            <w:r>
              <w:rPr>
                <w:rFonts w:hint="eastAsia" w:cs="宋体"/>
                <w:color w:val="auto"/>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eastAsia="zh-CN"/>
              </w:rPr>
              <w:t>方</w:t>
            </w:r>
            <w:r>
              <w:rPr>
                <w:rFonts w:hint="eastAsia" w:cs="宋体"/>
                <w:color w:val="auto"/>
                <w:kern w:val="0"/>
                <w:sz w:val="24"/>
                <w:lang w:val="en-US" w:eastAsia="zh-CN"/>
              </w:rPr>
              <w:t xml:space="preserve"> </w:t>
            </w:r>
            <w:r>
              <w:rPr>
                <w:rFonts w:hint="eastAsia" w:cs="宋体"/>
                <w:color w:val="auto"/>
                <w:kern w:val="0"/>
                <w:sz w:val="24"/>
                <w:lang w:eastAsia="zh-CN"/>
              </w:rPr>
              <w:t>敏</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18986255037</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spacing w:line="240" w:lineRule="auto"/>
              <w:ind w:left="600" w:hanging="600" w:hangingChars="250"/>
              <w:jc w:val="left"/>
              <w:rPr>
                <w:color w:val="auto"/>
                <w:sz w:val="24"/>
                <w:szCs w:val="24"/>
              </w:rPr>
            </w:pPr>
            <w:r>
              <w:rPr>
                <w:rFonts w:hint="eastAsia"/>
                <w:color w:val="auto"/>
                <w:sz w:val="24"/>
                <w:szCs w:val="24"/>
              </w:rPr>
              <w:t>（1应具备《中华人民共和国政府采购法》第二十二条第一款规定的条件。</w:t>
            </w:r>
          </w:p>
          <w:p>
            <w:pPr>
              <w:spacing w:line="240" w:lineRule="auto"/>
              <w:ind w:left="600" w:hanging="600" w:hangingChars="250"/>
              <w:jc w:val="left"/>
              <w:rPr>
                <w:rFonts w:hint="eastAsia"/>
                <w:color w:val="auto"/>
                <w:sz w:val="24"/>
                <w:szCs w:val="24"/>
              </w:rPr>
            </w:pPr>
            <w:r>
              <w:rPr>
                <w:rFonts w:hint="eastAsia"/>
                <w:color w:val="auto"/>
                <w:sz w:val="24"/>
                <w:szCs w:val="24"/>
              </w:rPr>
              <w:t>（2未被列入“信用中国”网站（www.creditchina.gov.cn）失信被执行人、重大税收违法案件当事人名单、政府采购严重违法失信行为记录名单。</w:t>
            </w:r>
          </w:p>
          <w:p>
            <w:pPr>
              <w:spacing w:line="240" w:lineRule="auto"/>
              <w:ind w:left="480" w:hanging="480" w:hangingChars="200"/>
              <w:jc w:val="left"/>
              <w:rPr>
                <w:color w:val="auto"/>
              </w:rPr>
            </w:pPr>
            <w:r>
              <w:rPr>
                <w:rFonts w:hint="eastAsia" w:ascii="宋体" w:hAnsi="宋体"/>
                <w:color w:val="auto"/>
                <w:sz w:val="24"/>
                <w:szCs w:val="24"/>
                <w:highlight w:val="none"/>
              </w:rPr>
              <w:t>（3）</w:t>
            </w:r>
            <w:r>
              <w:rPr>
                <w:rFonts w:hint="eastAsia"/>
                <w:color w:val="auto"/>
                <w:sz w:val="24"/>
                <w:szCs w:val="24"/>
                <w:highlight w:val="none"/>
              </w:rPr>
              <w:t>供应商应具备有效期内</w:t>
            </w:r>
            <w:r>
              <w:rPr>
                <w:color w:val="auto"/>
                <w:sz w:val="24"/>
                <w:szCs w:val="24"/>
                <w:highlight w:val="none"/>
              </w:rPr>
              <w:t>的</w:t>
            </w:r>
            <w:r>
              <w:rPr>
                <w:rFonts w:hint="eastAsia"/>
                <w:color w:val="auto"/>
                <w:sz w:val="24"/>
                <w:szCs w:val="24"/>
                <w:highlight w:val="none"/>
              </w:rPr>
              <w:t>有害生物防治服务机构资质</w:t>
            </w:r>
            <w:r>
              <w:rPr>
                <w:rFonts w:hint="eastAsia"/>
                <w:color w:val="auto"/>
                <w:sz w:val="24"/>
                <w:szCs w:val="24"/>
                <w:highlight w:val="none"/>
                <w:lang w:val="en-US" w:eastAsia="zh-CN"/>
              </w:rPr>
              <w:t>A</w:t>
            </w:r>
            <w:r>
              <w:rPr>
                <w:rFonts w:hint="eastAsia"/>
                <w:color w:val="auto"/>
                <w:sz w:val="24"/>
                <w:szCs w:val="24"/>
                <w:highlight w:val="none"/>
              </w:rPr>
              <w:t>级</w:t>
            </w:r>
            <w:r>
              <w:rPr>
                <w:rFonts w:hint="eastAsia"/>
                <w:color w:val="auto"/>
                <w:sz w:val="24"/>
                <w:szCs w:val="24"/>
                <w:highlight w:val="none"/>
                <w:lang w:eastAsia="zh-CN"/>
              </w:rPr>
              <w:t>以上（含</w:t>
            </w:r>
            <w:r>
              <w:rPr>
                <w:rFonts w:hint="eastAsia"/>
                <w:color w:val="auto"/>
                <w:sz w:val="24"/>
                <w:szCs w:val="24"/>
                <w:highlight w:val="none"/>
                <w:lang w:val="en-US" w:eastAsia="zh-CN"/>
              </w:rPr>
              <w:t>A级</w:t>
            </w:r>
            <w:r>
              <w:rPr>
                <w:rFonts w:hint="eastAsia"/>
                <w:color w:val="auto"/>
                <w:sz w:val="24"/>
                <w:szCs w:val="24"/>
                <w:highlight w:val="none"/>
                <w:lang w:eastAsia="zh-CN"/>
              </w:rPr>
              <w:t>）</w:t>
            </w:r>
            <w:r>
              <w:rPr>
                <w:rFonts w:hint="eastAsia"/>
                <w:color w:val="auto"/>
                <w:sz w:val="24"/>
                <w:szCs w:val="24"/>
                <w:highlight w:val="none"/>
                <w:lang w:val="en-US" w:eastAsia="zh-CN"/>
              </w:rPr>
              <w:t>或甲级</w:t>
            </w:r>
            <w:r>
              <w:rPr>
                <w:rFonts w:hint="eastAsia"/>
                <w:color w:val="auto"/>
                <w:sz w:val="24"/>
                <w:szCs w:val="24"/>
                <w:highlight w:val="none"/>
              </w:rPr>
              <w:t>证书（提供证书复印件）</w:t>
            </w:r>
            <w:r>
              <w:rPr>
                <w:rFonts w:hint="eastAsia"/>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spacing w:line="240" w:lineRule="auto"/>
              <w:jc w:val="left"/>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提供以下</w:t>
            </w:r>
            <w:r>
              <w:rPr>
                <w:rFonts w:hint="eastAsia" w:ascii="宋体" w:hAnsi="宋体" w:cs="宋体"/>
                <w:b w:val="0"/>
                <w:bCs w:val="0"/>
                <w:color w:val="auto"/>
                <w:kern w:val="0"/>
                <w:sz w:val="24"/>
                <w:szCs w:val="24"/>
                <w:highlight w:val="none"/>
                <w:lang w:val="en-US" w:eastAsia="zh-CN" w:bidi="ar-SA"/>
              </w:rPr>
              <w:t>消</w:t>
            </w:r>
            <w:r>
              <w:rPr>
                <w:rFonts w:hint="eastAsia" w:ascii="宋体" w:hAnsi="宋体" w:eastAsia="宋体" w:cs="宋体"/>
                <w:b w:val="0"/>
                <w:bCs w:val="0"/>
                <w:color w:val="auto"/>
                <w:kern w:val="0"/>
                <w:sz w:val="24"/>
                <w:szCs w:val="24"/>
                <w:highlight w:val="none"/>
                <w:lang w:val="en-US" w:eastAsia="zh-CN" w:bidi="ar-SA"/>
              </w:rPr>
              <w:t>毒液专业检测报告</w:t>
            </w:r>
            <w:r>
              <w:rPr>
                <w:rFonts w:hint="eastAsia" w:ascii="宋体" w:hAnsi="宋体" w:cs="宋体"/>
                <w:b w:val="0"/>
                <w:bCs w:val="0"/>
                <w:color w:val="auto"/>
                <w:kern w:val="0"/>
                <w:sz w:val="24"/>
                <w:szCs w:val="24"/>
                <w:highlight w:val="none"/>
                <w:lang w:val="en-US" w:eastAsia="zh-CN" w:bidi="ar-SA"/>
              </w:rPr>
              <w:t>（复印件）</w:t>
            </w:r>
            <w:r>
              <w:rPr>
                <w:rFonts w:hint="eastAsia" w:ascii="宋体" w:hAnsi="宋体" w:eastAsia="宋体" w:cs="宋体"/>
                <w:b w:val="0"/>
                <w:bCs w:val="0"/>
                <w:color w:val="auto"/>
                <w:kern w:val="0"/>
                <w:sz w:val="24"/>
                <w:szCs w:val="24"/>
                <w:highlight w:val="none"/>
                <w:lang w:val="en-US" w:eastAsia="zh-CN" w:bidi="ar-SA"/>
              </w:rPr>
              <w:t>：</w:t>
            </w:r>
          </w:p>
          <w:p>
            <w:pPr>
              <w:spacing w:line="240" w:lineRule="auto"/>
              <w:jc w:val="left"/>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1）经国家认可的第三方检查机构出具的专业检测报告，且报告显示对新冠病毒的灭活率</w:t>
            </w:r>
            <w:r>
              <w:rPr>
                <w:rFonts w:hint="eastAsia" w:ascii="宋体" w:hAnsi="宋体" w:cs="宋体"/>
                <w:b w:val="0"/>
                <w:bCs w:val="0"/>
                <w:color w:val="auto"/>
                <w:kern w:val="0"/>
                <w:sz w:val="24"/>
                <w:szCs w:val="24"/>
                <w:highlight w:val="none"/>
                <w:lang w:val="en-US" w:eastAsia="zh-CN" w:bidi="ar-SA"/>
              </w:rPr>
              <w:t>对数值：&gt;4.00；</w:t>
            </w:r>
          </w:p>
          <w:p>
            <w:pPr>
              <w:spacing w:line="240" w:lineRule="auto"/>
              <w:jc w:val="left"/>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2）经国家认可的第三方检查机构出具的专业检测报告，且报告显示对大肠杆菌、白色链珠菌、金色葡萄球菌、铜绿假单胞菌的杀灭对数值</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&gt;</w:t>
            </w:r>
            <w:r>
              <w:rPr>
                <w:rFonts w:hint="eastAsia" w:ascii="宋体" w:hAnsi="宋体" w:cs="宋体"/>
                <w:b w:val="0"/>
                <w:bCs w:val="0"/>
                <w:color w:val="auto"/>
                <w:kern w:val="0"/>
                <w:sz w:val="24"/>
                <w:szCs w:val="24"/>
                <w:highlight w:val="none"/>
                <w:lang w:val="en-US" w:eastAsia="zh-CN" w:bidi="ar-SA"/>
              </w:rPr>
              <w:t>4</w:t>
            </w:r>
            <w:r>
              <w:rPr>
                <w:rFonts w:hint="eastAsia" w:ascii="宋体" w:hAnsi="宋体" w:eastAsia="宋体" w:cs="宋体"/>
                <w:b w:val="0"/>
                <w:bCs w:val="0"/>
                <w:color w:val="auto"/>
                <w:kern w:val="0"/>
                <w:sz w:val="24"/>
                <w:szCs w:val="24"/>
                <w:highlight w:val="none"/>
                <w:lang w:val="en-US" w:eastAsia="zh-CN" w:bidi="ar-SA"/>
              </w:rPr>
              <w:t>.00；</w:t>
            </w:r>
          </w:p>
          <w:p>
            <w:pPr>
              <w:spacing w:line="240" w:lineRule="auto"/>
              <w:jc w:val="left"/>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3）经国家认可的第三方检测机构出具的经口毒性试验专业检测报告</w:t>
            </w:r>
            <w:r>
              <w:rPr>
                <w:rFonts w:hint="eastAsia" w:ascii="宋体" w:hAnsi="宋体" w:cs="宋体"/>
                <w:b w:val="0"/>
                <w:bCs w:val="0"/>
                <w:color w:val="auto"/>
                <w:kern w:val="0"/>
                <w:sz w:val="24"/>
                <w:szCs w:val="24"/>
                <w:highlight w:val="none"/>
                <w:lang w:val="en-US" w:eastAsia="zh-CN" w:bidi="ar-SA"/>
              </w:rPr>
              <w:t>；</w:t>
            </w:r>
          </w:p>
          <w:p>
            <w:pPr>
              <w:spacing w:line="240" w:lineRule="auto"/>
              <w:jc w:val="left"/>
              <w:rPr>
                <w:rFonts w:hint="default"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4）经国家认可的第三方检测机构出具的金属腐蚀性测定专业检测报告</w:t>
            </w:r>
            <w:r>
              <w:rPr>
                <w:rFonts w:hint="eastAsia" w:ascii="宋体" w:hAnsi="宋体" w:cs="宋体"/>
                <w:b w:val="0"/>
                <w:bCs w:val="0"/>
                <w:color w:val="auto"/>
                <w:kern w:val="0"/>
                <w:sz w:val="24"/>
                <w:szCs w:val="24"/>
                <w:highlight w:val="none"/>
                <w:lang w:val="en-US" w:eastAsia="zh-CN" w:bidi="ar-SA"/>
              </w:rPr>
              <w:t>；</w:t>
            </w:r>
          </w:p>
          <w:p>
            <w:pPr>
              <w:spacing w:line="240" w:lineRule="auto"/>
              <w:jc w:val="left"/>
              <w:rPr>
                <w:rFonts w:hint="eastAsia"/>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SA"/>
              </w:rPr>
              <w:t>以</w:t>
            </w:r>
            <w:r>
              <w:rPr>
                <w:rFonts w:hint="eastAsia" w:ascii="宋体" w:hAnsi="宋体" w:eastAsia="宋体" w:cs="宋体"/>
                <w:b w:val="0"/>
                <w:bCs w:val="0"/>
                <w:color w:val="auto"/>
                <w:kern w:val="0"/>
                <w:sz w:val="24"/>
                <w:szCs w:val="24"/>
                <w:highlight w:val="none"/>
                <w:lang w:val="en-US" w:eastAsia="zh-CN" w:bidi="ar-SA"/>
              </w:rPr>
              <w:t>上检测报告</w:t>
            </w:r>
            <w:r>
              <w:rPr>
                <w:rFonts w:hint="eastAsia" w:ascii="宋体" w:hAnsi="宋体" w:cs="宋体"/>
                <w:b w:val="0"/>
                <w:bCs w:val="0"/>
                <w:color w:val="auto"/>
                <w:kern w:val="0"/>
                <w:sz w:val="24"/>
                <w:szCs w:val="24"/>
                <w:highlight w:val="none"/>
                <w:lang w:val="en-US" w:eastAsia="zh-CN" w:bidi="ar-SA"/>
              </w:rPr>
              <w:t>（复印件）</w:t>
            </w:r>
            <w:r>
              <w:rPr>
                <w:rFonts w:hint="eastAsia" w:ascii="宋体" w:hAnsi="宋体" w:eastAsia="宋体" w:cs="宋体"/>
                <w:b w:val="0"/>
                <w:bCs w:val="0"/>
                <w:color w:val="auto"/>
                <w:kern w:val="0"/>
                <w:sz w:val="24"/>
                <w:szCs w:val="24"/>
                <w:highlight w:val="none"/>
                <w:lang w:val="en-US" w:eastAsia="zh-CN" w:bidi="ar-SA"/>
              </w:rPr>
              <w:t>需加盖产品生产企业原厂公章。</w:t>
            </w:r>
          </w:p>
          <w:p>
            <w:pPr>
              <w:rPr>
                <w:rFonts w:hint="eastAsia" w:eastAsia="宋体"/>
                <w:color w:val="auto"/>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3</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7</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24</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3</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7</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24</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color w:val="auto"/>
          <w:sz w:val="24"/>
        </w:rPr>
      </w:pPr>
      <w:r>
        <w:rPr>
          <w:color w:val="auto"/>
          <w:sz w:val="24"/>
        </w:rPr>
        <w:t>3</w:t>
      </w:r>
      <w:r>
        <w:rPr>
          <w:rFonts w:hint="eastAsia"/>
          <w:color w:val="auto"/>
          <w:sz w:val="24"/>
        </w:rPr>
        <w:t>2</w:t>
      </w:r>
      <w:r>
        <w:rPr>
          <w:color w:val="auto"/>
          <w:sz w:val="24"/>
        </w:rPr>
        <w:t xml:space="preserve">. </w:t>
      </w:r>
      <w:r>
        <w:rPr>
          <w:rFonts w:hint="eastAsia" w:cs="宋体"/>
          <w:color w:val="auto"/>
          <w:sz w:val="24"/>
        </w:rPr>
        <w:t>货物（服务）交付验收合格后，采购人报省财政厅办理相应金额的支付手续。</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32"/>
        <w:tblW w:w="8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9"/>
        <w:gridCol w:w="662"/>
        <w:gridCol w:w="551"/>
        <w:gridCol w:w="1115"/>
        <w:gridCol w:w="663"/>
        <w:gridCol w:w="663"/>
        <w:gridCol w:w="610"/>
        <w:gridCol w:w="824"/>
        <w:gridCol w:w="720"/>
        <w:gridCol w:w="780"/>
        <w:gridCol w:w="768"/>
        <w:gridCol w:w="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4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序号</w:t>
            </w:r>
          </w:p>
        </w:tc>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项目类型</w:t>
            </w:r>
          </w:p>
        </w:tc>
        <w:tc>
          <w:tcPr>
            <w:tcW w:w="166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项目名称</w:t>
            </w:r>
          </w:p>
        </w:tc>
        <w:tc>
          <w:tcPr>
            <w:tcW w:w="6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单次用量</w:t>
            </w:r>
          </w:p>
        </w:tc>
        <w:tc>
          <w:tcPr>
            <w:tcW w:w="6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规格</w:t>
            </w:r>
          </w:p>
        </w:tc>
        <w:tc>
          <w:tcPr>
            <w:tcW w:w="6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单位</w:t>
            </w:r>
          </w:p>
        </w:tc>
        <w:tc>
          <w:tcPr>
            <w:tcW w:w="309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金额（元）</w:t>
            </w:r>
          </w:p>
        </w:tc>
        <w:tc>
          <w:tcPr>
            <w:tcW w:w="7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166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6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6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rPr>
              <w:t>限价</w:t>
            </w:r>
            <w:r>
              <w:rPr>
                <w:rFonts w:hint="eastAsia" w:ascii="宋体" w:hAnsi="宋体" w:eastAsia="宋体" w:cs="宋体"/>
                <w:i w:val="0"/>
                <w:iCs w:val="0"/>
                <w:color w:val="auto"/>
                <w:kern w:val="0"/>
                <w:sz w:val="22"/>
                <w:szCs w:val="22"/>
                <w:u w:val="none"/>
                <w:lang w:val="en-US" w:eastAsia="zh-CN"/>
              </w:rPr>
              <w:t>单价</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rPr>
              <w:t>限价</w:t>
            </w:r>
            <w:r>
              <w:rPr>
                <w:rFonts w:hint="eastAsia" w:ascii="宋体" w:hAnsi="宋体" w:eastAsia="宋体" w:cs="宋体"/>
                <w:i w:val="0"/>
                <w:iCs w:val="0"/>
                <w:color w:val="auto"/>
                <w:kern w:val="0"/>
                <w:sz w:val="22"/>
                <w:szCs w:val="22"/>
                <w:u w:val="none"/>
                <w:lang w:val="en-US" w:eastAsia="zh-CN"/>
              </w:rPr>
              <w:t>小计</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2"/>
                <w:szCs w:val="22"/>
                <w:u w:val="none"/>
                <w:lang w:val="en-US" w:eastAsia="zh-CN"/>
              </w:rPr>
            </w:pPr>
          </w:p>
        </w:tc>
        <w:tc>
          <w:tcPr>
            <w:tcW w:w="7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662"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除四害</w:t>
            </w:r>
          </w:p>
        </w:tc>
        <w:tc>
          <w:tcPr>
            <w:tcW w:w="551"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药品</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高氯残杀威</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8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500g/瓶</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瓶</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55.00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440.00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室内蚊虫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丙烯氯菊</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8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500ml/瓶</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瓶</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115.00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920.00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室内蚊虫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3</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高氯毒死蜱</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8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500g/瓶</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瓶</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128.00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1,024.00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户外蚊虫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4</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胆钙化醇</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4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5kg/盒</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盒</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95.00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380.00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老鼠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粘鼠板</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20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10片/盒</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片</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40.00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老鼠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6</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杀虫饵粒</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10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500g/袋</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袋</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65.00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650.00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蟑螂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7</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杀虫胶饵</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20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50g/支</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支</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29.00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580.00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蟑螂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8</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人工</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除四害防治用工</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8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元/工日</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240.00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1,920.00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9</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360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每月小计</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 xml:space="preserve">5,954.00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10</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360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12个月合计（12次）</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0"/>
                <w:sz w:val="22"/>
                <w:szCs w:val="22"/>
                <w:u w:val="none"/>
                <w:lang w:val="en-US" w:eastAsia="zh-CN"/>
              </w:rPr>
            </w:pPr>
            <w:r>
              <w:rPr>
                <w:rFonts w:hint="eastAsia" w:ascii="宋体" w:hAnsi="宋体" w:eastAsia="宋体" w:cs="宋体"/>
                <w:b/>
                <w:bCs/>
                <w:i w:val="0"/>
                <w:iCs w:val="0"/>
                <w:color w:val="auto"/>
                <w:kern w:val="0"/>
                <w:sz w:val="22"/>
                <w:szCs w:val="22"/>
                <w:u w:val="none"/>
                <w:lang w:val="en-US" w:eastAsia="zh-CN"/>
              </w:rPr>
              <w:t xml:space="preserve">71,448.00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11</w:t>
            </w:r>
          </w:p>
        </w:tc>
        <w:tc>
          <w:tcPr>
            <w:tcW w:w="662"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白蚁防治</w:t>
            </w:r>
          </w:p>
        </w:tc>
        <w:tc>
          <w:tcPr>
            <w:tcW w:w="5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药品</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白蚁检测诱杀装置</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31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个</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39.00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1,209.00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室外白蚁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12</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白蚁粉剂</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110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60g/瓶</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瓶</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28.00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3,080.00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室内白蚁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13</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白蚁水剂</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12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5kg/桶</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桶</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420.00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5,040.00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白蚁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14</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人工</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白蚁防治用工</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10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元/工日</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240.00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2,400.00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15</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360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每季度小计</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 xml:space="preserve">11,729.00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16</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360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12个月合计（4次）</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0"/>
                <w:sz w:val="22"/>
                <w:szCs w:val="22"/>
                <w:u w:val="none"/>
                <w:lang w:val="en-US" w:eastAsia="zh-CN"/>
              </w:rPr>
            </w:pPr>
            <w:r>
              <w:rPr>
                <w:rFonts w:hint="eastAsia" w:ascii="宋体" w:hAnsi="宋体" w:eastAsia="宋体" w:cs="宋体"/>
                <w:b/>
                <w:bCs/>
                <w:i w:val="0"/>
                <w:iCs w:val="0"/>
                <w:color w:val="auto"/>
                <w:kern w:val="0"/>
                <w:sz w:val="22"/>
                <w:szCs w:val="22"/>
                <w:u w:val="none"/>
                <w:lang w:val="en-US" w:eastAsia="zh-CN"/>
              </w:rPr>
              <w:t xml:space="preserve">46,916.00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17</w:t>
            </w:r>
          </w:p>
        </w:tc>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防疫消杀</w:t>
            </w: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月工费</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消杀技术用工</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月</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2,800.00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2,800.00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rPr>
              <w:t>防疫日常消杀为每天1人每日按规定时间进行消杀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18</w:t>
            </w: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药品</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新冠消毒液</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80kg</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月</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1,600.00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1,600.00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19</w:t>
            </w: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360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12个月合计（12个月）</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 xml:space="preserve">52,800.00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20</w:t>
            </w:r>
          </w:p>
        </w:tc>
        <w:tc>
          <w:tcPr>
            <w:tcW w:w="23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不含税合计</w:t>
            </w:r>
          </w:p>
        </w:tc>
        <w:tc>
          <w:tcPr>
            <w:tcW w:w="193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171,164.00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21</w:t>
            </w:r>
          </w:p>
        </w:tc>
        <w:tc>
          <w:tcPr>
            <w:tcW w:w="23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劳保及防护用品（2%）</w:t>
            </w:r>
          </w:p>
        </w:tc>
        <w:tc>
          <w:tcPr>
            <w:tcW w:w="19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（20）*2%</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3,423.28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22</w:t>
            </w:r>
          </w:p>
        </w:tc>
        <w:tc>
          <w:tcPr>
            <w:tcW w:w="23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危化药品施工费（2%）</w:t>
            </w:r>
          </w:p>
        </w:tc>
        <w:tc>
          <w:tcPr>
            <w:tcW w:w="19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（20）*2%</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3,423.28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23</w:t>
            </w:r>
          </w:p>
        </w:tc>
        <w:tc>
          <w:tcPr>
            <w:tcW w:w="23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机械租赁费（1%)</w:t>
            </w:r>
          </w:p>
        </w:tc>
        <w:tc>
          <w:tcPr>
            <w:tcW w:w="19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（20）*1%</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1,711.64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24</w:t>
            </w:r>
          </w:p>
        </w:tc>
        <w:tc>
          <w:tcPr>
            <w:tcW w:w="23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管理费(3%)</w:t>
            </w:r>
          </w:p>
        </w:tc>
        <w:tc>
          <w:tcPr>
            <w:tcW w:w="19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（20）*3%</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5,134.92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25</w:t>
            </w:r>
          </w:p>
        </w:tc>
        <w:tc>
          <w:tcPr>
            <w:tcW w:w="23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利润（3%）</w:t>
            </w:r>
          </w:p>
        </w:tc>
        <w:tc>
          <w:tcPr>
            <w:tcW w:w="19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（20）*3%</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5,134.92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26</w:t>
            </w:r>
          </w:p>
        </w:tc>
        <w:tc>
          <w:tcPr>
            <w:tcW w:w="23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税费（3%）</w:t>
            </w:r>
          </w:p>
        </w:tc>
        <w:tc>
          <w:tcPr>
            <w:tcW w:w="19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（20+21+......+25）*3%</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5,699.76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27</w:t>
            </w:r>
          </w:p>
        </w:tc>
        <w:tc>
          <w:tcPr>
            <w:tcW w:w="4264"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总计</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 xml:space="preserve">195,691.80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bl>
    <w:p>
      <w:pPr>
        <w:spacing w:line="440" w:lineRule="exact"/>
        <w:ind w:firstLine="480" w:firstLineChars="200"/>
        <w:rPr>
          <w:rFonts w:hint="default" w:ascii="宋体" w:hAnsi="宋体" w:eastAsia="宋体" w:cs="宋体"/>
          <w:b w:val="0"/>
          <w:bCs w:val="0"/>
          <w:color w:val="auto"/>
          <w:kern w:val="2"/>
          <w:sz w:val="24"/>
          <w:szCs w:val="24"/>
          <w:lang w:val="en-US" w:eastAsia="zh-CN" w:bidi="ar-SA"/>
        </w:rPr>
      </w:pPr>
      <w:r>
        <w:rPr>
          <w:rFonts w:hint="eastAsia"/>
          <w:bCs/>
          <w:color w:val="auto"/>
          <w:sz w:val="24"/>
          <w:szCs w:val="24"/>
          <w:lang/>
        </w:rPr>
        <w:t>湖北省博物馆</w:t>
      </w:r>
      <w:r>
        <w:rPr>
          <w:rFonts w:hint="eastAsia" w:ascii="宋体" w:hAnsi="宋体" w:cs="宋体"/>
          <w:color w:val="auto"/>
          <w:sz w:val="24"/>
          <w:szCs w:val="24"/>
          <w:lang w:val="en-US" w:eastAsia="zh-CN"/>
        </w:rPr>
        <w:t>场馆及公共区域：综合馆、编钟馆、楚文化馆、馆区内公共区域及设备楼（74305.23平米）和三中心、文展大楼（68419.66平米）武警营区（1750平米）防疫消杀服务、防虫灭鼠、环境治理防治服务项目。</w:t>
      </w:r>
      <w:r>
        <w:rPr>
          <w:rFonts w:hint="eastAsia" w:ascii="宋体" w:hAnsi="宋体" w:eastAsia="宋体" w:cs="宋体"/>
          <w:b w:val="0"/>
          <w:bCs w:val="0"/>
          <w:color w:val="auto"/>
          <w:kern w:val="2"/>
          <w:sz w:val="24"/>
          <w:szCs w:val="24"/>
          <w:lang w:val="en-US" w:eastAsia="zh-CN" w:bidi="ar-SA"/>
        </w:rPr>
        <w:t>服务期满后，</w:t>
      </w:r>
      <w:r>
        <w:rPr>
          <w:rFonts w:hint="eastAsia" w:ascii="宋体" w:hAnsi="宋体" w:cs="宋体"/>
          <w:b w:val="0"/>
          <w:bCs w:val="0"/>
          <w:color w:val="auto"/>
          <w:kern w:val="2"/>
          <w:sz w:val="24"/>
          <w:szCs w:val="24"/>
          <w:lang w:val="en-US" w:eastAsia="zh-CN" w:bidi="ar-SA"/>
        </w:rPr>
        <w:t>甲方</w:t>
      </w:r>
      <w:r>
        <w:rPr>
          <w:rFonts w:hint="eastAsia" w:ascii="宋体" w:hAnsi="宋体" w:eastAsia="宋体" w:cs="宋体"/>
          <w:b w:val="0"/>
          <w:bCs w:val="0"/>
          <w:color w:val="auto"/>
          <w:kern w:val="2"/>
          <w:sz w:val="24"/>
          <w:szCs w:val="24"/>
          <w:lang w:val="en-US" w:eastAsia="zh-CN" w:bidi="ar-SA"/>
        </w:rPr>
        <w:t>对供应商服务质量综合评定结果</w:t>
      </w:r>
      <w:r>
        <w:rPr>
          <w:rFonts w:hint="eastAsia" w:ascii="宋体" w:hAnsi="宋体" w:cs="宋体"/>
          <w:b w:val="0"/>
          <w:bCs w:val="0"/>
          <w:color w:val="auto"/>
          <w:kern w:val="2"/>
          <w:sz w:val="24"/>
          <w:szCs w:val="24"/>
          <w:lang w:val="en-US" w:eastAsia="zh-CN" w:bidi="ar-SA"/>
        </w:rPr>
        <w:t>优异，</w:t>
      </w:r>
      <w:r>
        <w:rPr>
          <w:rFonts w:hint="eastAsia" w:ascii="宋体" w:hAnsi="宋体" w:eastAsia="宋体" w:cs="宋体"/>
          <w:b w:val="0"/>
          <w:bCs w:val="0"/>
          <w:color w:val="auto"/>
          <w:kern w:val="2"/>
          <w:sz w:val="24"/>
          <w:szCs w:val="24"/>
          <w:lang w:val="en-US" w:eastAsia="zh-CN" w:bidi="ar-SA"/>
        </w:rPr>
        <w:t>可续签一年，最多续签两次。</w:t>
      </w: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eastAsia="zh-CN"/>
        </w:rPr>
        <w:t>十</w:t>
      </w:r>
      <w:r>
        <w:rPr>
          <w:rFonts w:hint="eastAsia" w:ascii="宋体" w:hAnsi="宋体"/>
          <w:color w:val="auto"/>
          <w:sz w:val="24"/>
          <w:szCs w:val="22"/>
          <w:lang w:val="en-US" w:eastAsia="zh-CN"/>
        </w:rPr>
        <w:t>二</w:t>
      </w:r>
      <w:r>
        <w:rPr>
          <w:rFonts w:hint="eastAsia" w:ascii="宋体" w:hAnsi="宋体"/>
          <w:color w:val="auto"/>
          <w:sz w:val="24"/>
          <w:szCs w:val="22"/>
          <w:lang w:eastAsia="zh-CN"/>
        </w:rPr>
        <w:t>个月</w:t>
      </w:r>
      <w:r>
        <w:rPr>
          <w:rFonts w:hint="eastAsia" w:ascii="宋体" w:hAnsi="宋体"/>
          <w:color w:val="auto"/>
          <w:sz w:val="24"/>
          <w:szCs w:val="22"/>
        </w:rPr>
        <w:t>。</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widowControl w:val="0"/>
        <w:wordWrap/>
        <w:adjustRightInd/>
        <w:snapToGrid/>
        <w:spacing w:line="360" w:lineRule="auto"/>
        <w:ind w:firstLine="480" w:firstLineChars="200"/>
        <w:textAlignment w:val="auto"/>
        <w:rPr>
          <w:rFonts w:ascii="宋体" w:hAnsi="宋体"/>
          <w:color w:val="auto"/>
          <w:sz w:val="24"/>
          <w:szCs w:val="22"/>
        </w:rPr>
      </w:pPr>
      <w:r>
        <w:rPr>
          <w:rFonts w:hint="eastAsia" w:ascii="宋体" w:hAnsi="宋体"/>
          <w:color w:val="auto"/>
          <w:sz w:val="24"/>
          <w:szCs w:val="22"/>
        </w:rPr>
        <w:t>2.1.7付款方式：</w:t>
      </w:r>
      <w:r>
        <w:rPr>
          <w:rFonts w:hint="eastAsia" w:ascii="宋体" w:hAnsi="宋体" w:cs="宋体"/>
          <w:color w:val="auto"/>
          <w:sz w:val="24"/>
          <w:szCs w:val="24"/>
        </w:rPr>
        <w:t>本项目无预付款，项</w:t>
      </w:r>
      <w:r>
        <w:rPr>
          <w:rFonts w:hint="eastAsia" w:ascii="宋体" w:hAnsi="宋体" w:cs="宋体"/>
          <w:color w:val="auto"/>
          <w:sz w:val="24"/>
          <w:szCs w:val="24"/>
          <w:highlight w:val="none"/>
        </w:rPr>
        <w:t>目实施</w:t>
      </w:r>
      <w:r>
        <w:rPr>
          <w:rFonts w:hint="eastAsia" w:ascii="宋体" w:hAnsi="宋体" w:cs="宋体"/>
          <w:color w:val="auto"/>
          <w:sz w:val="24"/>
          <w:szCs w:val="24"/>
          <w:highlight w:val="none"/>
          <w:lang w:eastAsia="zh-CN"/>
        </w:rPr>
        <w:t>每</w:t>
      </w:r>
      <w:r>
        <w:rPr>
          <w:rFonts w:hint="eastAsia" w:ascii="宋体" w:hAnsi="宋体" w:cs="宋体"/>
          <w:color w:val="auto"/>
          <w:sz w:val="24"/>
          <w:szCs w:val="24"/>
          <w:highlight w:val="none"/>
          <w:lang w:val="en-US" w:eastAsia="zh-CN"/>
        </w:rPr>
        <w:t>六</w:t>
      </w:r>
      <w:r>
        <w:rPr>
          <w:rFonts w:hint="eastAsia" w:ascii="宋体" w:hAnsi="宋体" w:cs="宋体"/>
          <w:color w:val="auto"/>
          <w:sz w:val="24"/>
          <w:szCs w:val="24"/>
          <w:highlight w:val="none"/>
          <w:lang w:eastAsia="zh-CN"/>
        </w:rPr>
        <w:t>个月，</w:t>
      </w:r>
      <w:r>
        <w:rPr>
          <w:rFonts w:hint="eastAsia" w:ascii="宋体" w:hAnsi="宋体" w:cs="宋体"/>
          <w:color w:val="auto"/>
          <w:sz w:val="24"/>
          <w:szCs w:val="24"/>
          <w:highlight w:val="none"/>
        </w:rPr>
        <w:t>经验收合格后</w:t>
      </w:r>
      <w:r>
        <w:rPr>
          <w:rFonts w:hint="eastAsia" w:ascii="宋体" w:hAnsi="宋体" w:cs="宋体"/>
          <w:color w:val="auto"/>
          <w:sz w:val="24"/>
          <w:szCs w:val="24"/>
          <w:highlight w:val="none"/>
          <w:lang w:val="en-US" w:eastAsia="zh-CN"/>
        </w:rPr>
        <w:t>支付合同总金额的50%，</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提供票据后15日之内，采购人按湖北省财政厅相关规定将款项从国库支付至</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对公账户。</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认可采购人按约定的付款时间向湖北省财政厅提出了资金支付申请，则视同采购人已履行了合同付款义务。</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必须按国家有关财税规定开具发票。</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tabs>
          <w:tab w:val="left" w:pos="7665"/>
        </w:tabs>
        <w:jc w:val="both"/>
        <w:outlineLvl w:val="1"/>
        <w:rPr>
          <w:color w:val="auto"/>
          <w:sz w:val="36"/>
          <w:szCs w:val="36"/>
        </w:rPr>
      </w:pPr>
    </w:p>
    <w:p>
      <w:pPr>
        <w:tabs>
          <w:tab w:val="left" w:pos="7665"/>
        </w:tabs>
        <w:ind w:firstLine="705" w:firstLineChars="196"/>
        <w:jc w:val="center"/>
        <w:outlineLvl w:val="1"/>
        <w:rPr>
          <w:color w:val="auto"/>
          <w:sz w:val="36"/>
          <w:szCs w:val="36"/>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widowControl w:val="0"/>
        <w:wordWrap/>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rPr>
        <w:t>本项目无预付款，本项目无预付款，项</w:t>
      </w:r>
      <w:r>
        <w:rPr>
          <w:rFonts w:hint="eastAsia" w:ascii="宋体" w:hAnsi="宋体" w:cs="宋体"/>
          <w:color w:val="auto"/>
          <w:sz w:val="24"/>
          <w:szCs w:val="24"/>
          <w:highlight w:val="none"/>
        </w:rPr>
        <w:t>目实施</w:t>
      </w:r>
      <w:r>
        <w:rPr>
          <w:rFonts w:hint="eastAsia" w:ascii="宋体" w:hAnsi="宋体" w:cs="宋体"/>
          <w:color w:val="auto"/>
          <w:sz w:val="24"/>
          <w:szCs w:val="24"/>
          <w:highlight w:val="none"/>
          <w:lang w:eastAsia="zh-CN"/>
        </w:rPr>
        <w:t>每</w:t>
      </w:r>
      <w:r>
        <w:rPr>
          <w:rFonts w:hint="eastAsia" w:ascii="宋体" w:hAnsi="宋体" w:cs="宋体"/>
          <w:color w:val="auto"/>
          <w:sz w:val="24"/>
          <w:szCs w:val="24"/>
          <w:highlight w:val="none"/>
          <w:lang w:val="en-US" w:eastAsia="zh-CN"/>
        </w:rPr>
        <w:t>六</w:t>
      </w:r>
      <w:r>
        <w:rPr>
          <w:rFonts w:hint="eastAsia" w:ascii="宋体" w:hAnsi="宋体" w:cs="宋体"/>
          <w:color w:val="auto"/>
          <w:sz w:val="24"/>
          <w:szCs w:val="24"/>
          <w:highlight w:val="none"/>
          <w:lang w:eastAsia="zh-CN"/>
        </w:rPr>
        <w:t>个月，</w:t>
      </w:r>
      <w:r>
        <w:rPr>
          <w:rFonts w:hint="eastAsia" w:ascii="宋体" w:hAnsi="宋体" w:cs="宋体"/>
          <w:color w:val="auto"/>
          <w:sz w:val="24"/>
          <w:szCs w:val="24"/>
          <w:highlight w:val="none"/>
        </w:rPr>
        <w:t>经验收合格后</w:t>
      </w:r>
      <w:r>
        <w:rPr>
          <w:rFonts w:hint="eastAsia" w:ascii="宋体" w:hAnsi="宋体" w:cs="宋体"/>
          <w:color w:val="auto"/>
          <w:sz w:val="24"/>
          <w:szCs w:val="24"/>
          <w:highlight w:val="none"/>
          <w:lang w:val="en-US" w:eastAsia="zh-CN"/>
        </w:rPr>
        <w:t>支付合同总金额的50%，</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提供票据后15日之内，采购人按湖北省财政厅相关规定将款项从国库支付至</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对公账户。</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认可采购人按约定的付款时间向湖北省财政厅提出了资金支付申请，则视同采购人已履行了合同付款义务。</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必须按国家有关财税规定开具发票。</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pStyle w:val="2"/>
        <w:numPr>
          <w:ilvl w:val="1"/>
          <w:numId w:val="0"/>
        </w:numPr>
        <w:ind w:leftChars="0"/>
        <w:rPr>
          <w:color w:val="auto"/>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p>
    <w:p>
      <w:pPr>
        <w:adjustRightInd w:val="0"/>
        <w:snapToGrid w:val="0"/>
        <w:ind w:firstLine="2160" w:firstLineChars="600"/>
        <w:jc w:val="both"/>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9"/>
        <w:gridCol w:w="662"/>
        <w:gridCol w:w="551"/>
        <w:gridCol w:w="1115"/>
        <w:gridCol w:w="663"/>
        <w:gridCol w:w="663"/>
        <w:gridCol w:w="610"/>
        <w:gridCol w:w="824"/>
        <w:gridCol w:w="720"/>
        <w:gridCol w:w="780"/>
        <w:gridCol w:w="768"/>
        <w:gridCol w:w="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4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序号</w:t>
            </w:r>
          </w:p>
        </w:tc>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项目类型</w:t>
            </w:r>
          </w:p>
        </w:tc>
        <w:tc>
          <w:tcPr>
            <w:tcW w:w="166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项目名称</w:t>
            </w:r>
          </w:p>
        </w:tc>
        <w:tc>
          <w:tcPr>
            <w:tcW w:w="6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单次用量</w:t>
            </w:r>
          </w:p>
        </w:tc>
        <w:tc>
          <w:tcPr>
            <w:tcW w:w="6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规格</w:t>
            </w:r>
          </w:p>
        </w:tc>
        <w:tc>
          <w:tcPr>
            <w:tcW w:w="6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单位</w:t>
            </w:r>
          </w:p>
        </w:tc>
        <w:tc>
          <w:tcPr>
            <w:tcW w:w="309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金额（元）</w:t>
            </w:r>
          </w:p>
        </w:tc>
        <w:tc>
          <w:tcPr>
            <w:tcW w:w="7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166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6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6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6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rPr>
              <w:t>限价</w:t>
            </w:r>
            <w:r>
              <w:rPr>
                <w:rFonts w:hint="eastAsia" w:ascii="宋体" w:hAnsi="宋体" w:eastAsia="宋体" w:cs="宋体"/>
                <w:i w:val="0"/>
                <w:iCs w:val="0"/>
                <w:color w:val="auto"/>
                <w:kern w:val="0"/>
                <w:sz w:val="22"/>
                <w:szCs w:val="22"/>
                <w:u w:val="none"/>
                <w:lang w:val="en-US" w:eastAsia="zh-CN"/>
              </w:rPr>
              <w:t>单价</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rPr>
              <w:t>限价</w:t>
            </w:r>
            <w:r>
              <w:rPr>
                <w:rFonts w:hint="eastAsia" w:ascii="宋体" w:hAnsi="宋体" w:eastAsia="宋体" w:cs="宋体"/>
                <w:i w:val="0"/>
                <w:iCs w:val="0"/>
                <w:color w:val="auto"/>
                <w:kern w:val="0"/>
                <w:sz w:val="22"/>
                <w:szCs w:val="22"/>
                <w:u w:val="none"/>
                <w:lang w:val="en-US" w:eastAsia="zh-CN"/>
              </w:rPr>
              <w:t>小计</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2"/>
                <w:szCs w:val="22"/>
                <w:u w:val="none"/>
                <w:lang w:val="en-US" w:eastAsia="zh-CN"/>
              </w:rPr>
            </w:pPr>
            <w:r>
              <w:rPr>
                <w:rFonts w:hint="eastAsia" w:ascii="宋体" w:hAnsi="宋体" w:cs="宋体"/>
                <w:i w:val="0"/>
                <w:iCs w:val="0"/>
                <w:color w:val="auto"/>
                <w:kern w:val="0"/>
                <w:sz w:val="22"/>
                <w:szCs w:val="22"/>
                <w:u w:val="none"/>
                <w:lang w:val="en-US" w:eastAsia="zh-CN"/>
              </w:rPr>
              <w:t>报价单价</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2"/>
                <w:szCs w:val="22"/>
                <w:u w:val="none"/>
                <w:lang w:val="en-US" w:eastAsia="zh-CN"/>
              </w:rPr>
            </w:pPr>
            <w:r>
              <w:rPr>
                <w:rFonts w:hint="eastAsia" w:ascii="宋体" w:hAnsi="宋体" w:cs="宋体"/>
                <w:i w:val="0"/>
                <w:iCs w:val="0"/>
                <w:color w:val="auto"/>
                <w:kern w:val="0"/>
                <w:sz w:val="22"/>
                <w:szCs w:val="22"/>
                <w:u w:val="none"/>
                <w:lang w:val="en-US" w:eastAsia="zh-CN"/>
              </w:rPr>
              <w:t>报价小计</w:t>
            </w:r>
          </w:p>
        </w:tc>
        <w:tc>
          <w:tcPr>
            <w:tcW w:w="7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w:t>
            </w:r>
          </w:p>
        </w:tc>
        <w:tc>
          <w:tcPr>
            <w:tcW w:w="662"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除四害</w:t>
            </w:r>
          </w:p>
        </w:tc>
        <w:tc>
          <w:tcPr>
            <w:tcW w:w="551"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药品</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高氯残杀威</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8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500g/瓶</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瓶</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55.00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440.00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室内蚊虫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丙烯氯菊</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8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500ml/瓶</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瓶</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115.00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920.00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室内蚊虫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3</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高氯毒死蜱</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8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500g/瓶</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瓶</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128.00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1,024.00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户外蚊虫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4</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胆钙化醇</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4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5kg/盒</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盒</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95.00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380.00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老鼠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粘鼠板</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20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10片/盒</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片</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40.00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老鼠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6</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杀虫饵粒</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10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500g/袋</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袋</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65.00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650.00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蟑螂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7</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杀虫胶饵</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20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50g/支</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支</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29.00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580.00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蟑螂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8</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人工</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除四害防治用工</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8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元/工日</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240.00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1,920.00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9</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360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每月小计</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 xml:space="preserve">5,954.00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10</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360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12个月合计（12次）</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0"/>
                <w:sz w:val="22"/>
                <w:szCs w:val="22"/>
                <w:u w:val="none"/>
                <w:lang w:val="en-US" w:eastAsia="zh-CN"/>
              </w:rPr>
            </w:pPr>
            <w:r>
              <w:rPr>
                <w:rFonts w:hint="eastAsia" w:ascii="宋体" w:hAnsi="宋体" w:eastAsia="宋体" w:cs="宋体"/>
                <w:b/>
                <w:bCs/>
                <w:i w:val="0"/>
                <w:iCs w:val="0"/>
                <w:color w:val="auto"/>
                <w:kern w:val="0"/>
                <w:sz w:val="22"/>
                <w:szCs w:val="22"/>
                <w:u w:val="none"/>
                <w:lang w:val="en-US" w:eastAsia="zh-CN"/>
              </w:rPr>
              <w:t xml:space="preserve">71,448.00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11</w:t>
            </w:r>
          </w:p>
        </w:tc>
        <w:tc>
          <w:tcPr>
            <w:tcW w:w="662"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白蚁防治</w:t>
            </w:r>
          </w:p>
        </w:tc>
        <w:tc>
          <w:tcPr>
            <w:tcW w:w="5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药品</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白蚁检测诱杀装置</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31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个</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39.00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1,209.00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室外白蚁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12</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白蚁粉剂</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110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60g/瓶</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瓶</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28.00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3,080.00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室内白蚁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13</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白蚁水剂</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12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5kg/桶</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桶</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420.00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5,040.00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rPr>
              <w:t>白蚁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14</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人工</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白蚁防治用工</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10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元/工日</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240.00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2,400.00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15</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360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每季度小计</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r>
              <w:rPr>
                <w:rFonts w:hint="eastAsia" w:ascii="宋体" w:hAnsi="宋体" w:eastAsia="宋体" w:cs="宋体"/>
                <w:i w:val="0"/>
                <w:iCs w:val="0"/>
                <w:color w:val="auto"/>
                <w:kern w:val="0"/>
                <w:sz w:val="22"/>
                <w:szCs w:val="22"/>
                <w:u w:val="none"/>
                <w:lang w:val="en-US" w:eastAsia="zh-CN"/>
              </w:rPr>
              <w:t xml:space="preserve">11,729.00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16</w:t>
            </w:r>
          </w:p>
        </w:tc>
        <w:tc>
          <w:tcPr>
            <w:tcW w:w="662"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pPr>
              <w:jc w:val="center"/>
              <w:rPr>
                <w:rFonts w:hint="eastAsia" w:ascii="宋体" w:hAnsi="宋体" w:eastAsia="宋体" w:cs="宋体"/>
                <w:i w:val="0"/>
                <w:iCs w:val="0"/>
                <w:color w:val="auto"/>
                <w:sz w:val="22"/>
                <w:szCs w:val="22"/>
                <w:u w:val="none"/>
              </w:rPr>
            </w:pPr>
          </w:p>
        </w:tc>
        <w:tc>
          <w:tcPr>
            <w:tcW w:w="360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12个月合计（4次）</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0"/>
                <w:sz w:val="22"/>
                <w:szCs w:val="22"/>
                <w:u w:val="none"/>
                <w:lang w:val="en-US" w:eastAsia="zh-CN"/>
              </w:rPr>
            </w:pPr>
            <w:r>
              <w:rPr>
                <w:rFonts w:hint="eastAsia" w:ascii="宋体" w:hAnsi="宋体" w:eastAsia="宋体" w:cs="宋体"/>
                <w:b/>
                <w:bCs/>
                <w:i w:val="0"/>
                <w:iCs w:val="0"/>
                <w:color w:val="auto"/>
                <w:kern w:val="0"/>
                <w:sz w:val="22"/>
                <w:szCs w:val="22"/>
                <w:u w:val="none"/>
                <w:lang w:val="en-US" w:eastAsia="zh-CN"/>
              </w:rPr>
              <w:t xml:space="preserve">46,916.00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17</w:t>
            </w:r>
          </w:p>
        </w:tc>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防疫消杀</w:t>
            </w: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月工费</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消杀技术用工</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月</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2,800.00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2,800.00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rPr>
              <w:t>防疫日常消杀为每天1人每日按规定时间进行消杀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18</w:t>
            </w: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药品</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新冠消毒液</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 </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80kg</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月</w:t>
            </w:r>
          </w:p>
        </w:tc>
        <w:tc>
          <w:tcPr>
            <w:tcW w:w="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1,600.00 </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1,600.00 </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19</w:t>
            </w:r>
          </w:p>
        </w:tc>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360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12个月合计（12个月）</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 xml:space="preserve">52,800.00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20</w:t>
            </w:r>
          </w:p>
        </w:tc>
        <w:tc>
          <w:tcPr>
            <w:tcW w:w="23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不含税合计</w:t>
            </w:r>
          </w:p>
        </w:tc>
        <w:tc>
          <w:tcPr>
            <w:tcW w:w="193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171,164.00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21</w:t>
            </w:r>
          </w:p>
        </w:tc>
        <w:tc>
          <w:tcPr>
            <w:tcW w:w="23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劳保及防护用品（2%）</w:t>
            </w:r>
          </w:p>
        </w:tc>
        <w:tc>
          <w:tcPr>
            <w:tcW w:w="19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（20）*2%</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3,423.28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22</w:t>
            </w:r>
          </w:p>
        </w:tc>
        <w:tc>
          <w:tcPr>
            <w:tcW w:w="23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危化药品施工费（2%）</w:t>
            </w:r>
          </w:p>
        </w:tc>
        <w:tc>
          <w:tcPr>
            <w:tcW w:w="19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（20）*2%</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3,423.28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23</w:t>
            </w:r>
          </w:p>
        </w:tc>
        <w:tc>
          <w:tcPr>
            <w:tcW w:w="23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机械租赁费（1%)</w:t>
            </w:r>
          </w:p>
        </w:tc>
        <w:tc>
          <w:tcPr>
            <w:tcW w:w="19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（20）*1%</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1,711.64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24</w:t>
            </w:r>
          </w:p>
        </w:tc>
        <w:tc>
          <w:tcPr>
            <w:tcW w:w="23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管理费(3%)</w:t>
            </w:r>
          </w:p>
        </w:tc>
        <w:tc>
          <w:tcPr>
            <w:tcW w:w="19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（20）*3%</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5,134.92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25</w:t>
            </w:r>
          </w:p>
        </w:tc>
        <w:tc>
          <w:tcPr>
            <w:tcW w:w="23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利润（3%）</w:t>
            </w:r>
          </w:p>
        </w:tc>
        <w:tc>
          <w:tcPr>
            <w:tcW w:w="19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（20）*3%</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5,134.92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26</w:t>
            </w:r>
          </w:p>
        </w:tc>
        <w:tc>
          <w:tcPr>
            <w:tcW w:w="23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税费（3%）</w:t>
            </w:r>
          </w:p>
        </w:tc>
        <w:tc>
          <w:tcPr>
            <w:tcW w:w="19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（20+21+......+25）*3%</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 xml:space="preserve">5,699.76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rPr>
              <w:t>27</w:t>
            </w:r>
          </w:p>
        </w:tc>
        <w:tc>
          <w:tcPr>
            <w:tcW w:w="4264"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总计</w:t>
            </w:r>
          </w:p>
        </w:tc>
        <w:tc>
          <w:tcPr>
            <w:tcW w:w="1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rPr>
              <w:t xml:space="preserve">195,691.80 </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auto"/>
                <w:kern w:val="0"/>
                <w:sz w:val="22"/>
                <w:szCs w:val="22"/>
                <w:u w:val="none"/>
                <w:lang w:val="en-US" w:eastAsia="zh-CN"/>
              </w:rPr>
            </w:pPr>
          </w:p>
        </w:tc>
        <w:tc>
          <w:tcPr>
            <w:tcW w:w="7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18"/>
                <w:szCs w:val="18"/>
                <w:u w:val="none"/>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bCs/>
          <w:color w:val="auto"/>
          <w:sz w:val="24"/>
        </w:rPr>
      </w:pPr>
      <w:r>
        <w:rPr>
          <w:color w:val="auto"/>
          <w:sz w:val="24"/>
        </w:rPr>
        <w:t>时间：</w:t>
      </w: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3"/>
      <w:lvlText w:val="%1"/>
      <w:lvlJc w:val="left"/>
      <w:pPr>
        <w:tabs>
          <w:tab w:val="left" w:pos="432"/>
        </w:tabs>
        <w:ind w:left="432" w:hanging="432"/>
      </w:pPr>
    </w:lvl>
    <w:lvl w:ilvl="1" w:tentative="1">
      <w:start w:val="1"/>
      <w:numFmt w:val="decimal"/>
      <w:pStyle w:val="2"/>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mY4NDEwZTI2MTk5MzhmMGFjNjgyYTUxNDM3OGYwY2Y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93576CC"/>
    <w:rsid w:val="15233A04"/>
    <w:rsid w:val="17657E73"/>
    <w:rsid w:val="1C710E91"/>
    <w:rsid w:val="1F75071F"/>
    <w:rsid w:val="1FF50351"/>
    <w:rsid w:val="20D26D58"/>
    <w:rsid w:val="229260C8"/>
    <w:rsid w:val="22D21317"/>
    <w:rsid w:val="268F2F81"/>
    <w:rsid w:val="2AEE4FFE"/>
    <w:rsid w:val="354C380A"/>
    <w:rsid w:val="39FB41E4"/>
    <w:rsid w:val="3C610894"/>
    <w:rsid w:val="40176872"/>
    <w:rsid w:val="4FF63CF9"/>
    <w:rsid w:val="50181445"/>
    <w:rsid w:val="59AC1BE4"/>
    <w:rsid w:val="61AE6629"/>
    <w:rsid w:val="65602744"/>
    <w:rsid w:val="68FA7C56"/>
    <w:rsid w:val="6D9A1D3C"/>
    <w:rsid w:val="73915795"/>
    <w:rsid w:val="7E30493E"/>
    <w:rsid w:val="7F53181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2">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eastAsia="宋体" w:cs="Times New Roman"/>
      <w:b/>
      <w:bCs/>
      <w:szCs w:val="24"/>
    </w:rPr>
  </w:style>
  <w:style w:type="paragraph" w:styleId="12">
    <w:name w:val="annotation text"/>
    <w:basedOn w:val="1"/>
    <w:link w:val="97"/>
    <w:qFormat/>
    <w:uiPriority w:val="0"/>
    <w:pPr>
      <w:jc w:val="left"/>
    </w:pPr>
    <w:rPr>
      <w:rFonts w:ascii="Calibri" w:hAnsi="Calibri" w:eastAsia="宋体" w:cs="黑体"/>
      <w:szCs w:val="22"/>
    </w:rPr>
  </w:style>
  <w:style w:type="paragraph" w:styleId="13">
    <w:name w:val="Normal Indent"/>
    <w:basedOn w:val="1"/>
    <w:link w:val="98"/>
    <w:qFormat/>
    <w:uiPriority w:val="0"/>
    <w:pPr>
      <w:ind w:firstLine="420"/>
    </w:pPr>
    <w:rPr>
      <w:rFonts w:ascii="Calibri" w:hAnsi="Calibri" w:eastAsia="宋体"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5">
    <w:name w:val="List Paragraph"/>
    <w:basedOn w:val="1"/>
    <w:qFormat/>
    <w:uiPriority w:val="0"/>
    <w:pPr>
      <w:ind w:firstLine="420" w:firstLineChars="200"/>
    </w:pPr>
  </w:style>
  <w:style w:type="paragraph" w:customStyle="1" w:styleId="36">
    <w:name w:val="列出段落1"/>
    <w:basedOn w:val="1"/>
    <w:qFormat/>
    <w:uiPriority w:val="0"/>
    <w:pPr>
      <w:ind w:firstLine="420" w:firstLineChars="200"/>
    </w:pPr>
    <w:rPr>
      <w:rFonts w:ascii="Calibri" w:hAnsi="Calibri"/>
      <w:sz w:val="21"/>
      <w:szCs w:val="22"/>
    </w:rPr>
  </w:style>
  <w:style w:type="paragraph" w:customStyle="1" w:styleId="3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Char Char"/>
    <w:basedOn w:val="1"/>
    <w:qFormat/>
    <w:uiPriority w:val="0"/>
    <w:rPr>
      <w:rFonts w:ascii="Tahoma" w:hAnsi="Tahoma"/>
      <w:sz w:val="24"/>
      <w:szCs w:val="20"/>
    </w:rPr>
  </w:style>
  <w:style w:type="paragraph" w:customStyle="1" w:styleId="39">
    <w:name w:val="大汉方案正文"/>
    <w:basedOn w:val="1"/>
    <w:qFormat/>
    <w:uiPriority w:val="0"/>
    <w:pPr>
      <w:spacing w:line="360" w:lineRule="auto"/>
      <w:ind w:firstLine="200" w:firstLineChars="200"/>
    </w:pPr>
    <w:rPr>
      <w:rFonts w:ascii="Arial" w:hAnsi="Arial"/>
      <w:sz w:val="24"/>
      <w:szCs w:val="20"/>
    </w:rPr>
  </w:style>
  <w:style w:type="paragraph" w:customStyle="1" w:styleId="40">
    <w:name w:val="retrait3"/>
    <w:basedOn w:val="1"/>
    <w:qFormat/>
    <w:uiPriority w:val="0"/>
    <w:pPr>
      <w:widowControl/>
      <w:spacing w:before="20" w:after="20"/>
      <w:ind w:left="851"/>
      <w:jc w:val="left"/>
    </w:pPr>
    <w:rPr>
      <w:rFonts w:ascii="Arial" w:hAnsi="Arial"/>
      <w:kern w:val="0"/>
      <w:sz w:val="24"/>
      <w:szCs w:val="20"/>
    </w:rPr>
  </w:style>
  <w:style w:type="paragraph" w:customStyle="1" w:styleId="4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3"/>
    <w:qFormat/>
    <w:uiPriority w:val="0"/>
    <w:rPr>
      <w:rFonts w:ascii="Calibri" w:hAnsi="Calibri" w:eastAsia="仿宋" w:cs="Times New Roman"/>
      <w:b/>
      <w:bCs/>
      <w:kern w:val="44"/>
      <w:sz w:val="30"/>
      <w:szCs w:val="44"/>
    </w:rPr>
  </w:style>
  <w:style w:type="character" w:customStyle="1" w:styleId="88">
    <w:name w:val="标题 2 Char"/>
    <w:basedOn w:val="27"/>
    <w:link w:val="2"/>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9816</Words>
  <Characters>10929</Characters>
  <Lines>72</Lines>
  <Paragraphs>20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2023-07-11T08:34:00Z</cp:lastPrinted>
  <dcterms:modified xsi:type="dcterms:W3CDTF">2023-07-18T03:42:55Z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469CA992B704456E867A3AAC66F2B91B</vt:lpwstr>
  </property>
</Properties>
</file>