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湖北省博物馆楚文化馆无线烟感及综合馆水箱水位监控</w:t>
      </w:r>
      <w:r>
        <w:rPr>
          <w:rFonts w:hint="eastAsia"/>
          <w:bCs/>
          <w:color w:val="auto"/>
          <w:sz w:val="32"/>
          <w:szCs w:val="32"/>
        </w:rPr>
        <w:t>项目</w:t>
      </w:r>
    </w:p>
    <w:p>
      <w:pPr>
        <w:spacing w:line="480" w:lineRule="auto"/>
        <w:ind w:left="958" w:leftChars="342"/>
        <w:rPr>
          <w:rFonts w:hint="eastAsia"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楚文化馆无线烟感及综合馆水箱水位监控等</w:t>
      </w:r>
    </w:p>
    <w:p>
      <w:pPr>
        <w:spacing w:line="480" w:lineRule="auto"/>
        <w:ind w:left="958" w:leftChars="342"/>
        <w:rPr>
          <w:rFonts w:hint="default" w:eastAsia="宋体"/>
          <w:bCs/>
          <w:color w:val="auto"/>
          <w:sz w:val="32"/>
          <w:szCs w:val="32"/>
          <w:lang w:val="en-US" w:eastAsia="zh-CN"/>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szCs w:val="24"/>
          <w:u w:val="single"/>
        </w:rPr>
      </w:pPr>
      <w:r>
        <w:rPr>
          <w:bCs/>
          <w:color w:val="auto"/>
          <w:sz w:val="24"/>
          <w:szCs w:val="24"/>
        </w:rPr>
        <w:t>谈判小组确定你公司为</w:t>
      </w:r>
      <w:r>
        <w:rPr>
          <w:rFonts w:hint="eastAsia"/>
          <w:color w:val="auto"/>
          <w:sz w:val="24"/>
          <w:szCs w:val="24"/>
        </w:rPr>
        <w:t>（</w:t>
      </w:r>
      <w:r>
        <w:rPr>
          <w:rFonts w:hint="eastAsia"/>
          <w:color w:val="auto"/>
          <w:sz w:val="24"/>
          <w:szCs w:val="24"/>
          <w:lang w:eastAsia="zh-CN"/>
        </w:rPr>
        <w:t>湖北省博物馆</w:t>
      </w:r>
      <w:r>
        <w:rPr>
          <w:rFonts w:hint="eastAsia"/>
          <w:bCs/>
          <w:color w:val="auto"/>
          <w:sz w:val="24"/>
          <w:szCs w:val="24"/>
          <w:lang w:val="en-US" w:eastAsia="zh-CN"/>
        </w:rPr>
        <w:t>楚文化馆无线烟感及综合馆水箱水位监控等</w:t>
      </w:r>
      <w:r>
        <w:rPr>
          <w:rFonts w:hint="eastAsia"/>
          <w:bCs/>
          <w:color w:val="auto"/>
          <w:sz w:val="24"/>
          <w:szCs w:val="24"/>
        </w:rPr>
        <w:t>项目</w:t>
      </w:r>
      <w:r>
        <w:rPr>
          <w:rFonts w:hint="eastAsia"/>
          <w:color w:val="auto"/>
          <w:sz w:val="24"/>
          <w:szCs w:val="24"/>
        </w:rPr>
        <w:t>）</w:t>
      </w:r>
      <w:r>
        <w:rPr>
          <w:bCs/>
          <w:color w:val="auto"/>
          <w:sz w:val="24"/>
          <w:szCs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szCs w:val="24"/>
        </w:rPr>
      </w:pPr>
      <w:r>
        <w:rPr>
          <w:bCs/>
          <w:color w:val="auto"/>
          <w:sz w:val="24"/>
        </w:rPr>
        <w:t>二、</w:t>
      </w:r>
      <w:r>
        <w:rPr>
          <w:bCs/>
          <w:color w:val="auto"/>
          <w:sz w:val="24"/>
          <w:szCs w:val="24"/>
        </w:rPr>
        <w:t>项目名称：</w:t>
      </w:r>
      <w:r>
        <w:rPr>
          <w:rFonts w:hint="eastAsia"/>
          <w:bCs/>
          <w:color w:val="auto"/>
          <w:sz w:val="24"/>
          <w:szCs w:val="24"/>
          <w:lang w:val="en-US" w:eastAsia="zh-CN"/>
        </w:rPr>
        <w:t>楚文化馆无线烟感及综合馆水箱水位监控等。</w:t>
      </w:r>
    </w:p>
    <w:tbl>
      <w:tblPr>
        <w:tblStyle w:val="33"/>
        <w:tblpPr w:leftFromText="180" w:rightFromText="180" w:vertAnchor="text" w:horzAnchor="page" w:tblpX="1027" w:tblpY="839"/>
        <w:tblOverlap w:val="never"/>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5"/>
        <w:gridCol w:w="894"/>
        <w:gridCol w:w="3066"/>
        <w:gridCol w:w="600"/>
        <w:gridCol w:w="579"/>
        <w:gridCol w:w="900"/>
        <w:gridCol w:w="1050"/>
        <w:gridCol w:w="94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86"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类别</w:t>
            </w: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序号</w:t>
            </w:r>
          </w:p>
        </w:tc>
        <w:tc>
          <w:tcPr>
            <w:tcW w:w="894"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名称</w:t>
            </w:r>
          </w:p>
        </w:tc>
        <w:tc>
          <w:tcPr>
            <w:tcW w:w="3066" w:type="dxa"/>
            <w:vAlign w:val="top"/>
          </w:tcPr>
          <w:p>
            <w:pPr>
              <w:spacing w:line="440" w:lineRule="exact"/>
              <w:ind w:firstLine="540" w:firstLineChars="3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特征描述</w:t>
            </w:r>
          </w:p>
        </w:tc>
        <w:tc>
          <w:tcPr>
            <w:tcW w:w="600"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单位</w:t>
            </w:r>
          </w:p>
        </w:tc>
        <w:tc>
          <w:tcPr>
            <w:tcW w:w="579"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数量</w:t>
            </w:r>
          </w:p>
        </w:tc>
        <w:tc>
          <w:tcPr>
            <w:tcW w:w="90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单价</w:t>
            </w: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（限价）</w:t>
            </w:r>
          </w:p>
        </w:tc>
        <w:tc>
          <w:tcPr>
            <w:tcW w:w="105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小计</w:t>
            </w: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（限价）</w:t>
            </w:r>
          </w:p>
        </w:tc>
        <w:tc>
          <w:tcPr>
            <w:tcW w:w="945"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报价</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（单价）</w:t>
            </w:r>
          </w:p>
        </w:tc>
        <w:tc>
          <w:tcPr>
            <w:tcW w:w="99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报价</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586" w:type="dxa"/>
            <w:vMerge w:val="restart"/>
            <w:vAlign w:val="top"/>
          </w:tcPr>
          <w:p>
            <w:pPr>
              <w:spacing w:line="440" w:lineRule="exact"/>
              <w:ind w:firstLine="360" w:firstLineChars="200"/>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r>
              <w:rPr>
                <w:rFonts w:hint="eastAsia" w:ascii="Calibri" w:hAnsi="Calibri" w:eastAsia="宋体" w:cs="Times New Roman"/>
                <w:bCs/>
                <w:color w:val="auto"/>
                <w:kern w:val="0"/>
                <w:sz w:val="18"/>
                <w:szCs w:val="18"/>
                <w:highlight w:val="none"/>
                <w:lang w:eastAsia="zh-CN"/>
              </w:rPr>
              <w:t>无线烟感</w:t>
            </w:r>
          </w:p>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探测器</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点型探测器维修换新              规格：独立式光电感烟探测报警器    </w:t>
            </w:r>
          </w:p>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品牌：海康威视                 型号：NP-FY200</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个</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50</w:t>
            </w:r>
          </w:p>
        </w:tc>
        <w:tc>
          <w:tcPr>
            <w:tcW w:w="900" w:type="dxa"/>
            <w:vAlign w:val="center"/>
          </w:tcPr>
          <w:p>
            <w:pPr>
              <w:widowControl/>
              <w:ind w:firstLine="180" w:firstLineChars="100"/>
              <w:jc w:val="both"/>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259.07</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12953.5</w:t>
            </w:r>
          </w:p>
        </w:tc>
        <w:tc>
          <w:tcPr>
            <w:tcW w:w="945"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通信网关</w:t>
            </w:r>
          </w:p>
        </w:tc>
        <w:tc>
          <w:tcPr>
            <w:tcW w:w="3066"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主机</w:t>
            </w:r>
            <w:r>
              <w:rPr>
                <w:rFonts w:hint="eastAsia" w:ascii="宋体" w:hAnsi="宋体" w:eastAsia="宋体" w:cs="宋体"/>
                <w:i w:val="0"/>
                <w:iCs w:val="0"/>
                <w:color w:val="000000"/>
                <w:kern w:val="0"/>
                <w:sz w:val="18"/>
                <w:szCs w:val="18"/>
                <w:highlight w:val="none"/>
                <w:u w:val="none"/>
                <w:lang w:val="en-US" w:eastAsia="zh-CN"/>
              </w:rPr>
              <w:t>通信线路维修换新               品牌：海康威视              规格型号：LORA消防报警网关NP-FTG200                   通讯模式：lora</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1280.76</w:t>
            </w:r>
          </w:p>
        </w:tc>
        <w:tc>
          <w:tcPr>
            <w:tcW w:w="1050" w:type="dxa"/>
            <w:vAlign w:val="center"/>
          </w:tcPr>
          <w:p>
            <w:pPr>
              <w:widowControl/>
              <w:jc w:val="both"/>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2561.52</w:t>
            </w:r>
          </w:p>
        </w:tc>
        <w:tc>
          <w:tcPr>
            <w:tcW w:w="945"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3</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报警器</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声光报警器维修换新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名称：非编码型火灾声光报警器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品牌：海康威视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规格型号： HK-SG-1124      </w:t>
            </w:r>
          </w:p>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通讯模式：lora</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个</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269.76</w:t>
            </w:r>
          </w:p>
        </w:tc>
        <w:tc>
          <w:tcPr>
            <w:tcW w:w="105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809.28</w:t>
            </w:r>
          </w:p>
        </w:tc>
        <w:tc>
          <w:tcPr>
            <w:tcW w:w="945" w:type="dxa"/>
            <w:vAlign w:val="center"/>
          </w:tcPr>
          <w:p>
            <w:pPr>
              <w:widowControl/>
              <w:jc w:val="center"/>
              <w:textAlignment w:val="center"/>
              <w:rPr>
                <w:rFonts w:hint="eastAsia" w:ascii="Calibri" w:hAnsi="Calibri" w:eastAsia="宋体" w:cs="Times New Roman"/>
                <w:bCs/>
                <w:color w:val="auto"/>
                <w:kern w:val="0"/>
                <w:sz w:val="18"/>
                <w:szCs w:val="18"/>
                <w:highlight w:val="none"/>
                <w:lang w:val="en-US" w:eastAsia="zh-CN"/>
              </w:rPr>
            </w:pPr>
          </w:p>
        </w:tc>
        <w:tc>
          <w:tcPr>
            <w:tcW w:w="990" w:type="dxa"/>
            <w:vAlign w:val="center"/>
          </w:tcPr>
          <w:p>
            <w:pPr>
              <w:widowControl/>
              <w:jc w:val="center"/>
              <w:textAlignment w:val="center"/>
              <w:rPr>
                <w:rFonts w:hint="eastAsia" w:ascii="Calibri" w:hAnsi="Calibri" w:eastAsia="宋体" w:cs="Times New Roman"/>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4</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主机主板</w:t>
            </w:r>
          </w:p>
        </w:tc>
        <w:tc>
          <w:tcPr>
            <w:tcW w:w="3066"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火灾报警控制器回路主板维修换新                           品牌：松下消防主机                 </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3080.76</w:t>
            </w:r>
          </w:p>
        </w:tc>
        <w:tc>
          <w:tcPr>
            <w:tcW w:w="1050" w:type="dxa"/>
            <w:vAlign w:val="center"/>
          </w:tcPr>
          <w:p>
            <w:pPr>
              <w:widowControl/>
              <w:jc w:val="righ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3080.76</w:t>
            </w:r>
          </w:p>
        </w:tc>
        <w:tc>
          <w:tcPr>
            <w:tcW w:w="945"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水位监控</w:t>
            </w: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5</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电接触式液位计</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液位探测器维修换新                                名称：电接触式液位计        品牌：拓普瑞                              型号规格：TP-W2602          通讯模式：lora/4G</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w:t>
            </w:r>
          </w:p>
        </w:tc>
        <w:tc>
          <w:tcPr>
            <w:tcW w:w="9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525.7</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1051.40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6</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显示设备</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液位显示维修换新                                名称：液位显示器             品牌：拓普瑞                              型号规格：DS-5024           通讯模式：lora/4G</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1267.18</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1267.18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7</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压力仪表</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压力表更换维修换新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名称：无线压力表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品牌 ： 海康威视/拓普瑞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规格型号： NPFSC200/TP2401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通讯模式：lora /NB</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578.36</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4626.88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8</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监控摄像设备</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管井间设备视频监控对讲系统维修换新                      名称：无线摄像头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品牌：海康/大华/宇视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规格型号:DS-IPC-K22H-IW 分辨率：1080P                   工作模式：无线</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388.68</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1554.72</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9</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录像设备</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管井间设备视频监控对讲系统维修换新                       名称：无线硬盘录像机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品牌：海康/大华/宇视</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规格型号:DS-1108W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通道：8通道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存储容量：6TB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工作模式：无线</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1254.66</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1254.66</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10</w:t>
            </w:r>
          </w:p>
        </w:tc>
        <w:tc>
          <w:tcPr>
            <w:tcW w:w="894" w:type="dxa"/>
            <w:vAlign w:val="center"/>
          </w:tcPr>
          <w:p>
            <w:pPr>
              <w:widowControl/>
              <w:ind w:firstLine="200" w:firstLineChars="100"/>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阀门</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螺纹法兰闸阀 DN100 维修换新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1.名称：止回阀</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2.品牌：特一/远大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3.规格、型号：Z45X-16Q  DN100</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796.33</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1592.66</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11</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空压机</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预作用系统空压机电机维修换新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名称：水系列空压机维修电机</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533.14</w:t>
            </w:r>
          </w:p>
        </w:tc>
        <w:tc>
          <w:tcPr>
            <w:tcW w:w="105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533.14</w:t>
            </w:r>
          </w:p>
        </w:tc>
        <w:tc>
          <w:tcPr>
            <w:tcW w:w="945"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室外消火栓</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12</w:t>
            </w:r>
          </w:p>
        </w:tc>
        <w:tc>
          <w:tcPr>
            <w:tcW w:w="894" w:type="dxa"/>
            <w:vAlign w:val="center"/>
          </w:tcPr>
          <w:p>
            <w:pPr>
              <w:widowControl/>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消火栓</w:t>
            </w:r>
          </w:p>
        </w:tc>
        <w:tc>
          <w:tcPr>
            <w:tcW w:w="3066" w:type="dxa"/>
            <w:vAlign w:val="center"/>
          </w:tcPr>
          <w:p>
            <w:pPr>
              <w:widowControl/>
              <w:numPr>
                <w:ilvl w:val="0"/>
                <w:numId w:val="3"/>
              </w:numPr>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名称:室外消火栓维修</w:t>
            </w:r>
          </w:p>
          <w:p>
            <w:pPr>
              <w:widowControl/>
              <w:numPr>
                <w:ilvl w:val="0"/>
                <w:numId w:val="3"/>
              </w:numPr>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型号：SST100/65</w:t>
            </w:r>
          </w:p>
          <w:p>
            <w:pPr>
              <w:widowControl/>
              <w:numPr>
                <w:numId w:val="0"/>
              </w:numPr>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3.含：土方开挖、回填、管道焊接等</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套</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1280.23</w:t>
            </w:r>
          </w:p>
        </w:tc>
        <w:tc>
          <w:tcPr>
            <w:tcW w:w="105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1280.23</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13</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挖沟槽土方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1.土壤类别:一、二类土</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2.挖土深度:1米</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5.65</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7.14</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40.34</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14</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垫层</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1.砂垫层30mm</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2.12</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189.75</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402.27</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15</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消火栓钢管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1.工作内容：镀锌钢管连接</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858.88</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858.88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16</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回填方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1.密实度要求:土方回填</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5.65</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13.47</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76.11</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rPr>
                <w:rFonts w:hint="eastAsia" w:ascii="Times New Roman" w:hAnsi="Times New Roman" w:eastAsia="宋体" w:cs="Times New Roman"/>
                <w:kern w:val="2"/>
                <w:sz w:val="28"/>
                <w:szCs w:val="24"/>
                <w:highlight w:val="none"/>
                <w:lang w:val="en-US" w:eastAsia="zh-CN" w:bidi="ar-SA"/>
              </w:rPr>
            </w:pPr>
          </w:p>
          <w:p>
            <w:pPr>
              <w:rPr>
                <w:rFonts w:hint="eastAsia" w:ascii="Calibri" w:hAnsi="Calibri" w:eastAsia="宋体" w:cs="Times New Roman"/>
                <w:kern w:val="0"/>
                <w:sz w:val="20"/>
                <w:szCs w:val="20"/>
                <w:highlight w:val="none"/>
                <w:lang w:val="en-US" w:eastAsia="zh-CN"/>
              </w:rPr>
            </w:pPr>
          </w:p>
          <w:p>
            <w:pPr>
              <w:rPr>
                <w:rFonts w:hint="eastAsia" w:ascii="Calibri" w:hAnsi="Calibri" w:eastAsia="宋体" w:cs="Times New Roman"/>
                <w:kern w:val="0"/>
                <w:sz w:val="20"/>
                <w:szCs w:val="20"/>
                <w:highlight w:val="none"/>
                <w:lang w:val="en-US" w:eastAsia="zh-CN"/>
              </w:rPr>
            </w:pPr>
          </w:p>
          <w:p>
            <w:pPr>
              <w:jc w:val="left"/>
              <w:rPr>
                <w:rFonts w:hint="eastAsia" w:ascii="Calibri" w:hAnsi="Calibri" w:eastAsia="宋体" w:cs="Times New Roman"/>
                <w:kern w:val="0"/>
                <w:sz w:val="24"/>
                <w:szCs w:val="22"/>
                <w:highlight w:val="none"/>
                <w:lang w:val="en-US" w:eastAsia="zh-CN"/>
              </w:rPr>
            </w:pPr>
          </w:p>
          <w:p>
            <w:pPr>
              <w:jc w:val="left"/>
              <w:rPr>
                <w:rFonts w:hint="eastAsia" w:ascii="Calibri" w:hAnsi="Calibri" w:eastAsia="宋体" w:cs="Times New Roman"/>
                <w:kern w:val="0"/>
                <w:sz w:val="20"/>
                <w:szCs w:val="20"/>
                <w:highlight w:val="none"/>
                <w:lang w:val="en-US" w:eastAsia="zh-CN"/>
              </w:rPr>
            </w:pPr>
            <w:r>
              <w:rPr>
                <w:rFonts w:hint="eastAsia" w:ascii="Calibri" w:hAnsi="Calibri" w:eastAsia="宋体" w:cs="Times New Roman"/>
                <w:kern w:val="0"/>
                <w:sz w:val="24"/>
                <w:szCs w:val="22"/>
                <w:highlight w:val="none"/>
                <w:lang w:val="en-US" w:eastAsia="zh-CN"/>
              </w:rPr>
              <w:t>辅材</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17</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配 线</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1.名称：配线</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2.型号：ZN-RVS-1.5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300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2.85</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855.0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18</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配 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1.名称：配管</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2.规格：SC20</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17.19</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1719.00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19</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装饰灯</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1.名称:应急照明灯</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套</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117.88</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589.40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20</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电力电缆</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1.名称:电力电缆</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2.型号:ZR-RVV4*2.5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16.03</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2404.50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21</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水喷淋(雾）喷头</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1.安装部位:室内</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2.材质、型号、规格:水喷淋喷头DN15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34.15</w:t>
            </w:r>
          </w:p>
        </w:tc>
        <w:tc>
          <w:tcPr>
            <w:tcW w:w="1050" w:type="dxa"/>
            <w:vAlign w:val="center"/>
          </w:tcPr>
          <w:p>
            <w:pPr>
              <w:widowControl/>
              <w:jc w:val="both"/>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683.00</w:t>
            </w:r>
          </w:p>
        </w:tc>
        <w:tc>
          <w:tcPr>
            <w:tcW w:w="945" w:type="dxa"/>
            <w:vAlign w:val="center"/>
          </w:tcPr>
          <w:p>
            <w:pPr>
              <w:widowControl/>
              <w:ind w:firstLine="200" w:firstLineChars="100"/>
              <w:jc w:val="both"/>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ind w:firstLine="200" w:firstLineChars="100"/>
              <w:jc w:val="both"/>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586" w:type="dxa"/>
            <w:vAlign w:val="top"/>
          </w:tcPr>
          <w:p>
            <w:pPr>
              <w:spacing w:line="440" w:lineRule="exact"/>
              <w:rPr>
                <w:rFonts w:hint="eastAsia" w:ascii="Calibri" w:hAnsi="Calibri" w:eastAsia="宋体" w:cs="Times New Roman"/>
                <w:bCs/>
                <w:color w:val="auto"/>
                <w:kern w:val="0"/>
                <w:sz w:val="22"/>
                <w:szCs w:val="22"/>
                <w:highlight w:val="none"/>
                <w:lang w:val="en-US" w:eastAsia="zh-CN"/>
              </w:rPr>
            </w:pPr>
            <w:r>
              <w:rPr>
                <w:rFonts w:hint="eastAsia" w:ascii="Calibri" w:hAnsi="Calibri" w:eastAsia="宋体" w:cs="Times New Roman"/>
                <w:bCs/>
                <w:color w:val="auto"/>
                <w:kern w:val="0"/>
                <w:sz w:val="22"/>
                <w:szCs w:val="22"/>
                <w:highlight w:val="none"/>
                <w:lang w:val="en-US" w:eastAsia="zh-CN"/>
              </w:rPr>
              <w:t>服</w:t>
            </w:r>
          </w:p>
          <w:p>
            <w:pPr>
              <w:spacing w:line="440" w:lineRule="exact"/>
              <w:rPr>
                <w:rFonts w:hint="default" w:ascii="Calibri" w:hAnsi="Calibri" w:eastAsia="宋体" w:cs="Times New Roman"/>
                <w:bCs/>
                <w:color w:val="auto"/>
                <w:kern w:val="0"/>
                <w:sz w:val="22"/>
                <w:szCs w:val="22"/>
                <w:highlight w:val="none"/>
                <w:lang w:val="en-US" w:eastAsia="zh-CN"/>
              </w:rPr>
            </w:pPr>
            <w:r>
              <w:rPr>
                <w:rFonts w:hint="eastAsia" w:ascii="Calibri" w:hAnsi="Calibri" w:eastAsia="宋体" w:cs="Times New Roman"/>
                <w:bCs/>
                <w:color w:val="auto"/>
                <w:kern w:val="0"/>
                <w:sz w:val="22"/>
                <w:szCs w:val="22"/>
                <w:highlight w:val="none"/>
                <w:lang w:val="en-US" w:eastAsia="zh-CN"/>
              </w:rPr>
              <w:t>务</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22</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系统调试服务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报警系统系统调试</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3023.34</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3023.34</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其</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他</w:t>
            </w:r>
          </w:p>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23</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措施费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含：人工费、机具使用费、安全文明施工费及其他措施费</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1350.96</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1983.04</w:t>
            </w:r>
            <w:r>
              <w:rPr>
                <w:rFonts w:hint="eastAsia" w:ascii="宋体" w:hAnsi="宋体" w:eastAsia="宋体" w:cs="宋体"/>
                <w:i w:val="0"/>
                <w:iCs w:val="0"/>
                <w:color w:val="000000"/>
                <w:kern w:val="0"/>
                <w:sz w:val="20"/>
                <w:szCs w:val="20"/>
                <w:highlight w:val="none"/>
                <w:u w:val="none"/>
                <w:lang w:val="en-US" w:eastAsia="zh-CN"/>
              </w:rPr>
              <w:fldChar w:fldCharType="begin"/>
            </w:r>
            <w:r>
              <w:rPr>
                <w:rFonts w:hint="eastAsia" w:ascii="宋体" w:hAnsi="宋体" w:eastAsia="宋体" w:cs="宋体"/>
                <w:i w:val="0"/>
                <w:iCs w:val="0"/>
                <w:color w:val="000000"/>
                <w:kern w:val="0"/>
                <w:sz w:val="20"/>
                <w:szCs w:val="20"/>
                <w:highlight w:val="none"/>
                <w:u w:val="none"/>
                <w:lang w:val="en-US" w:eastAsia="zh-CN"/>
              </w:rPr>
              <w:instrText xml:space="preserve"> = sum(H2:H25) \* MERGEFORMAT </w:instrText>
            </w:r>
            <w:r>
              <w:rPr>
                <w:rFonts w:hint="eastAsia" w:ascii="宋体" w:hAnsi="宋体" w:eastAsia="宋体" w:cs="宋体"/>
                <w:i w:val="0"/>
                <w:iCs w:val="0"/>
                <w:color w:val="000000"/>
                <w:kern w:val="0"/>
                <w:sz w:val="20"/>
                <w:szCs w:val="20"/>
                <w:highlight w:val="none"/>
                <w:u w:val="none"/>
                <w:lang w:val="en-US" w:eastAsia="zh-CN"/>
              </w:rPr>
              <w:fldChar w:fldCharType="separate"/>
            </w:r>
            <w:r>
              <w:rPr>
                <w:rFonts w:hint="eastAsia" w:ascii="宋体" w:hAnsi="宋体" w:eastAsia="宋体" w:cs="宋体"/>
                <w:i w:val="0"/>
                <w:iCs w:val="0"/>
                <w:color w:val="000000"/>
                <w:kern w:val="0"/>
                <w:sz w:val="20"/>
                <w:szCs w:val="20"/>
                <w:highlight w:val="none"/>
                <w:u w:val="none"/>
                <w:lang w:val="en-US" w:eastAsia="zh-CN"/>
              </w:rPr>
              <w:fldChar w:fldCharType="end"/>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24</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规费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1172.70</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1172.70</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25</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增值税</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1391.21</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1391.21</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合</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计</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47764.72</w:t>
            </w:r>
            <w:r>
              <w:rPr>
                <w:rFonts w:hint="eastAsia" w:ascii="宋体" w:hAnsi="宋体" w:eastAsia="宋体" w:cs="宋体"/>
                <w:i w:val="0"/>
                <w:iCs w:val="0"/>
                <w:color w:val="000000"/>
                <w:kern w:val="0"/>
                <w:sz w:val="20"/>
                <w:szCs w:val="20"/>
                <w:highlight w:val="none"/>
                <w:u w:val="none"/>
                <w:lang w:val="en-US" w:eastAsia="zh-CN"/>
              </w:rPr>
              <w:fldChar w:fldCharType="begin"/>
            </w:r>
            <w:r>
              <w:rPr>
                <w:rFonts w:hint="eastAsia" w:ascii="宋体" w:hAnsi="宋体" w:eastAsia="宋体" w:cs="宋体"/>
                <w:i w:val="0"/>
                <w:iCs w:val="0"/>
                <w:color w:val="000000"/>
                <w:kern w:val="0"/>
                <w:sz w:val="20"/>
                <w:szCs w:val="20"/>
                <w:highlight w:val="none"/>
                <w:u w:val="none"/>
                <w:lang w:val="en-US" w:eastAsia="zh-CN"/>
              </w:rPr>
              <w:instrText xml:space="preserve"> = sum(H2:H28) \* MERGEFORMAT </w:instrText>
            </w:r>
            <w:r>
              <w:rPr>
                <w:rFonts w:hint="eastAsia" w:ascii="宋体" w:hAnsi="宋体" w:eastAsia="宋体" w:cs="宋体"/>
                <w:i w:val="0"/>
                <w:iCs w:val="0"/>
                <w:color w:val="000000"/>
                <w:kern w:val="0"/>
                <w:sz w:val="20"/>
                <w:szCs w:val="20"/>
                <w:highlight w:val="none"/>
                <w:u w:val="none"/>
                <w:lang w:val="en-US" w:eastAsia="zh-CN"/>
              </w:rPr>
              <w:fldChar w:fldCharType="separate"/>
            </w:r>
            <w:r>
              <w:rPr>
                <w:rFonts w:hint="eastAsia" w:ascii="宋体" w:hAnsi="宋体" w:eastAsia="宋体" w:cs="宋体"/>
                <w:i w:val="0"/>
                <w:iCs w:val="0"/>
                <w:color w:val="000000"/>
                <w:kern w:val="0"/>
                <w:sz w:val="20"/>
                <w:szCs w:val="20"/>
                <w:highlight w:val="none"/>
                <w:u w:val="none"/>
                <w:lang w:val="en-US" w:eastAsia="zh-CN"/>
              </w:rPr>
              <w:fldChar w:fldCharType="end"/>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bCs/>
          <w:color w:val="auto"/>
          <w:sz w:val="24"/>
        </w:rPr>
      </w:pPr>
    </w:p>
    <w:p>
      <w:pPr>
        <w:spacing w:line="440" w:lineRule="exact"/>
        <w:ind w:firstLine="480" w:firstLineChars="200"/>
        <w:rPr>
          <w:rFonts w:hint="default"/>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47764.72</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lang w:val="en-US" w:eastAsia="zh-CN"/>
        </w:rPr>
        <w:t>11</w:t>
      </w:r>
      <w:r>
        <w:rPr>
          <w:rFonts w:hint="eastAsia" w:cs="宋体"/>
          <w:color w:val="auto"/>
          <w:sz w:val="24"/>
          <w:highlight w:val="none"/>
        </w:rPr>
        <w:t>月</w:t>
      </w:r>
      <w:r>
        <w:rPr>
          <w:rFonts w:hint="eastAsia"/>
          <w:color w:val="auto"/>
          <w:sz w:val="24"/>
          <w:highlight w:val="none"/>
          <w:lang w:val="en-US" w:eastAsia="zh-CN"/>
        </w:rPr>
        <w:t>8</w:t>
      </w:r>
      <w:r>
        <w:rPr>
          <w:rFonts w:hint="eastAsia" w:cs="宋体"/>
          <w:color w:val="auto"/>
          <w:sz w:val="24"/>
          <w:highlight w:val="none"/>
        </w:rPr>
        <w:t>日</w:t>
      </w:r>
      <w:r>
        <w:rPr>
          <w:rFonts w:hint="eastAsia" w:cs="宋体"/>
          <w:color w:val="auto"/>
          <w:sz w:val="24"/>
        </w:rPr>
        <w:t>（工作时间）。</w:t>
      </w:r>
    </w:p>
    <w:p>
      <w:pPr>
        <w:spacing w:line="440" w:lineRule="exact"/>
        <w:ind w:firstLine="480"/>
        <w:rPr>
          <w:color w:val="auto"/>
          <w:sz w:val="24"/>
        </w:rPr>
      </w:pPr>
      <w:r>
        <w:rPr>
          <w:rFonts w:hint="eastAsia" w:cs="宋体"/>
          <w:color w:val="auto"/>
          <w:sz w:val="24"/>
        </w:rPr>
        <w:t>（二）领取方式：湖北省博物馆</w:t>
      </w:r>
      <w:r>
        <w:rPr>
          <w:rFonts w:hint="eastAsia" w:cs="宋体"/>
          <w:color w:val="auto"/>
          <w:sz w:val="24"/>
          <w:lang w:val="en-US" w:eastAsia="zh-CN"/>
        </w:rPr>
        <w:t>47</w:t>
      </w:r>
      <w:r>
        <w:rPr>
          <w:rFonts w:hint="eastAsia" w:cs="宋体"/>
          <w:color w:val="auto"/>
          <w:sz w:val="24"/>
        </w:rPr>
        <w:t>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highlight w:val="none"/>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highlight w:val="none"/>
          <w:lang w:val="en-US" w:eastAsia="zh-CN"/>
        </w:rPr>
        <w:t>11</w:t>
      </w:r>
      <w:r>
        <w:rPr>
          <w:color w:val="auto"/>
          <w:sz w:val="24"/>
          <w:highlight w:val="none"/>
        </w:rPr>
        <w:t>月</w:t>
      </w:r>
      <w:r>
        <w:rPr>
          <w:rFonts w:hint="eastAsia"/>
          <w:color w:val="auto"/>
          <w:sz w:val="24"/>
          <w:highlight w:val="none"/>
        </w:rPr>
        <w:t xml:space="preserve"> </w:t>
      </w:r>
      <w:r>
        <w:rPr>
          <w:rFonts w:hint="eastAsia"/>
          <w:color w:val="auto"/>
          <w:sz w:val="24"/>
          <w:highlight w:val="none"/>
          <w:lang w:val="en-US" w:eastAsia="zh-CN"/>
        </w:rPr>
        <w:t xml:space="preserve">4 </w:t>
      </w:r>
      <w:r>
        <w:rPr>
          <w:color w:val="auto"/>
          <w:sz w:val="24"/>
          <w:highlight w:val="none"/>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color w:val="auto"/>
                <w:sz w:val="24"/>
                <w:szCs w:val="24"/>
                <w:lang w:eastAsia="zh-CN"/>
              </w:rPr>
              <w:t>湖北省博物馆</w:t>
            </w:r>
            <w:r>
              <w:rPr>
                <w:rFonts w:hint="eastAsia"/>
                <w:bCs/>
                <w:color w:val="auto"/>
                <w:sz w:val="24"/>
                <w:szCs w:val="24"/>
                <w:lang w:val="en-US" w:eastAsia="zh-CN"/>
              </w:rPr>
              <w:t>楚文化馆无线烟感及综合馆水箱水位监控等</w:t>
            </w:r>
            <w:r>
              <w:rPr>
                <w:rFonts w:hint="eastAsia"/>
                <w:bCs/>
                <w:color w:val="auto"/>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sz w:val="24"/>
                <w:szCs w:val="24"/>
                <w:lang w:val="en-US" w:eastAsia="zh-CN"/>
              </w:rPr>
              <w:t>楚文化馆无线烟感及综合馆水箱水位监控等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ascii="新宋体" w:hAnsi="新宋体" w:eastAsia="新宋体" w:cs="新宋体"/>
                <w:i w:val="0"/>
                <w:iCs w:val="0"/>
                <w:color w:val="000000"/>
                <w:kern w:val="0"/>
                <w:sz w:val="22"/>
                <w:szCs w:val="22"/>
                <w:highlight w:val="none"/>
                <w:u w:val="none"/>
                <w:lang w:val="en-US" w:eastAsia="zh-CN"/>
              </w:rPr>
              <w:t>47764.72</w:t>
            </w:r>
            <w:r>
              <w:rPr>
                <w:rFonts w:hint="eastAsia" w:cs="宋体"/>
                <w:color w:val="auto"/>
                <w:kern w:val="0"/>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夏老师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027-88992501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1</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10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lang w:val="en-US"/>
              </w:rPr>
              <w:t>。</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30分</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w:t>
      </w:r>
      <w:bookmarkStart w:id="0" w:name="_GoBack"/>
      <w:bookmarkEnd w:id="0"/>
      <w:r>
        <w:rPr>
          <w:rFonts w:hint="eastAsia"/>
          <w:bCs/>
          <w:color w:val="auto"/>
          <w:sz w:val="24"/>
        </w:rPr>
        <w:t>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采购</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ascii="宋体" w:hAnsi="宋体"/>
          <w:color w:val="auto"/>
          <w:sz w:val="24"/>
          <w:szCs w:val="22"/>
        </w:rPr>
      </w:pPr>
      <w:r>
        <w:rPr>
          <w:color w:val="auto"/>
          <w:sz w:val="24"/>
        </w:rPr>
        <w:t>3</w:t>
      </w:r>
      <w:r>
        <w:rPr>
          <w:rFonts w:hint="eastAsia"/>
          <w:color w:val="auto"/>
          <w:sz w:val="24"/>
        </w:rPr>
        <w:t>2</w:t>
      </w:r>
      <w:r>
        <w:rPr>
          <w:color w:val="auto"/>
          <w:sz w:val="24"/>
        </w:rPr>
        <w:t>.</w:t>
      </w:r>
      <w:r>
        <w:rPr>
          <w:rFonts w:hint="eastAsia"/>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3"/>
        <w:tblpPr w:leftFromText="180" w:rightFromText="180" w:vertAnchor="text" w:horzAnchor="page" w:tblpX="1027" w:tblpY="839"/>
        <w:tblOverlap w:val="never"/>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5"/>
        <w:gridCol w:w="894"/>
        <w:gridCol w:w="3066"/>
        <w:gridCol w:w="600"/>
        <w:gridCol w:w="579"/>
        <w:gridCol w:w="900"/>
        <w:gridCol w:w="1050"/>
        <w:gridCol w:w="94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86"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类别</w:t>
            </w: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序号</w:t>
            </w:r>
          </w:p>
        </w:tc>
        <w:tc>
          <w:tcPr>
            <w:tcW w:w="894"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名称</w:t>
            </w:r>
          </w:p>
        </w:tc>
        <w:tc>
          <w:tcPr>
            <w:tcW w:w="3066" w:type="dxa"/>
            <w:vAlign w:val="top"/>
          </w:tcPr>
          <w:p>
            <w:pPr>
              <w:spacing w:line="440" w:lineRule="exact"/>
              <w:ind w:firstLine="540" w:firstLineChars="3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特征描述</w:t>
            </w:r>
          </w:p>
        </w:tc>
        <w:tc>
          <w:tcPr>
            <w:tcW w:w="600"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单位</w:t>
            </w:r>
          </w:p>
        </w:tc>
        <w:tc>
          <w:tcPr>
            <w:tcW w:w="579"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数量</w:t>
            </w:r>
          </w:p>
        </w:tc>
        <w:tc>
          <w:tcPr>
            <w:tcW w:w="90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单价</w:t>
            </w: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（限价）</w:t>
            </w:r>
          </w:p>
        </w:tc>
        <w:tc>
          <w:tcPr>
            <w:tcW w:w="105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小计</w:t>
            </w: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（限价）</w:t>
            </w:r>
          </w:p>
        </w:tc>
        <w:tc>
          <w:tcPr>
            <w:tcW w:w="945"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报价</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（单价）</w:t>
            </w:r>
          </w:p>
        </w:tc>
        <w:tc>
          <w:tcPr>
            <w:tcW w:w="990"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报价</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586" w:type="dxa"/>
            <w:vMerge w:val="restart"/>
            <w:vAlign w:val="top"/>
          </w:tcPr>
          <w:p>
            <w:pPr>
              <w:spacing w:line="440" w:lineRule="exact"/>
              <w:ind w:firstLine="360" w:firstLineChars="200"/>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p>
          <w:p>
            <w:pPr>
              <w:spacing w:line="440" w:lineRule="exact"/>
              <w:rPr>
                <w:rFonts w:hint="eastAsia" w:ascii="Calibri" w:hAnsi="Calibri" w:eastAsia="宋体" w:cs="Times New Roman"/>
                <w:bCs/>
                <w:color w:val="auto"/>
                <w:kern w:val="0"/>
                <w:sz w:val="18"/>
                <w:szCs w:val="18"/>
                <w:highlight w:val="none"/>
                <w:lang w:eastAsia="zh-CN"/>
              </w:rPr>
            </w:pPr>
            <w:r>
              <w:rPr>
                <w:rFonts w:hint="eastAsia" w:ascii="Calibri" w:hAnsi="Calibri" w:eastAsia="宋体" w:cs="Times New Roman"/>
                <w:bCs/>
                <w:color w:val="auto"/>
                <w:kern w:val="0"/>
                <w:sz w:val="18"/>
                <w:szCs w:val="18"/>
                <w:highlight w:val="none"/>
                <w:lang w:eastAsia="zh-CN"/>
              </w:rPr>
              <w:t>无线烟感</w:t>
            </w:r>
          </w:p>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探测器</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点型探测器维修换新              规格：独立式光电感烟探测报警器    </w:t>
            </w:r>
          </w:p>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品牌：海康威视                 型号：NP-FY200</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个</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50</w:t>
            </w:r>
          </w:p>
        </w:tc>
        <w:tc>
          <w:tcPr>
            <w:tcW w:w="900" w:type="dxa"/>
            <w:vAlign w:val="center"/>
          </w:tcPr>
          <w:p>
            <w:pPr>
              <w:widowControl/>
              <w:ind w:firstLine="180" w:firstLineChars="100"/>
              <w:jc w:val="both"/>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259.07</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12953.5</w:t>
            </w:r>
          </w:p>
        </w:tc>
        <w:tc>
          <w:tcPr>
            <w:tcW w:w="945"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通信网关</w:t>
            </w:r>
          </w:p>
        </w:tc>
        <w:tc>
          <w:tcPr>
            <w:tcW w:w="3066"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主机</w:t>
            </w:r>
            <w:r>
              <w:rPr>
                <w:rFonts w:hint="eastAsia" w:ascii="宋体" w:hAnsi="宋体" w:eastAsia="宋体" w:cs="宋体"/>
                <w:i w:val="0"/>
                <w:iCs w:val="0"/>
                <w:color w:val="000000"/>
                <w:kern w:val="0"/>
                <w:sz w:val="18"/>
                <w:szCs w:val="18"/>
                <w:highlight w:val="none"/>
                <w:u w:val="none"/>
                <w:lang w:val="en-US" w:eastAsia="zh-CN"/>
              </w:rPr>
              <w:t>通信线路维修换新               品牌：海康威视              规格型号：LORA消防报警网关NP-FTG200                   通讯模式：lora</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1280.76</w:t>
            </w:r>
          </w:p>
        </w:tc>
        <w:tc>
          <w:tcPr>
            <w:tcW w:w="1050" w:type="dxa"/>
            <w:vAlign w:val="center"/>
          </w:tcPr>
          <w:p>
            <w:pPr>
              <w:widowControl/>
              <w:jc w:val="both"/>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2561.52</w:t>
            </w:r>
          </w:p>
        </w:tc>
        <w:tc>
          <w:tcPr>
            <w:tcW w:w="945"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3</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报警器</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声光报警器维修换新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名称：非编码型火灾声光报警器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品牌：海康威视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规格型号： HK-SG-1124      </w:t>
            </w:r>
          </w:p>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通讯模式：lora</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个</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269.76</w:t>
            </w:r>
          </w:p>
        </w:tc>
        <w:tc>
          <w:tcPr>
            <w:tcW w:w="105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809.28</w:t>
            </w:r>
          </w:p>
        </w:tc>
        <w:tc>
          <w:tcPr>
            <w:tcW w:w="945" w:type="dxa"/>
            <w:vAlign w:val="center"/>
          </w:tcPr>
          <w:p>
            <w:pPr>
              <w:widowControl/>
              <w:jc w:val="center"/>
              <w:textAlignment w:val="center"/>
              <w:rPr>
                <w:rFonts w:hint="eastAsia" w:ascii="Calibri" w:hAnsi="Calibri" w:eastAsia="宋体" w:cs="Times New Roman"/>
                <w:bCs/>
                <w:color w:val="auto"/>
                <w:kern w:val="0"/>
                <w:sz w:val="18"/>
                <w:szCs w:val="18"/>
                <w:highlight w:val="none"/>
                <w:lang w:val="en-US" w:eastAsia="zh-CN"/>
              </w:rPr>
            </w:pPr>
          </w:p>
        </w:tc>
        <w:tc>
          <w:tcPr>
            <w:tcW w:w="990" w:type="dxa"/>
            <w:vAlign w:val="center"/>
          </w:tcPr>
          <w:p>
            <w:pPr>
              <w:widowControl/>
              <w:jc w:val="center"/>
              <w:textAlignment w:val="center"/>
              <w:rPr>
                <w:rFonts w:hint="eastAsia" w:ascii="Calibri" w:hAnsi="Calibri" w:eastAsia="宋体" w:cs="Times New Roman"/>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4</w:t>
            </w:r>
          </w:p>
        </w:tc>
        <w:tc>
          <w:tcPr>
            <w:tcW w:w="894"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主机主板</w:t>
            </w:r>
          </w:p>
        </w:tc>
        <w:tc>
          <w:tcPr>
            <w:tcW w:w="3066" w:type="dxa"/>
            <w:vAlign w:val="center"/>
          </w:tcPr>
          <w:p>
            <w:pPr>
              <w:widowControl/>
              <w:jc w:val="lef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火灾报警控制器回路主板维修换新                           品牌：松下消防主机                 </w:t>
            </w:r>
          </w:p>
        </w:tc>
        <w:tc>
          <w:tcPr>
            <w:tcW w:w="6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center"/>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3080.76</w:t>
            </w:r>
          </w:p>
        </w:tc>
        <w:tc>
          <w:tcPr>
            <w:tcW w:w="1050" w:type="dxa"/>
            <w:vAlign w:val="center"/>
          </w:tcPr>
          <w:p>
            <w:pPr>
              <w:widowControl/>
              <w:jc w:val="right"/>
              <w:textAlignment w:val="center"/>
              <w:rPr>
                <w:rFonts w:hint="default" w:ascii="Calibri" w:hAnsi="Calibri" w:eastAsia="宋体" w:cs="Times New Roman"/>
                <w:bCs/>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3080.76</w:t>
            </w:r>
          </w:p>
        </w:tc>
        <w:tc>
          <w:tcPr>
            <w:tcW w:w="945"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水位监控</w:t>
            </w: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5</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电接触式液位计</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液位探测器维修换新                                名称：电接触式液位计        品牌：拓普瑞                              型号规格：TP-W2602          通讯模式：lora/4G</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w:t>
            </w:r>
          </w:p>
        </w:tc>
        <w:tc>
          <w:tcPr>
            <w:tcW w:w="9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525.7</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1051.40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6</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显示设备</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液位显示维修换新                                名称：液位显示器             品牌：拓普瑞                              型号规格：DS-5024           通讯模式：lora/4G</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1267.18</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1267.18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7</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压力仪表</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压力表更换维修换新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名称：无线压力表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品牌 ： 海康威视/拓普瑞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规格型号： NPFSC200/TP2401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通讯模式：lora /NB</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578.36</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4626.88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8</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监控摄像设备</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管井间设备视频监控对讲系统维修换新                      名称：无线摄像头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品牌：海康/大华/宇视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规格型号:DS-IPC-K22H-IW 分辨率：1080P                   工作模式：无线</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388.68</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1554.72</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9</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录像设备</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管井间设备视频监控对讲系统维修换新                       名称：无线硬盘录像机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品牌：海康/大华/宇视</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规格型号:DS-1108W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通道：8通道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存储容量：6TB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工作模式：无线</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台</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1254.66</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1254.66</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10</w:t>
            </w:r>
          </w:p>
        </w:tc>
        <w:tc>
          <w:tcPr>
            <w:tcW w:w="894" w:type="dxa"/>
            <w:vAlign w:val="center"/>
          </w:tcPr>
          <w:p>
            <w:pPr>
              <w:widowControl/>
              <w:ind w:firstLine="200" w:firstLineChars="100"/>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阀门</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螺纹法兰闸阀 DN100 维修换新          </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1.名称：止回阀</w:t>
            </w:r>
          </w:p>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2.品牌：特一/远大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3.规格、型号：Z45X-16Q  DN100</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796.33</w:t>
            </w:r>
          </w:p>
        </w:tc>
        <w:tc>
          <w:tcPr>
            <w:tcW w:w="105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1592.66</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11</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空压机</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 xml:space="preserve">预作用系统空压机电机维修换新               </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名称：水系列空压机维修电机</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台</w:t>
            </w:r>
          </w:p>
        </w:tc>
        <w:tc>
          <w:tcPr>
            <w:tcW w:w="579"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533.14</w:t>
            </w:r>
          </w:p>
        </w:tc>
        <w:tc>
          <w:tcPr>
            <w:tcW w:w="105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533.14</w:t>
            </w:r>
          </w:p>
        </w:tc>
        <w:tc>
          <w:tcPr>
            <w:tcW w:w="945"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室外消火栓</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12</w:t>
            </w:r>
          </w:p>
        </w:tc>
        <w:tc>
          <w:tcPr>
            <w:tcW w:w="894" w:type="dxa"/>
            <w:vAlign w:val="center"/>
          </w:tcPr>
          <w:p>
            <w:pPr>
              <w:widowControl/>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消火栓</w:t>
            </w:r>
          </w:p>
        </w:tc>
        <w:tc>
          <w:tcPr>
            <w:tcW w:w="3066" w:type="dxa"/>
            <w:vAlign w:val="center"/>
          </w:tcPr>
          <w:p>
            <w:pPr>
              <w:widowControl/>
              <w:numPr>
                <w:ilvl w:val="0"/>
                <w:numId w:val="3"/>
              </w:numPr>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名称:室外消火栓维修</w:t>
            </w:r>
          </w:p>
          <w:p>
            <w:pPr>
              <w:widowControl/>
              <w:numPr>
                <w:ilvl w:val="0"/>
                <w:numId w:val="3"/>
              </w:numPr>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型号：SST100/65</w:t>
            </w:r>
          </w:p>
          <w:p>
            <w:pPr>
              <w:widowControl/>
              <w:numPr>
                <w:numId w:val="0"/>
              </w:numPr>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3.含：土方开挖、回填、管道焊接等</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套</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1280.23</w:t>
            </w:r>
          </w:p>
        </w:tc>
        <w:tc>
          <w:tcPr>
            <w:tcW w:w="1050" w:type="dxa"/>
            <w:vAlign w:val="center"/>
          </w:tcPr>
          <w:p>
            <w:pPr>
              <w:widowControl/>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1280.23</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13</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挖沟槽土方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1.土壤类别:一、二类土</w:t>
            </w:r>
            <w:r>
              <w:rPr>
                <w:rFonts w:hint="eastAsia" w:ascii="宋体" w:hAnsi="宋体" w:eastAsia="宋体" w:cs="宋体"/>
                <w:i w:val="0"/>
                <w:iCs w:val="0"/>
                <w:color w:val="000000"/>
                <w:kern w:val="0"/>
                <w:sz w:val="20"/>
                <w:szCs w:val="20"/>
                <w:u w:val="none"/>
                <w:lang w:val="en-US" w:eastAsia="zh-CN"/>
              </w:rPr>
              <w:br/>
            </w:r>
            <w:r>
              <w:rPr>
                <w:rFonts w:hint="eastAsia" w:ascii="宋体" w:hAnsi="宋体" w:eastAsia="宋体" w:cs="宋体"/>
                <w:i w:val="0"/>
                <w:iCs w:val="0"/>
                <w:color w:val="000000"/>
                <w:kern w:val="0"/>
                <w:sz w:val="20"/>
                <w:szCs w:val="20"/>
                <w:u w:val="none"/>
                <w:lang w:val="en-US" w:eastAsia="zh-CN"/>
              </w:rPr>
              <w:t>2.挖土深度:1米</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5.65</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7.14</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40.34</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14</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垫层</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1.砂垫层30mm</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2.12</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189.75</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402.27</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15</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消火栓钢管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1.工作内容：镀锌钢管连接</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858.88</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858.88</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ind w:firstLine="180" w:firstLineChars="100"/>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16</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rPr>
              <w:t>回填方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1.密实度要求:土方回填</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m3</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5.65</w:t>
            </w: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13.47</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rPr>
              <w:t>76.11</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rPr>
                <w:rFonts w:hint="eastAsia" w:ascii="Times New Roman" w:hAnsi="Times New Roman" w:eastAsia="宋体" w:cs="Times New Roman"/>
                <w:kern w:val="2"/>
                <w:sz w:val="28"/>
                <w:szCs w:val="24"/>
                <w:highlight w:val="none"/>
                <w:lang w:val="en-US" w:eastAsia="zh-CN" w:bidi="ar-SA"/>
              </w:rPr>
            </w:pPr>
          </w:p>
          <w:p>
            <w:pPr>
              <w:rPr>
                <w:rFonts w:hint="eastAsia" w:ascii="Calibri" w:hAnsi="Calibri" w:eastAsia="宋体" w:cs="Times New Roman"/>
                <w:kern w:val="0"/>
                <w:sz w:val="20"/>
                <w:szCs w:val="20"/>
                <w:highlight w:val="none"/>
                <w:lang w:val="en-US" w:eastAsia="zh-CN"/>
              </w:rPr>
            </w:pPr>
          </w:p>
          <w:p>
            <w:pPr>
              <w:rPr>
                <w:rFonts w:hint="eastAsia" w:ascii="Calibri" w:hAnsi="Calibri" w:eastAsia="宋体" w:cs="Times New Roman"/>
                <w:kern w:val="0"/>
                <w:sz w:val="20"/>
                <w:szCs w:val="20"/>
                <w:highlight w:val="none"/>
                <w:lang w:val="en-US" w:eastAsia="zh-CN"/>
              </w:rPr>
            </w:pPr>
          </w:p>
          <w:p>
            <w:pPr>
              <w:jc w:val="left"/>
              <w:rPr>
                <w:rFonts w:hint="eastAsia" w:ascii="Calibri" w:hAnsi="Calibri" w:eastAsia="宋体" w:cs="Times New Roman"/>
                <w:kern w:val="0"/>
                <w:sz w:val="24"/>
                <w:szCs w:val="22"/>
                <w:highlight w:val="none"/>
                <w:lang w:val="en-US" w:eastAsia="zh-CN"/>
              </w:rPr>
            </w:pPr>
          </w:p>
          <w:p>
            <w:pPr>
              <w:jc w:val="left"/>
              <w:rPr>
                <w:rFonts w:hint="eastAsia" w:ascii="Calibri" w:hAnsi="Calibri" w:eastAsia="宋体" w:cs="Times New Roman"/>
                <w:kern w:val="0"/>
                <w:sz w:val="20"/>
                <w:szCs w:val="20"/>
                <w:highlight w:val="none"/>
                <w:lang w:val="en-US" w:eastAsia="zh-CN"/>
              </w:rPr>
            </w:pPr>
            <w:r>
              <w:rPr>
                <w:rFonts w:hint="eastAsia" w:ascii="Calibri" w:hAnsi="Calibri" w:eastAsia="宋体" w:cs="Times New Roman"/>
                <w:kern w:val="0"/>
                <w:sz w:val="24"/>
                <w:szCs w:val="22"/>
                <w:highlight w:val="none"/>
                <w:lang w:val="en-US" w:eastAsia="zh-CN"/>
              </w:rPr>
              <w:t>辅材</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17</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配 线</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1.名称：配线</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2.型号：ZN-RVS-1.5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300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2.85</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855.0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18</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配 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1.名称：配管</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 xml:space="preserve"> 2.规格：SC20</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17.19</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1719.00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19</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装饰灯</w:t>
            </w:r>
          </w:p>
        </w:tc>
        <w:tc>
          <w:tcPr>
            <w:tcW w:w="3066"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1.名称:应急照明灯</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套</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117.88</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589.40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20</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电力电缆</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1.名称:电力电缆</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2.型号:ZR-RVV4*2.5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m</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150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16.03</w:t>
            </w:r>
          </w:p>
        </w:tc>
        <w:tc>
          <w:tcPr>
            <w:tcW w:w="1050" w:type="dxa"/>
            <w:vAlign w:val="center"/>
          </w:tcPr>
          <w:p>
            <w:pPr>
              <w:widowControl/>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2404.50</w:t>
            </w:r>
          </w:p>
        </w:tc>
        <w:tc>
          <w:tcPr>
            <w:tcW w:w="945"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21</w:t>
            </w:r>
          </w:p>
        </w:tc>
        <w:tc>
          <w:tcPr>
            <w:tcW w:w="894"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水喷淋(雾）喷头</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1.安装部位:室内</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2.材质、型号、规格:水喷淋喷头DN15</w:t>
            </w: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个</w:t>
            </w:r>
          </w:p>
        </w:tc>
        <w:tc>
          <w:tcPr>
            <w:tcW w:w="579"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w:t>
            </w:r>
          </w:p>
        </w:tc>
        <w:tc>
          <w:tcPr>
            <w:tcW w:w="900" w:type="dxa"/>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34.15</w:t>
            </w:r>
          </w:p>
        </w:tc>
        <w:tc>
          <w:tcPr>
            <w:tcW w:w="1050" w:type="dxa"/>
            <w:vAlign w:val="center"/>
          </w:tcPr>
          <w:p>
            <w:pPr>
              <w:widowControl/>
              <w:jc w:val="both"/>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683.00</w:t>
            </w:r>
          </w:p>
        </w:tc>
        <w:tc>
          <w:tcPr>
            <w:tcW w:w="945" w:type="dxa"/>
            <w:vAlign w:val="center"/>
          </w:tcPr>
          <w:p>
            <w:pPr>
              <w:widowControl/>
              <w:ind w:firstLine="200" w:firstLineChars="100"/>
              <w:jc w:val="both"/>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ind w:firstLine="200" w:firstLineChars="100"/>
              <w:jc w:val="both"/>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586" w:type="dxa"/>
            <w:vAlign w:val="top"/>
          </w:tcPr>
          <w:p>
            <w:pPr>
              <w:spacing w:line="440" w:lineRule="exact"/>
              <w:rPr>
                <w:rFonts w:hint="eastAsia" w:ascii="Calibri" w:hAnsi="Calibri" w:eastAsia="宋体" w:cs="Times New Roman"/>
                <w:bCs/>
                <w:color w:val="auto"/>
                <w:kern w:val="0"/>
                <w:sz w:val="22"/>
                <w:szCs w:val="22"/>
                <w:highlight w:val="none"/>
                <w:lang w:val="en-US" w:eastAsia="zh-CN"/>
              </w:rPr>
            </w:pPr>
            <w:r>
              <w:rPr>
                <w:rFonts w:hint="eastAsia" w:ascii="Calibri" w:hAnsi="Calibri" w:eastAsia="宋体" w:cs="Times New Roman"/>
                <w:bCs/>
                <w:color w:val="auto"/>
                <w:kern w:val="0"/>
                <w:sz w:val="22"/>
                <w:szCs w:val="22"/>
                <w:highlight w:val="none"/>
                <w:lang w:val="en-US" w:eastAsia="zh-CN"/>
              </w:rPr>
              <w:t>服</w:t>
            </w:r>
          </w:p>
          <w:p>
            <w:pPr>
              <w:spacing w:line="440" w:lineRule="exact"/>
              <w:rPr>
                <w:rFonts w:hint="default" w:ascii="Calibri" w:hAnsi="Calibri" w:eastAsia="宋体" w:cs="Times New Roman"/>
                <w:bCs/>
                <w:color w:val="auto"/>
                <w:kern w:val="0"/>
                <w:sz w:val="22"/>
                <w:szCs w:val="22"/>
                <w:highlight w:val="none"/>
                <w:lang w:val="en-US" w:eastAsia="zh-CN"/>
              </w:rPr>
            </w:pPr>
            <w:r>
              <w:rPr>
                <w:rFonts w:hint="eastAsia" w:ascii="Calibri" w:hAnsi="Calibri" w:eastAsia="宋体" w:cs="Times New Roman"/>
                <w:bCs/>
                <w:color w:val="auto"/>
                <w:kern w:val="0"/>
                <w:sz w:val="22"/>
                <w:szCs w:val="22"/>
                <w:highlight w:val="none"/>
                <w:lang w:val="en-US" w:eastAsia="zh-CN"/>
              </w:rPr>
              <w:t>务</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22</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系统调试服务</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报警系统系统调试</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p>
        </w:tc>
        <w:tc>
          <w:tcPr>
            <w:tcW w:w="900"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3023.34</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3023.34</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Merge w:val="restart"/>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其</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他</w:t>
            </w:r>
          </w:p>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23</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措施费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含：人工费、机具使用费、安全文明施工费及其他措施费</w:t>
            </w: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1350.96</w:t>
            </w: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1983.04</w:t>
            </w:r>
            <w:r>
              <w:rPr>
                <w:rFonts w:hint="eastAsia" w:ascii="宋体" w:hAnsi="宋体" w:eastAsia="宋体" w:cs="宋体"/>
                <w:i w:val="0"/>
                <w:iCs w:val="0"/>
                <w:color w:val="000000"/>
                <w:kern w:val="0"/>
                <w:sz w:val="20"/>
                <w:szCs w:val="20"/>
                <w:highlight w:val="none"/>
                <w:u w:val="none"/>
                <w:lang w:val="en-US" w:eastAsia="zh-CN"/>
              </w:rPr>
              <w:fldChar w:fldCharType="begin"/>
            </w:r>
            <w:r>
              <w:rPr>
                <w:rFonts w:hint="eastAsia" w:ascii="宋体" w:hAnsi="宋体" w:eastAsia="宋体" w:cs="宋体"/>
                <w:i w:val="0"/>
                <w:iCs w:val="0"/>
                <w:color w:val="000000"/>
                <w:kern w:val="0"/>
                <w:sz w:val="20"/>
                <w:szCs w:val="20"/>
                <w:highlight w:val="none"/>
                <w:u w:val="none"/>
                <w:lang w:val="en-US" w:eastAsia="zh-CN"/>
              </w:rPr>
              <w:instrText xml:space="preserve"> = sum(H2:H25) \* MERGEFORMAT </w:instrText>
            </w:r>
            <w:r>
              <w:rPr>
                <w:rFonts w:hint="eastAsia" w:ascii="宋体" w:hAnsi="宋体" w:eastAsia="宋体" w:cs="宋体"/>
                <w:i w:val="0"/>
                <w:iCs w:val="0"/>
                <w:color w:val="000000"/>
                <w:kern w:val="0"/>
                <w:sz w:val="20"/>
                <w:szCs w:val="20"/>
                <w:highlight w:val="none"/>
                <w:u w:val="none"/>
                <w:lang w:val="en-US" w:eastAsia="zh-CN"/>
              </w:rPr>
              <w:fldChar w:fldCharType="separate"/>
            </w:r>
            <w:r>
              <w:rPr>
                <w:rFonts w:hint="eastAsia" w:ascii="宋体" w:hAnsi="宋体" w:eastAsia="宋体" w:cs="宋体"/>
                <w:i w:val="0"/>
                <w:iCs w:val="0"/>
                <w:color w:val="000000"/>
                <w:kern w:val="0"/>
                <w:sz w:val="20"/>
                <w:szCs w:val="20"/>
                <w:highlight w:val="none"/>
                <w:u w:val="none"/>
                <w:lang w:val="en-US" w:eastAsia="zh-CN"/>
              </w:rPr>
              <w:fldChar w:fldCharType="end"/>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24</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规费</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1172.70</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1172.70</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86" w:type="dxa"/>
            <w:vMerge w:val="continue"/>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585" w:type="dxa"/>
            <w:vAlign w:val="top"/>
          </w:tcPr>
          <w:p>
            <w:pPr>
              <w:spacing w:line="440" w:lineRule="exact"/>
              <w:rPr>
                <w:rFonts w:hint="default"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25</w:t>
            </w: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增值税</w:t>
            </w: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项</w:t>
            </w:r>
          </w:p>
        </w:tc>
        <w:tc>
          <w:tcPr>
            <w:tcW w:w="579" w:type="dxa"/>
            <w:vAlign w:val="center"/>
          </w:tcPr>
          <w:p>
            <w:pPr>
              <w:widowControl/>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w:t>
            </w:r>
          </w:p>
        </w:tc>
        <w:tc>
          <w:tcPr>
            <w:tcW w:w="90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1391.21</w:t>
            </w:r>
          </w:p>
        </w:tc>
        <w:tc>
          <w:tcPr>
            <w:tcW w:w="1050" w:type="dxa"/>
            <w:vAlign w:val="center"/>
          </w:tcPr>
          <w:p>
            <w:pPr>
              <w:widowControl/>
              <w:jc w:val="righ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1391.21</w:t>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6"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合</w:t>
            </w:r>
          </w:p>
          <w:p>
            <w:pPr>
              <w:spacing w:line="440" w:lineRule="exact"/>
              <w:rPr>
                <w:rFonts w:hint="eastAsia" w:ascii="Calibri" w:hAnsi="Calibri" w:eastAsia="宋体" w:cs="Times New Roman"/>
                <w:bCs/>
                <w:color w:val="auto"/>
                <w:kern w:val="0"/>
                <w:sz w:val="18"/>
                <w:szCs w:val="18"/>
                <w:highlight w:val="none"/>
                <w:lang w:val="en-US" w:eastAsia="zh-CN"/>
              </w:rPr>
            </w:pPr>
            <w:r>
              <w:rPr>
                <w:rFonts w:hint="eastAsia" w:ascii="Calibri" w:hAnsi="Calibri" w:eastAsia="宋体" w:cs="Times New Roman"/>
                <w:bCs/>
                <w:color w:val="auto"/>
                <w:kern w:val="0"/>
                <w:sz w:val="18"/>
                <w:szCs w:val="18"/>
                <w:highlight w:val="none"/>
                <w:lang w:val="en-US" w:eastAsia="zh-CN"/>
              </w:rPr>
              <w:t>计</w:t>
            </w:r>
          </w:p>
        </w:tc>
        <w:tc>
          <w:tcPr>
            <w:tcW w:w="585" w:type="dxa"/>
            <w:vAlign w:val="top"/>
          </w:tcPr>
          <w:p>
            <w:pPr>
              <w:spacing w:line="440" w:lineRule="exact"/>
              <w:rPr>
                <w:rFonts w:hint="eastAsia" w:ascii="Calibri" w:hAnsi="Calibri" w:eastAsia="宋体" w:cs="Times New Roman"/>
                <w:bCs/>
                <w:color w:val="auto"/>
                <w:kern w:val="0"/>
                <w:sz w:val="18"/>
                <w:szCs w:val="18"/>
                <w:highlight w:val="none"/>
                <w:lang w:val="en-US" w:eastAsia="zh-CN"/>
              </w:rPr>
            </w:pPr>
          </w:p>
        </w:tc>
        <w:tc>
          <w:tcPr>
            <w:tcW w:w="894"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3066" w:type="dxa"/>
            <w:vAlign w:val="center"/>
          </w:tcPr>
          <w:p>
            <w:pPr>
              <w:widowControl/>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600" w:type="dxa"/>
            <w:vAlign w:val="center"/>
          </w:tcPr>
          <w:p>
            <w:pPr>
              <w:widowControl/>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579" w:type="dxa"/>
            <w:vAlign w:val="center"/>
          </w:tcPr>
          <w:p>
            <w:pPr>
              <w:widowControl/>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90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47764.72</w:t>
            </w:r>
            <w:r>
              <w:rPr>
                <w:rFonts w:hint="eastAsia" w:ascii="宋体" w:hAnsi="宋体" w:eastAsia="宋体" w:cs="宋体"/>
                <w:i w:val="0"/>
                <w:iCs w:val="0"/>
                <w:color w:val="000000"/>
                <w:kern w:val="0"/>
                <w:sz w:val="20"/>
                <w:szCs w:val="20"/>
                <w:highlight w:val="none"/>
                <w:u w:val="none"/>
                <w:lang w:val="en-US" w:eastAsia="zh-CN"/>
              </w:rPr>
              <w:fldChar w:fldCharType="begin"/>
            </w:r>
            <w:r>
              <w:rPr>
                <w:rFonts w:hint="eastAsia" w:ascii="宋体" w:hAnsi="宋体" w:eastAsia="宋体" w:cs="宋体"/>
                <w:i w:val="0"/>
                <w:iCs w:val="0"/>
                <w:color w:val="000000"/>
                <w:kern w:val="0"/>
                <w:sz w:val="20"/>
                <w:szCs w:val="20"/>
                <w:highlight w:val="none"/>
                <w:u w:val="none"/>
                <w:lang w:val="en-US" w:eastAsia="zh-CN"/>
              </w:rPr>
              <w:instrText xml:space="preserve"> = sum(H2:H28) \* MERGEFORMAT </w:instrText>
            </w:r>
            <w:r>
              <w:rPr>
                <w:rFonts w:hint="eastAsia" w:ascii="宋体" w:hAnsi="宋体" w:eastAsia="宋体" w:cs="宋体"/>
                <w:i w:val="0"/>
                <w:iCs w:val="0"/>
                <w:color w:val="000000"/>
                <w:kern w:val="0"/>
                <w:sz w:val="20"/>
                <w:szCs w:val="20"/>
                <w:highlight w:val="none"/>
                <w:u w:val="none"/>
                <w:lang w:val="en-US" w:eastAsia="zh-CN"/>
              </w:rPr>
              <w:fldChar w:fldCharType="separate"/>
            </w:r>
            <w:r>
              <w:rPr>
                <w:rFonts w:hint="eastAsia" w:ascii="宋体" w:hAnsi="宋体" w:eastAsia="宋体" w:cs="宋体"/>
                <w:i w:val="0"/>
                <w:iCs w:val="0"/>
                <w:color w:val="000000"/>
                <w:kern w:val="0"/>
                <w:sz w:val="20"/>
                <w:szCs w:val="20"/>
                <w:highlight w:val="none"/>
                <w:u w:val="none"/>
                <w:lang w:val="en-US" w:eastAsia="zh-CN"/>
              </w:rPr>
              <w:fldChar w:fldCharType="end"/>
            </w:r>
          </w:p>
        </w:tc>
        <w:tc>
          <w:tcPr>
            <w:tcW w:w="945"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c>
          <w:tcPr>
            <w:tcW w:w="990" w:type="dxa"/>
            <w:vAlign w:val="center"/>
          </w:tcPr>
          <w:p>
            <w:pPr>
              <w:widowControl/>
              <w:jc w:val="right"/>
              <w:textAlignment w:val="center"/>
              <w:rPr>
                <w:rFonts w:hint="eastAsia" w:ascii="宋体" w:hAnsi="宋体" w:eastAsia="宋体" w:cs="宋体"/>
                <w:i w:val="0"/>
                <w:iCs w:val="0"/>
                <w:color w:val="000000"/>
                <w:kern w:val="0"/>
                <w:sz w:val="20"/>
                <w:szCs w:val="20"/>
                <w:highlight w:val="none"/>
                <w:u w:val="none"/>
                <w:lang w:val="en-US" w:eastAsia="zh-CN"/>
              </w:rPr>
            </w:pP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4"/>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品牌和数量需符合文件所规定的的要求，单价不得超过文件中的各项单价限价。</w:t>
      </w:r>
    </w:p>
    <w:p>
      <w:pPr>
        <w:numPr>
          <w:ilvl w:val="0"/>
          <w:numId w:val="4"/>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报价包含旧设备拆卸，新设备安装、调试以及税费等其他费用。</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480" w:hanging="480" w:hangingChars="200"/>
        <w:rPr>
          <w:rFonts w:ascii="宋体" w:hAnsi="宋体"/>
          <w:color w:val="auto"/>
          <w:sz w:val="24"/>
          <w:szCs w:val="22"/>
        </w:rPr>
      </w:pPr>
      <w:r>
        <w:rPr>
          <w:rFonts w:hint="eastAsia" w:ascii="宋体" w:hAnsi="宋体"/>
          <w:color w:val="auto"/>
          <w:sz w:val="24"/>
          <w:szCs w:val="22"/>
        </w:rPr>
        <w:t>2.1.7付款方式：经验收合格后，</w:t>
      </w:r>
      <w:r>
        <w:rPr>
          <w:rFonts w:hint="eastAsia" w:ascii="宋体" w:hAnsi="宋体"/>
          <w:color w:val="auto"/>
          <w:sz w:val="24"/>
          <w:szCs w:val="22"/>
          <w:lang w:val="en-US" w:eastAsia="zh-CN"/>
        </w:rPr>
        <w:t>按结算审计后的金额</w:t>
      </w:r>
      <w:r>
        <w:rPr>
          <w:rFonts w:hint="eastAsia" w:ascii="宋体" w:hAnsi="宋体"/>
          <w:color w:val="auto"/>
          <w:sz w:val="24"/>
          <w:szCs w:val="22"/>
          <w:lang w:eastAsia="zh-CN"/>
        </w:rPr>
        <w:t>结算款项</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1800" w:firstLineChars="500"/>
        <w:jc w:val="both"/>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19365276">
    <w:nsid w:val="30D6859C"/>
    <w:multiLevelType w:val="singleLevel"/>
    <w:tmpl w:val="30D6859C"/>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94075754">
    <w:nsid w:val="DC2F1F6A"/>
    <w:multiLevelType w:val="singleLevel"/>
    <w:tmpl w:val="DC2F1F6A"/>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94075754"/>
  </w:num>
  <w:num w:numId="4">
    <w:abstractNumId w:val="8193652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EC9"/>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2E2020C"/>
    <w:rsid w:val="03A861DE"/>
    <w:rsid w:val="07202B8B"/>
    <w:rsid w:val="0A5500AC"/>
    <w:rsid w:val="0A7926B1"/>
    <w:rsid w:val="0C8278C4"/>
    <w:rsid w:val="0D290D01"/>
    <w:rsid w:val="1100167C"/>
    <w:rsid w:val="11710EDF"/>
    <w:rsid w:val="15106F09"/>
    <w:rsid w:val="15BC6319"/>
    <w:rsid w:val="186D1B85"/>
    <w:rsid w:val="1FBD6CCD"/>
    <w:rsid w:val="20EF37CA"/>
    <w:rsid w:val="22ED30E1"/>
    <w:rsid w:val="23BA7969"/>
    <w:rsid w:val="28105465"/>
    <w:rsid w:val="285A32AB"/>
    <w:rsid w:val="2A103B2E"/>
    <w:rsid w:val="2BE91AE9"/>
    <w:rsid w:val="2E5F1804"/>
    <w:rsid w:val="2EAB6E20"/>
    <w:rsid w:val="2F7E2447"/>
    <w:rsid w:val="2FD72674"/>
    <w:rsid w:val="31551BF1"/>
    <w:rsid w:val="319E1AD0"/>
    <w:rsid w:val="325C5A56"/>
    <w:rsid w:val="35AA3052"/>
    <w:rsid w:val="36481ACA"/>
    <w:rsid w:val="36C15C56"/>
    <w:rsid w:val="372642F2"/>
    <w:rsid w:val="3800658E"/>
    <w:rsid w:val="38C03CAD"/>
    <w:rsid w:val="3CE37A36"/>
    <w:rsid w:val="3DF029E6"/>
    <w:rsid w:val="3EA81735"/>
    <w:rsid w:val="3F377B8B"/>
    <w:rsid w:val="41B17A1F"/>
    <w:rsid w:val="43253B1A"/>
    <w:rsid w:val="43747287"/>
    <w:rsid w:val="448202B8"/>
    <w:rsid w:val="44FA6C11"/>
    <w:rsid w:val="45943BE1"/>
    <w:rsid w:val="459870D2"/>
    <w:rsid w:val="4B644FF9"/>
    <w:rsid w:val="4BCD2B44"/>
    <w:rsid w:val="4E41479B"/>
    <w:rsid w:val="4EF54118"/>
    <w:rsid w:val="506D69F3"/>
    <w:rsid w:val="535D5149"/>
    <w:rsid w:val="54D77894"/>
    <w:rsid w:val="58B00BA8"/>
    <w:rsid w:val="59DC54D4"/>
    <w:rsid w:val="5D785741"/>
    <w:rsid w:val="62587163"/>
    <w:rsid w:val="62E06647"/>
    <w:rsid w:val="644609DE"/>
    <w:rsid w:val="691436B6"/>
    <w:rsid w:val="6964615F"/>
    <w:rsid w:val="69F4357D"/>
    <w:rsid w:val="6A700F44"/>
    <w:rsid w:val="6C5D5018"/>
    <w:rsid w:val="6C665064"/>
    <w:rsid w:val="6DD213FA"/>
    <w:rsid w:val="6E087D3D"/>
    <w:rsid w:val="6ED74BAE"/>
    <w:rsid w:val="727134AA"/>
    <w:rsid w:val="72A0473B"/>
    <w:rsid w:val="72C17525"/>
    <w:rsid w:val="72C71605"/>
    <w:rsid w:val="742A0DBE"/>
    <w:rsid w:val="764007A7"/>
    <w:rsid w:val="77796BB2"/>
    <w:rsid w:val="788F67FD"/>
    <w:rsid w:val="7BCA74D6"/>
    <w:rsid w:val="7C0225B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2021-11-03T03:23:00Z</cp:lastPrinted>
  <dcterms:modified xsi:type="dcterms:W3CDTF">2021-11-04T01:58:12Z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01BB4CDC730A4527A4305E2312C360FF</vt:lpwstr>
  </property>
</Properties>
</file>