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北广场草坪景观灯维修</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val="en-US" w:eastAsia="zh-CN"/>
        </w:rPr>
        <w:t>北广场草坪景观灯维修工作</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lang w:val="en-US" w:eastAsia="zh-CN"/>
        </w:rPr>
        <w:t>10</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北广场景观灯维修</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北广场景观灯维修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9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1600"/>
        <w:gridCol w:w="2192"/>
        <w:gridCol w:w="1017"/>
        <w:gridCol w:w="975"/>
        <w:gridCol w:w="948"/>
        <w:gridCol w:w="116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60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19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10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7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94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合价</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供应商报价</w:t>
            </w:r>
          </w:p>
        </w:tc>
        <w:tc>
          <w:tcPr>
            <w:tcW w:w="118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拆除混凝土结构</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1.结构形式:拆除原有草坪灯基础</w:t>
            </w:r>
            <w:r>
              <w:rPr>
                <w:rFonts w:hint="eastAsia" w:ascii="宋体" w:hAnsi="宋体" w:cs="宋体"/>
                <w:i w:val="0"/>
                <w:iCs w:val="0"/>
                <w:color w:val="auto"/>
                <w:kern w:val="0"/>
                <w:sz w:val="20"/>
                <w:szCs w:val="20"/>
                <w:u w:val="none"/>
                <w:lang w:val="en-US" w:eastAsia="zh-CN"/>
              </w:rPr>
              <w:t>，单位：座</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116.89</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5844.5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拆除混凝土结构</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1.结构形式:拆除原有庭院灯基础</w:t>
            </w:r>
            <w:r>
              <w:rPr>
                <w:rFonts w:hint="eastAsia" w:ascii="宋体" w:hAnsi="宋体" w:cs="宋体"/>
                <w:i w:val="0"/>
                <w:iCs w:val="0"/>
                <w:color w:val="auto"/>
                <w:kern w:val="0"/>
                <w:sz w:val="20"/>
                <w:szCs w:val="20"/>
                <w:u w:val="none"/>
                <w:lang w:val="en-US" w:eastAsia="zh-CN"/>
              </w:rPr>
              <w:t>，单位：座</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155.85</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1402.65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灯具拆除</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1.灯具种类:拆除原有草坪灯</w:t>
            </w:r>
            <w:r>
              <w:rPr>
                <w:rFonts w:hint="eastAsia" w:ascii="宋体" w:hAnsi="宋体" w:cs="宋体"/>
                <w:i w:val="0"/>
                <w:iCs w:val="0"/>
                <w:color w:val="auto"/>
                <w:kern w:val="0"/>
                <w:sz w:val="20"/>
                <w:szCs w:val="20"/>
                <w:u w:val="none"/>
                <w:lang w:val="en-US" w:eastAsia="zh-CN"/>
              </w:rPr>
              <w:t>，单位：套</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27.77</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1388.5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灯具拆除</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1.灯具种类:拆除原有庭院灯</w:t>
            </w:r>
            <w:r>
              <w:rPr>
                <w:rFonts w:hint="eastAsia" w:ascii="宋体" w:hAnsi="宋体" w:cs="宋体"/>
                <w:i w:val="0"/>
                <w:iCs w:val="0"/>
                <w:color w:val="auto"/>
                <w:kern w:val="0"/>
                <w:sz w:val="20"/>
                <w:szCs w:val="20"/>
                <w:u w:val="none"/>
                <w:lang w:val="en-US" w:eastAsia="zh-CN"/>
              </w:rPr>
              <w:t>，单位：套</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157.41</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1416.69</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混凝土基础</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1.草坪灯基础</w:t>
            </w:r>
            <w:r>
              <w:rPr>
                <w:rFonts w:hint="eastAsia" w:ascii="宋体" w:hAnsi="宋体" w:cs="宋体"/>
                <w:i w:val="0"/>
                <w:iCs w:val="0"/>
                <w:color w:val="auto"/>
                <w:kern w:val="0"/>
                <w:sz w:val="20"/>
                <w:szCs w:val="20"/>
                <w:u w:val="none"/>
                <w:lang w:val="en-US" w:eastAsia="zh-CN"/>
              </w:rPr>
              <w:t>，单位：座</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215.86</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10793</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混凝土基础</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1.庭院灯基础</w:t>
            </w:r>
            <w:r>
              <w:rPr>
                <w:rFonts w:hint="eastAsia" w:ascii="宋体" w:hAnsi="宋体" w:cs="宋体"/>
                <w:i w:val="0"/>
                <w:iCs w:val="0"/>
                <w:color w:val="auto"/>
                <w:kern w:val="0"/>
                <w:sz w:val="20"/>
                <w:szCs w:val="20"/>
                <w:u w:val="none"/>
                <w:lang w:val="en-US" w:eastAsia="zh-CN"/>
              </w:rPr>
              <w:t>，单位：座</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355.06</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3195.54</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景观照明灯</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1.名称:草坪灯</w:t>
            </w:r>
            <w:r>
              <w:rPr>
                <w:rFonts w:hint="eastAsia" w:ascii="宋体" w:hAnsi="宋体" w:cs="宋体"/>
                <w:i w:val="0"/>
                <w:iCs w:val="0"/>
                <w:color w:val="auto"/>
                <w:kern w:val="0"/>
                <w:sz w:val="20"/>
                <w:szCs w:val="20"/>
                <w:u w:val="none"/>
                <w:lang w:val="en-US" w:eastAsia="zh-CN"/>
              </w:rPr>
              <w:t>，单位：套</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1283.09</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64154.5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景观照明灯</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1.名称:景观灯</w:t>
            </w:r>
            <w:r>
              <w:rPr>
                <w:rFonts w:hint="eastAsia" w:ascii="宋体" w:hAnsi="宋体" w:cs="宋体"/>
                <w:i w:val="0"/>
                <w:iCs w:val="0"/>
                <w:color w:val="auto"/>
                <w:kern w:val="0"/>
                <w:sz w:val="20"/>
                <w:szCs w:val="20"/>
                <w:u w:val="none"/>
                <w:lang w:val="en-US" w:eastAsia="zh-CN"/>
              </w:rPr>
              <w:t>，单位：套</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4572.41</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41151.69</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电力电缆</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1.型号:YJV5*6mm2</w:t>
            </w:r>
            <w:r>
              <w:rPr>
                <w:rFonts w:hint="eastAsia" w:ascii="宋体" w:hAnsi="宋体" w:cs="宋体"/>
                <w:i w:val="0"/>
                <w:iCs w:val="0"/>
                <w:color w:val="auto"/>
                <w:kern w:val="0"/>
                <w:sz w:val="20"/>
                <w:szCs w:val="20"/>
                <w:u w:val="none"/>
                <w:lang w:val="en-US" w:eastAsia="zh-CN"/>
              </w:rPr>
              <w:t>，单位：m</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42.89</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11580.3</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电力电缆</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1.型号:YJV3*4mm2</w:t>
            </w:r>
            <w:r>
              <w:rPr>
                <w:rFonts w:hint="eastAsia" w:ascii="宋体" w:hAnsi="宋体" w:cs="宋体"/>
                <w:i w:val="0"/>
                <w:iCs w:val="0"/>
                <w:color w:val="auto"/>
                <w:kern w:val="0"/>
                <w:sz w:val="20"/>
                <w:szCs w:val="20"/>
                <w:u w:val="none"/>
                <w:lang w:val="en-US" w:eastAsia="zh-CN"/>
              </w:rPr>
              <w:t>，单位：m</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460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24.18</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11122.8</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电缆保护管</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1.规格:PVC管φ32</w:t>
            </w:r>
            <w:r>
              <w:rPr>
                <w:rFonts w:hint="eastAsia" w:ascii="宋体" w:hAnsi="宋体" w:cs="宋体"/>
                <w:i w:val="0"/>
                <w:iCs w:val="0"/>
                <w:color w:val="auto"/>
                <w:kern w:val="0"/>
                <w:sz w:val="20"/>
                <w:szCs w:val="20"/>
                <w:u w:val="none"/>
                <w:lang w:val="en-US" w:eastAsia="zh-CN"/>
              </w:rPr>
              <w:t>，单位：m</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14.82</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7410</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挖沟槽土方</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1.挖土深度:0.5*0.7m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2.弃土运距:自行考虑</w:t>
            </w:r>
            <w:r>
              <w:rPr>
                <w:rFonts w:hint="eastAsia" w:ascii="宋体" w:hAnsi="宋体" w:cs="宋体"/>
                <w:i w:val="0"/>
                <w:iCs w:val="0"/>
                <w:color w:val="auto"/>
                <w:kern w:val="0"/>
                <w:sz w:val="20"/>
                <w:szCs w:val="20"/>
                <w:u w:val="none"/>
                <w:lang w:val="en-US" w:eastAsia="zh-CN"/>
              </w:rPr>
              <w:t>，单位：m</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21.67</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10835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栽植色带</w:t>
            </w:r>
          </w:p>
        </w:tc>
        <w:tc>
          <w:tcPr>
            <w:tcW w:w="2192"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单位：m2</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112.5</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26.54</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2985.75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192" w:type="dxa"/>
            <w:tcBorders>
              <w:top w:val="single" w:color="000000" w:sz="4" w:space="0"/>
              <w:left w:val="nil"/>
              <w:bottom w:val="single" w:color="000000" w:sz="4" w:space="0"/>
              <w:right w:val="single" w:color="000000" w:sz="4" w:space="0"/>
            </w:tcBorders>
            <w:vAlign w:val="center"/>
          </w:tcPr>
          <w:p>
            <w:pPr>
              <w:jc w:val="left"/>
              <w:rPr>
                <w:rFonts w:hint="eastAsia" w:ascii="宋体" w:hAnsi="宋体" w:eastAsia="宋体" w:cs="Times New Roman"/>
                <w:color w:val="auto"/>
                <w:kern w:val="2"/>
                <w:sz w:val="20"/>
                <w:szCs w:val="24"/>
                <w:lang w:val="en-US" w:eastAsia="zh-CN" w:bidi="ar-SA"/>
              </w:rPr>
            </w:pP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2379.95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9533" w:type="dxa"/>
            <w:gridSpan w:val="8"/>
            <w:vAlign w:val="top"/>
          </w:tcPr>
          <w:p>
            <w:pPr>
              <w:spacing w:beforeLines="0" w:afterLines="0"/>
              <w:jc w:val="center"/>
              <w:rPr>
                <w:rFonts w:hint="eastAsia" w:ascii="宋体" w:hAnsi="宋体"/>
                <w:color w:val="auto"/>
                <w:sz w:val="20"/>
                <w:lang w:val="en-US" w:eastAsia="zh-CN"/>
              </w:rPr>
            </w:pPr>
            <w:r>
              <w:rPr>
                <w:rFonts w:hint="eastAsia" w:ascii="宋体" w:hAnsi="宋体"/>
                <w:color w:val="auto"/>
                <w:sz w:val="20"/>
                <w:lang w:val="en-US" w:eastAsia="zh-CN"/>
              </w:rPr>
              <w:t>合计：175660.87</w:t>
            </w:r>
            <w:r>
              <w:rPr>
                <w:rFonts w:hint="eastAsia" w:ascii="宋体" w:hAnsi="宋体"/>
                <w:color w:val="auto"/>
                <w:sz w:val="20"/>
                <w:lang w:eastAsia="zh-CN"/>
              </w:rPr>
              <w:t>（</w:t>
            </w:r>
            <w:r>
              <w:rPr>
                <w:rFonts w:hint="eastAsia" w:ascii="宋体" w:hAnsi="宋体"/>
                <w:color w:val="auto"/>
                <w:sz w:val="20"/>
                <w:lang w:val="en-US" w:eastAsia="zh-CN"/>
              </w:rPr>
              <w:t>以上价格均为含税价</w:t>
            </w:r>
            <w:r>
              <w:rPr>
                <w:rFonts w:hint="eastAsia" w:ascii="宋体" w:hAnsi="宋体"/>
                <w:color w:val="auto"/>
                <w:sz w:val="20"/>
                <w:lang w:eastAsia="zh-CN"/>
              </w:rPr>
              <w:t>）</w:t>
            </w: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175660.87</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s="宋体"/>
          <w:color w:val="auto"/>
          <w:sz w:val="24"/>
          <w:lang w:val="en-US" w:eastAsia="zh-CN"/>
        </w:rPr>
        <w:t>10</w:t>
      </w:r>
      <w:r>
        <w:rPr>
          <w:rFonts w:hint="eastAsia" w:cs="宋体"/>
          <w:color w:val="auto"/>
          <w:sz w:val="24"/>
        </w:rPr>
        <w:t>月</w:t>
      </w:r>
      <w:r>
        <w:rPr>
          <w:rFonts w:hint="eastAsia" w:cs="宋体"/>
          <w:color w:val="auto"/>
          <w:sz w:val="24"/>
          <w:lang w:val="en-US" w:eastAsia="zh-CN"/>
        </w:rPr>
        <w:t>13</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21</w:t>
      </w:r>
      <w:r>
        <w:rPr>
          <w:color w:val="auto"/>
          <w:sz w:val="24"/>
        </w:rPr>
        <w:t>年</w:t>
      </w:r>
      <w:r>
        <w:rPr>
          <w:rFonts w:hint="eastAsia"/>
          <w:color w:val="auto"/>
          <w:sz w:val="24"/>
        </w:rPr>
        <w:t xml:space="preserve"> </w:t>
      </w:r>
      <w:r>
        <w:rPr>
          <w:rFonts w:hint="eastAsia"/>
          <w:color w:val="auto"/>
          <w:sz w:val="24"/>
          <w:lang w:val="en-US" w:eastAsia="zh-CN"/>
        </w:rPr>
        <w:t>10</w:t>
      </w:r>
      <w:r>
        <w:rPr>
          <w:color w:val="auto"/>
          <w:sz w:val="24"/>
        </w:rPr>
        <w:t>月</w:t>
      </w:r>
      <w:r>
        <w:rPr>
          <w:rFonts w:hint="eastAsia"/>
          <w:color w:val="auto"/>
          <w:sz w:val="24"/>
          <w:lang w:val="en-US" w:eastAsia="zh-CN"/>
        </w:rPr>
        <w:t>11</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北广场草坪景观灯维修</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北广场景观灯维修</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175660.87</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15071303881</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楚文化馆泛光灯拆装</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95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1600"/>
        <w:gridCol w:w="2192"/>
        <w:gridCol w:w="1017"/>
        <w:gridCol w:w="975"/>
        <w:gridCol w:w="948"/>
        <w:gridCol w:w="1161"/>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60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19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10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7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94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合价</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供应商报价</w:t>
            </w:r>
          </w:p>
        </w:tc>
        <w:tc>
          <w:tcPr>
            <w:tcW w:w="118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拆除混凝土结构</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1.结构形式:拆除原有草坪灯基础</w:t>
            </w:r>
            <w:r>
              <w:rPr>
                <w:rFonts w:hint="eastAsia" w:ascii="宋体" w:hAnsi="宋体" w:cs="宋体"/>
                <w:i w:val="0"/>
                <w:iCs w:val="0"/>
                <w:color w:val="auto"/>
                <w:kern w:val="0"/>
                <w:sz w:val="20"/>
                <w:szCs w:val="20"/>
                <w:u w:val="none"/>
                <w:lang w:val="en-US" w:eastAsia="zh-CN"/>
              </w:rPr>
              <w:t>，单位：座</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116.89</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5844.5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拆除混凝土结构</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1.结构形式:拆除原有庭院灯基础</w:t>
            </w:r>
            <w:r>
              <w:rPr>
                <w:rFonts w:hint="eastAsia" w:ascii="宋体" w:hAnsi="宋体" w:cs="宋体"/>
                <w:i w:val="0"/>
                <w:iCs w:val="0"/>
                <w:color w:val="auto"/>
                <w:kern w:val="0"/>
                <w:sz w:val="20"/>
                <w:szCs w:val="20"/>
                <w:u w:val="none"/>
                <w:lang w:val="en-US" w:eastAsia="zh-CN"/>
              </w:rPr>
              <w:t>，单位：座</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155.85</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1402.65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灯具拆除</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1.灯具种类:拆除原有草坪灯</w:t>
            </w:r>
            <w:r>
              <w:rPr>
                <w:rFonts w:hint="eastAsia" w:ascii="宋体" w:hAnsi="宋体" w:cs="宋体"/>
                <w:i w:val="0"/>
                <w:iCs w:val="0"/>
                <w:color w:val="auto"/>
                <w:kern w:val="0"/>
                <w:sz w:val="20"/>
                <w:szCs w:val="20"/>
                <w:u w:val="none"/>
                <w:lang w:val="en-US" w:eastAsia="zh-CN"/>
              </w:rPr>
              <w:t>，单位：套</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27.77</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1388.5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灯具拆除</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1.灯具种类:拆除原有庭院灯</w:t>
            </w:r>
            <w:r>
              <w:rPr>
                <w:rFonts w:hint="eastAsia" w:ascii="宋体" w:hAnsi="宋体" w:cs="宋体"/>
                <w:i w:val="0"/>
                <w:iCs w:val="0"/>
                <w:color w:val="auto"/>
                <w:kern w:val="0"/>
                <w:sz w:val="20"/>
                <w:szCs w:val="20"/>
                <w:u w:val="none"/>
                <w:lang w:val="en-US" w:eastAsia="zh-CN"/>
              </w:rPr>
              <w:t>，单位：套</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157.41</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1416.69</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混凝土基础</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1.草坪灯基础</w:t>
            </w:r>
            <w:r>
              <w:rPr>
                <w:rFonts w:hint="eastAsia" w:ascii="宋体" w:hAnsi="宋体" w:cs="宋体"/>
                <w:i w:val="0"/>
                <w:iCs w:val="0"/>
                <w:color w:val="auto"/>
                <w:kern w:val="0"/>
                <w:sz w:val="20"/>
                <w:szCs w:val="20"/>
                <w:u w:val="none"/>
                <w:lang w:val="en-US" w:eastAsia="zh-CN"/>
              </w:rPr>
              <w:t>，单位：座</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215.86</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10793</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混凝土基础</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1.庭院灯基础</w:t>
            </w:r>
            <w:r>
              <w:rPr>
                <w:rFonts w:hint="eastAsia" w:ascii="宋体" w:hAnsi="宋体" w:cs="宋体"/>
                <w:i w:val="0"/>
                <w:iCs w:val="0"/>
                <w:color w:val="auto"/>
                <w:kern w:val="0"/>
                <w:sz w:val="20"/>
                <w:szCs w:val="20"/>
                <w:u w:val="none"/>
                <w:lang w:val="en-US" w:eastAsia="zh-CN"/>
              </w:rPr>
              <w:t>，单位：座</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355.06</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3195.54</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景观照明灯</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1.名称:草坪灯</w:t>
            </w:r>
            <w:r>
              <w:rPr>
                <w:rFonts w:hint="eastAsia" w:ascii="宋体" w:hAnsi="宋体" w:cs="宋体"/>
                <w:i w:val="0"/>
                <w:iCs w:val="0"/>
                <w:color w:val="auto"/>
                <w:kern w:val="0"/>
                <w:sz w:val="20"/>
                <w:szCs w:val="20"/>
                <w:u w:val="none"/>
                <w:lang w:val="en-US" w:eastAsia="zh-CN"/>
              </w:rPr>
              <w:t>，单位：套</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1283.09</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64154.5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景观照明灯</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1.名称:景观灯</w:t>
            </w:r>
            <w:r>
              <w:rPr>
                <w:rFonts w:hint="eastAsia" w:ascii="宋体" w:hAnsi="宋体" w:cs="宋体"/>
                <w:i w:val="0"/>
                <w:iCs w:val="0"/>
                <w:color w:val="auto"/>
                <w:kern w:val="0"/>
                <w:sz w:val="20"/>
                <w:szCs w:val="20"/>
                <w:u w:val="none"/>
                <w:lang w:val="en-US" w:eastAsia="zh-CN"/>
              </w:rPr>
              <w:t>，单位：套</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4572.41</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41151.69</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电力电缆</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1.型号:YJV5*6mm2</w:t>
            </w:r>
            <w:r>
              <w:rPr>
                <w:rFonts w:hint="eastAsia" w:ascii="宋体" w:hAnsi="宋体" w:cs="宋体"/>
                <w:i w:val="0"/>
                <w:iCs w:val="0"/>
                <w:color w:val="auto"/>
                <w:kern w:val="0"/>
                <w:sz w:val="20"/>
                <w:szCs w:val="20"/>
                <w:u w:val="none"/>
                <w:lang w:val="en-US" w:eastAsia="zh-CN"/>
              </w:rPr>
              <w:t>，单位：m</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270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42.89</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11580.3</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电力电缆</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1.型号:YJV3*4mm2</w:t>
            </w:r>
            <w:r>
              <w:rPr>
                <w:rFonts w:hint="eastAsia" w:ascii="宋体" w:hAnsi="宋体" w:cs="宋体"/>
                <w:i w:val="0"/>
                <w:iCs w:val="0"/>
                <w:color w:val="auto"/>
                <w:kern w:val="0"/>
                <w:sz w:val="20"/>
                <w:szCs w:val="20"/>
                <w:u w:val="none"/>
                <w:lang w:val="en-US" w:eastAsia="zh-CN"/>
              </w:rPr>
              <w:t>，单位：m</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460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24.18</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11122.8</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电缆保护管</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1.规格:PVC管φ32</w:t>
            </w:r>
            <w:r>
              <w:rPr>
                <w:rFonts w:hint="eastAsia" w:ascii="宋体" w:hAnsi="宋体" w:cs="宋体"/>
                <w:i w:val="0"/>
                <w:iCs w:val="0"/>
                <w:color w:val="auto"/>
                <w:kern w:val="0"/>
                <w:sz w:val="20"/>
                <w:szCs w:val="20"/>
                <w:u w:val="none"/>
                <w:lang w:val="en-US" w:eastAsia="zh-CN"/>
              </w:rPr>
              <w:t>，单位：m</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14.82</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7410</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挖沟槽土方</w:t>
            </w:r>
          </w:p>
        </w:tc>
        <w:tc>
          <w:tcPr>
            <w:tcW w:w="2192"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1.挖土深度:0.5*0.7m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2.弃土运距:自行考虑</w:t>
            </w:r>
            <w:r>
              <w:rPr>
                <w:rFonts w:hint="eastAsia" w:ascii="宋体" w:hAnsi="宋体" w:cs="宋体"/>
                <w:i w:val="0"/>
                <w:iCs w:val="0"/>
                <w:color w:val="auto"/>
                <w:kern w:val="0"/>
                <w:sz w:val="20"/>
                <w:szCs w:val="20"/>
                <w:u w:val="none"/>
                <w:lang w:val="en-US" w:eastAsia="zh-CN"/>
              </w:rPr>
              <w:t>，单位：m</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500</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21.67</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10835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栽植色带</w:t>
            </w:r>
          </w:p>
        </w:tc>
        <w:tc>
          <w:tcPr>
            <w:tcW w:w="2192" w:type="dxa"/>
            <w:tcBorders>
              <w:top w:val="single" w:color="000000" w:sz="4" w:space="0"/>
              <w:left w:val="nil"/>
              <w:bottom w:val="single" w:color="000000" w:sz="4" w:space="0"/>
              <w:right w:val="single" w:color="000000" w:sz="4" w:space="0"/>
            </w:tcBorders>
            <w:vAlign w:val="center"/>
          </w:tcPr>
          <w:p>
            <w:pPr>
              <w:jc w:val="left"/>
              <w:rPr>
                <w:rFonts w:hint="default" w:ascii="宋体" w:hAnsi="宋体" w:eastAsia="宋体" w:cs="Times New Roman"/>
                <w:color w:val="auto"/>
                <w:kern w:val="2"/>
                <w:sz w:val="20"/>
                <w:szCs w:val="24"/>
                <w:lang w:val="en-US" w:eastAsia="zh-CN" w:bidi="ar-SA"/>
              </w:rPr>
            </w:pPr>
            <w:r>
              <w:rPr>
                <w:rFonts w:hint="eastAsia" w:ascii="宋体" w:hAnsi="宋体" w:cs="宋体"/>
                <w:i w:val="0"/>
                <w:iCs w:val="0"/>
                <w:color w:val="auto"/>
                <w:kern w:val="0"/>
                <w:sz w:val="20"/>
                <w:szCs w:val="20"/>
                <w:u w:val="none"/>
                <w:lang w:val="en-US" w:eastAsia="zh-CN"/>
              </w:rPr>
              <w:t>单位：m2</w:t>
            </w: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112.5</w:t>
            </w: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26.54</w:t>
            </w: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2985.75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456"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600"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192" w:type="dxa"/>
            <w:tcBorders>
              <w:top w:val="single" w:color="000000" w:sz="4" w:space="0"/>
              <w:left w:val="nil"/>
              <w:bottom w:val="single" w:color="000000" w:sz="4" w:space="0"/>
              <w:right w:val="single" w:color="000000" w:sz="4" w:space="0"/>
            </w:tcBorders>
            <w:vAlign w:val="center"/>
          </w:tcPr>
          <w:p>
            <w:pPr>
              <w:jc w:val="left"/>
              <w:rPr>
                <w:rFonts w:hint="eastAsia" w:ascii="宋体" w:hAnsi="宋体" w:eastAsia="宋体" w:cs="Times New Roman"/>
                <w:color w:val="auto"/>
                <w:kern w:val="2"/>
                <w:sz w:val="20"/>
                <w:szCs w:val="24"/>
                <w:lang w:val="en-US" w:eastAsia="zh-CN" w:bidi="ar-SA"/>
              </w:rPr>
            </w:pPr>
          </w:p>
        </w:tc>
        <w:tc>
          <w:tcPr>
            <w:tcW w:w="10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auto"/>
                <w:kern w:val="0"/>
                <w:sz w:val="20"/>
                <w:szCs w:val="20"/>
                <w:u w:val="none"/>
                <w:lang w:val="en-US" w:eastAsia="zh-CN"/>
              </w:rPr>
            </w:pPr>
          </w:p>
        </w:tc>
        <w:tc>
          <w:tcPr>
            <w:tcW w:w="975"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948"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2379.95</w:t>
            </w:r>
          </w:p>
        </w:tc>
        <w:tc>
          <w:tcPr>
            <w:tcW w:w="1161"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118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9533" w:type="dxa"/>
            <w:gridSpan w:val="8"/>
            <w:vAlign w:val="top"/>
          </w:tcPr>
          <w:p>
            <w:pPr>
              <w:spacing w:beforeLines="0" w:afterLines="0"/>
              <w:jc w:val="center"/>
              <w:rPr>
                <w:rFonts w:hint="eastAsia" w:ascii="宋体" w:hAnsi="宋体"/>
                <w:color w:val="auto"/>
                <w:sz w:val="20"/>
                <w:lang w:val="en-US" w:eastAsia="zh-CN"/>
              </w:rPr>
            </w:pPr>
            <w:r>
              <w:rPr>
                <w:rFonts w:hint="eastAsia" w:ascii="宋体" w:hAnsi="宋体"/>
                <w:color w:val="auto"/>
                <w:sz w:val="20"/>
                <w:lang w:val="en-US" w:eastAsia="zh-CN"/>
              </w:rPr>
              <w:t>合计：175660.87</w:t>
            </w:r>
            <w:r>
              <w:rPr>
                <w:rFonts w:hint="eastAsia" w:ascii="宋体" w:hAnsi="宋体"/>
                <w:color w:val="auto"/>
                <w:sz w:val="20"/>
                <w:lang w:eastAsia="zh-CN"/>
              </w:rPr>
              <w:t>（</w:t>
            </w:r>
            <w:r>
              <w:rPr>
                <w:rFonts w:hint="eastAsia" w:ascii="宋体" w:hAnsi="宋体"/>
                <w:color w:val="auto"/>
                <w:sz w:val="20"/>
                <w:lang w:val="en-US" w:eastAsia="zh-CN"/>
              </w:rPr>
              <w:t>以上价格均为含税价</w:t>
            </w:r>
            <w:r>
              <w:rPr>
                <w:rFonts w:hint="eastAsia" w:ascii="宋体" w:hAnsi="宋体"/>
                <w:color w:val="auto"/>
                <w:sz w:val="20"/>
                <w:lang w:eastAsia="zh-CN"/>
              </w:rPr>
              <w:t>）</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lang w:val="en-US" w:eastAsia="zh-CN"/>
        </w:rPr>
        <w:t>文件中所划定的灯具</w:t>
      </w:r>
      <w:r>
        <w:rPr>
          <w:rFonts w:hint="eastAsia" w:ascii="宋体" w:hAnsi="宋体"/>
          <w:color w:val="auto"/>
          <w:sz w:val="24"/>
          <w:szCs w:val="22"/>
        </w:rPr>
        <w:t>要在规定时间内</w:t>
      </w:r>
      <w:r>
        <w:rPr>
          <w:rFonts w:hint="eastAsia" w:ascii="宋体" w:hAnsi="宋体"/>
          <w:color w:val="auto"/>
          <w:sz w:val="24"/>
          <w:szCs w:val="22"/>
          <w:lang w:val="en-US" w:eastAsia="zh-CN"/>
        </w:rPr>
        <w:t>维修</w:t>
      </w:r>
      <w:r>
        <w:rPr>
          <w:rFonts w:hint="eastAsia" w:ascii="宋体" w:hAnsi="宋体"/>
          <w:color w:val="auto"/>
          <w:sz w:val="24"/>
          <w:szCs w:val="22"/>
        </w:rPr>
        <w:t>完毕。</w:t>
      </w:r>
    </w:p>
    <w:p>
      <w:pPr>
        <w:numPr>
          <w:ilvl w:val="0"/>
          <w:numId w:val="3"/>
        </w:numPr>
        <w:spacing w:line="440" w:lineRule="exact"/>
        <w:rPr>
          <w:rFonts w:ascii="宋体" w:hAnsi="宋体"/>
          <w:color w:val="auto"/>
          <w:sz w:val="24"/>
          <w:szCs w:val="22"/>
        </w:rPr>
      </w:pPr>
      <w:r>
        <w:rPr>
          <w:rFonts w:hint="eastAsia" w:ascii="宋体" w:hAnsi="宋体"/>
          <w:color w:val="auto"/>
          <w:sz w:val="24"/>
          <w:szCs w:val="22"/>
          <w:lang w:val="en-US" w:eastAsia="zh-CN"/>
        </w:rPr>
        <w:t>实施相关灯具维修不得损坏其他设施</w:t>
      </w:r>
      <w:r>
        <w:rPr>
          <w:rFonts w:hint="eastAsia" w:ascii="宋体" w:hAnsi="宋体"/>
          <w:color w:val="auto"/>
          <w:sz w:val="24"/>
          <w:szCs w:val="22"/>
        </w:rPr>
        <w:t>。</w:t>
      </w:r>
    </w:p>
    <w:p>
      <w:pPr>
        <w:numPr>
          <w:ilvl w:val="0"/>
          <w:numId w:val="3"/>
        </w:numPr>
        <w:spacing w:line="440" w:lineRule="exact"/>
        <w:rPr>
          <w:rFonts w:ascii="宋体" w:hAnsi="宋体"/>
          <w:color w:val="auto"/>
          <w:sz w:val="24"/>
          <w:szCs w:val="22"/>
        </w:rPr>
      </w:pPr>
      <w:r>
        <w:rPr>
          <w:rFonts w:hint="eastAsia" w:ascii="宋体" w:hAnsi="宋体"/>
          <w:color w:val="auto"/>
          <w:sz w:val="24"/>
          <w:szCs w:val="22"/>
          <w:lang w:eastAsia="zh-CN"/>
        </w:rPr>
        <w:t>景观灯的质保期为</w:t>
      </w:r>
      <w:r>
        <w:rPr>
          <w:rFonts w:hint="eastAsia" w:ascii="宋体" w:hAnsi="宋体"/>
          <w:color w:val="auto"/>
          <w:sz w:val="24"/>
          <w:szCs w:val="22"/>
          <w:lang w:val="en-US" w:eastAsia="zh-CN"/>
        </w:rPr>
        <w:t>2年</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val="en-US" w:eastAsia="zh-CN"/>
        </w:rPr>
        <w:t>灯具拆装</w:t>
      </w:r>
      <w:r>
        <w:rPr>
          <w:rFonts w:hint="eastAsia" w:ascii="宋体" w:hAnsi="宋体"/>
          <w:color w:val="auto"/>
          <w:sz w:val="24"/>
          <w:szCs w:val="22"/>
        </w:rPr>
        <w:t>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灯具维修</w:t>
      </w:r>
      <w:r>
        <w:rPr>
          <w:rFonts w:hint="eastAsia"/>
          <w:color w:val="auto"/>
          <w:sz w:val="24"/>
          <w:lang w:val="en-US" w:eastAsia="zh-CN"/>
        </w:rPr>
        <w:t>完成</w:t>
      </w:r>
      <w:r>
        <w:rPr>
          <w:rFonts w:hint="eastAsia"/>
          <w:color w:val="auto"/>
          <w:sz w:val="24"/>
        </w:rPr>
        <w:t>经验收合格后，</w:t>
      </w:r>
      <w:r>
        <w:rPr>
          <w:rFonts w:hint="eastAsia"/>
          <w:color w:val="auto"/>
          <w:sz w:val="24"/>
          <w:lang w:eastAsia="zh-CN"/>
        </w:rPr>
        <w:t>经造价结算审计后按结算金额支付款项，结算额不超过合同金额</w:t>
      </w:r>
      <w:r>
        <w:rPr>
          <w:rFonts w:hint="eastAsia"/>
          <w:color w:val="auto"/>
          <w:sz w:val="24"/>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。供应商</w:t>
      </w:r>
      <w:r>
        <w:rPr>
          <w:rFonts w:ascii="宋体" w:hAnsi="宋体"/>
          <w:color w:val="auto"/>
          <w:sz w:val="24"/>
          <w:szCs w:val="22"/>
        </w:rPr>
        <w:t>需</w:t>
      </w:r>
      <w:r>
        <w:rPr>
          <w:rFonts w:hint="eastAsia" w:ascii="宋体" w:hAnsi="宋体"/>
          <w:color w:val="auto"/>
          <w:sz w:val="24"/>
          <w:szCs w:val="22"/>
          <w:lang w:eastAsia="zh-CN"/>
        </w:rPr>
        <w:t>按结算金额的</w:t>
      </w:r>
      <w:r>
        <w:rPr>
          <w:rFonts w:ascii="宋体" w:hAnsi="宋体"/>
          <w:color w:val="auto"/>
          <w:sz w:val="24"/>
          <w:szCs w:val="22"/>
        </w:rPr>
        <w:t>3%</w:t>
      </w:r>
      <w:r>
        <w:rPr>
          <w:rFonts w:hint="eastAsia" w:ascii="宋体" w:hAnsi="宋体"/>
          <w:color w:val="auto"/>
          <w:sz w:val="24"/>
          <w:szCs w:val="22"/>
          <w:lang w:eastAsia="zh-CN"/>
        </w:rPr>
        <w:t>支付</w:t>
      </w:r>
      <w:r>
        <w:rPr>
          <w:rFonts w:ascii="宋体" w:hAnsi="宋体"/>
          <w:color w:val="auto"/>
          <w:sz w:val="24"/>
          <w:szCs w:val="22"/>
        </w:rPr>
        <w:t>质保金</w:t>
      </w:r>
      <w:r>
        <w:rPr>
          <w:rFonts w:hint="eastAsia" w:ascii="宋体" w:hAnsi="宋体"/>
          <w:color w:val="auto"/>
          <w:sz w:val="24"/>
          <w:szCs w:val="22"/>
          <w:lang w:val="en-US" w:eastAsia="zh-CN"/>
        </w:rPr>
        <w:t>，</w:t>
      </w:r>
      <w:r>
        <w:rPr>
          <w:rFonts w:ascii="宋体" w:hAnsi="宋体"/>
          <w:color w:val="auto"/>
          <w:sz w:val="24"/>
          <w:szCs w:val="22"/>
        </w:rPr>
        <w:t>质保期满后</w:t>
      </w:r>
      <w:r>
        <w:rPr>
          <w:rFonts w:hint="eastAsia" w:ascii="宋体" w:hAnsi="宋体"/>
          <w:color w:val="auto"/>
          <w:sz w:val="24"/>
          <w:szCs w:val="22"/>
          <w:lang w:eastAsia="zh-CN"/>
        </w:rPr>
        <w:t>无质量问题</w:t>
      </w:r>
      <w:r>
        <w:rPr>
          <w:rFonts w:ascii="宋体" w:hAnsi="宋体"/>
          <w:color w:val="auto"/>
          <w:sz w:val="24"/>
          <w:szCs w:val="22"/>
        </w:rPr>
        <w:t>无息退还</w:t>
      </w:r>
      <w:r>
        <w:rPr>
          <w:rFonts w:hint="eastAsia" w:ascii="宋体" w:hAnsi="宋体"/>
          <w:color w:val="auto"/>
          <w:sz w:val="24"/>
          <w:szCs w:val="22"/>
          <w:lang w:eastAsia="zh-CN"/>
        </w:rPr>
        <w:t>。</w:t>
      </w:r>
    </w:p>
    <w:p>
      <w:pPr>
        <w:pStyle w:val="12"/>
        <w:widowControl w:val="0"/>
        <w:wordWrap/>
        <w:adjustRightInd/>
        <w:snapToGrid/>
        <w:spacing w:line="440" w:lineRule="exact"/>
        <w:ind w:left="240" w:hanging="240" w:hangingChars="100"/>
        <w:textAlignment w:val="auto"/>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2.1.8此项目以固定单价方式结算。</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w:t>
      </w:r>
      <w:r>
        <w:rPr>
          <w:rFonts w:hint="eastAsia" w:ascii="宋体" w:hAnsi="宋体"/>
          <w:color w:val="auto"/>
          <w:sz w:val="24"/>
          <w:szCs w:val="22"/>
        </w:rPr>
        <w:t>质保服务要求：成交供应商提供所投本单位生产产品</w:t>
      </w:r>
      <w:r>
        <w:rPr>
          <w:rFonts w:hint="eastAsia" w:ascii="宋体" w:hAnsi="宋体"/>
          <w:color w:val="auto"/>
          <w:sz w:val="24"/>
          <w:szCs w:val="22"/>
          <w:lang w:val="en-US" w:eastAsia="zh-CN"/>
        </w:rPr>
        <w:t>2</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hint="eastAsia" w:ascii="宋体" w:hAnsi="宋体"/>
          <w:color w:val="auto"/>
          <w:sz w:val="24"/>
          <w:szCs w:val="22"/>
          <w:lang w:val="en-US" w:eastAsia="zh-CN"/>
        </w:rPr>
        <w:t>24</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人员数量等。提供服务厂家完整的随机资料，包括完整的</w:t>
      </w:r>
      <w:r>
        <w:rPr>
          <w:rFonts w:hint="eastAsia" w:ascii="宋体" w:hAnsi="宋体"/>
          <w:color w:val="auto"/>
          <w:sz w:val="24"/>
          <w:szCs w:val="22"/>
          <w:lang w:val="en-US" w:eastAsia="zh-CN"/>
        </w:rPr>
        <w:t>灯具安装</w:t>
      </w:r>
      <w:r>
        <w:rPr>
          <w:rFonts w:hint="eastAsia" w:ascii="宋体" w:hAnsi="宋体"/>
          <w:color w:val="auto"/>
          <w:sz w:val="24"/>
          <w:szCs w:val="22"/>
        </w:rPr>
        <w:t>标准手册等。</w:t>
      </w:r>
    </w:p>
    <w:p>
      <w:pPr>
        <w:spacing w:line="360" w:lineRule="auto"/>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w:t>
      </w:r>
      <w:r>
        <w:rPr>
          <w:color w:val="auto"/>
          <w:sz w:val="24"/>
        </w:rPr>
        <w:t>法</w:t>
      </w:r>
      <w:r>
        <w:rPr>
          <w:rFonts w:hint="eastAsia"/>
          <w:color w:val="auto"/>
          <w:sz w:val="24"/>
          <w:lang w:eastAsia="zh-CN"/>
        </w:rPr>
        <w:t>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45599622">
    <w:nsid w:val="D94B6F86"/>
    <w:multiLevelType w:val="singleLevel"/>
    <w:tmpl w:val="D94B6F86"/>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3612DA3"/>
    <w:rsid w:val="04DB7BEF"/>
    <w:rsid w:val="05C17930"/>
    <w:rsid w:val="062B32BA"/>
    <w:rsid w:val="0700063B"/>
    <w:rsid w:val="07D124CE"/>
    <w:rsid w:val="08DA62A9"/>
    <w:rsid w:val="09D26BC8"/>
    <w:rsid w:val="0C384623"/>
    <w:rsid w:val="0CF23782"/>
    <w:rsid w:val="10FD66D2"/>
    <w:rsid w:val="111640CB"/>
    <w:rsid w:val="11967E7A"/>
    <w:rsid w:val="125176AF"/>
    <w:rsid w:val="12653066"/>
    <w:rsid w:val="12A91E39"/>
    <w:rsid w:val="132B161A"/>
    <w:rsid w:val="133E3233"/>
    <w:rsid w:val="155142DC"/>
    <w:rsid w:val="166454A5"/>
    <w:rsid w:val="173B16C8"/>
    <w:rsid w:val="17B01841"/>
    <w:rsid w:val="185D02E7"/>
    <w:rsid w:val="19332873"/>
    <w:rsid w:val="1A294B9B"/>
    <w:rsid w:val="1AA23125"/>
    <w:rsid w:val="1AEA18A1"/>
    <w:rsid w:val="1C7D6C65"/>
    <w:rsid w:val="1D165C2D"/>
    <w:rsid w:val="1D67578F"/>
    <w:rsid w:val="1DC0735E"/>
    <w:rsid w:val="1F273759"/>
    <w:rsid w:val="20CA31BA"/>
    <w:rsid w:val="240A2ACD"/>
    <w:rsid w:val="244A5154"/>
    <w:rsid w:val="250C2732"/>
    <w:rsid w:val="255149FF"/>
    <w:rsid w:val="25F62C4D"/>
    <w:rsid w:val="26457657"/>
    <w:rsid w:val="273274A4"/>
    <w:rsid w:val="278B3A77"/>
    <w:rsid w:val="27AF712B"/>
    <w:rsid w:val="28CF031E"/>
    <w:rsid w:val="29BD265D"/>
    <w:rsid w:val="2A8A1893"/>
    <w:rsid w:val="2AF21386"/>
    <w:rsid w:val="2AFD5C48"/>
    <w:rsid w:val="2B0D4D76"/>
    <w:rsid w:val="2BBC659C"/>
    <w:rsid w:val="2C2530AC"/>
    <w:rsid w:val="2D3227BF"/>
    <w:rsid w:val="2F1F48ED"/>
    <w:rsid w:val="2F9A55C6"/>
    <w:rsid w:val="301179E0"/>
    <w:rsid w:val="306A31B9"/>
    <w:rsid w:val="31172B5C"/>
    <w:rsid w:val="32380A39"/>
    <w:rsid w:val="33682E05"/>
    <w:rsid w:val="338828D9"/>
    <w:rsid w:val="34A864D7"/>
    <w:rsid w:val="34AD1712"/>
    <w:rsid w:val="34C27DF5"/>
    <w:rsid w:val="37922C01"/>
    <w:rsid w:val="38631313"/>
    <w:rsid w:val="388645FE"/>
    <w:rsid w:val="38AC6F70"/>
    <w:rsid w:val="390C10BE"/>
    <w:rsid w:val="3A700350"/>
    <w:rsid w:val="3BC12009"/>
    <w:rsid w:val="3BD410D5"/>
    <w:rsid w:val="3BE0447C"/>
    <w:rsid w:val="3CF42AF8"/>
    <w:rsid w:val="3D50055B"/>
    <w:rsid w:val="3E055B48"/>
    <w:rsid w:val="3FBD4460"/>
    <w:rsid w:val="404E51C0"/>
    <w:rsid w:val="41877BA5"/>
    <w:rsid w:val="41C07F18"/>
    <w:rsid w:val="42433829"/>
    <w:rsid w:val="42DD13E6"/>
    <w:rsid w:val="42F52A14"/>
    <w:rsid w:val="43AE70D1"/>
    <w:rsid w:val="455E056E"/>
    <w:rsid w:val="4831553B"/>
    <w:rsid w:val="48E8072E"/>
    <w:rsid w:val="4A7F5A23"/>
    <w:rsid w:val="4BA12165"/>
    <w:rsid w:val="4BEB1510"/>
    <w:rsid w:val="4C6725B0"/>
    <w:rsid w:val="4C750127"/>
    <w:rsid w:val="4CEE471B"/>
    <w:rsid w:val="4EB70ABF"/>
    <w:rsid w:val="4F083E80"/>
    <w:rsid w:val="507F09A9"/>
    <w:rsid w:val="512F7DD6"/>
    <w:rsid w:val="51894733"/>
    <w:rsid w:val="51987AEC"/>
    <w:rsid w:val="53930EAC"/>
    <w:rsid w:val="54501CDF"/>
    <w:rsid w:val="54676E49"/>
    <w:rsid w:val="547774F5"/>
    <w:rsid w:val="54D80469"/>
    <w:rsid w:val="55F63289"/>
    <w:rsid w:val="571F6DB9"/>
    <w:rsid w:val="586059FC"/>
    <w:rsid w:val="596D24AD"/>
    <w:rsid w:val="5A0570C0"/>
    <w:rsid w:val="5ABA4FFA"/>
    <w:rsid w:val="5AC813E4"/>
    <w:rsid w:val="5EBA4132"/>
    <w:rsid w:val="600A6E4D"/>
    <w:rsid w:val="604C74E6"/>
    <w:rsid w:val="606C1145"/>
    <w:rsid w:val="615474CF"/>
    <w:rsid w:val="62020085"/>
    <w:rsid w:val="64773F46"/>
    <w:rsid w:val="65DB777D"/>
    <w:rsid w:val="66A052DD"/>
    <w:rsid w:val="67DE2609"/>
    <w:rsid w:val="68B15D39"/>
    <w:rsid w:val="6AA0506B"/>
    <w:rsid w:val="6AAE34BA"/>
    <w:rsid w:val="6B4704F4"/>
    <w:rsid w:val="6EA02088"/>
    <w:rsid w:val="6EC954CC"/>
    <w:rsid w:val="6ED947C5"/>
    <w:rsid w:val="6F764F0F"/>
    <w:rsid w:val="714E0AA4"/>
    <w:rsid w:val="71980CE3"/>
    <w:rsid w:val="734279DC"/>
    <w:rsid w:val="74210CA6"/>
    <w:rsid w:val="743433DD"/>
    <w:rsid w:val="744D7F25"/>
    <w:rsid w:val="74716835"/>
    <w:rsid w:val="75301EB1"/>
    <w:rsid w:val="75884695"/>
    <w:rsid w:val="76D55AB3"/>
    <w:rsid w:val="789F23C3"/>
    <w:rsid w:val="78D62D50"/>
    <w:rsid w:val="792E3DC0"/>
    <w:rsid w:val="79E17CE7"/>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2021-10-09T07:12:00Z</cp:lastPrinted>
  <dcterms:modified xsi:type="dcterms:W3CDTF">2021-10-11T07:55:06Z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