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bookmarkStart w:id="0" w:name="_GoBack"/>
      <w:bookmarkEnd w:id="0"/>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湖北省博物馆配电房、强电井绝缘胶垫铺设维修项目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文展大楼、三中心配电房及各楼层强电井铺设绝缘胶垫铺设维修</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footerReference r:id="rId4" w:type="default"/>
          <w:footerReference r:id="rId5"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2022</w:t>
      </w:r>
      <w:r>
        <w:rPr>
          <w:color w:val="auto"/>
          <w:sz w:val="32"/>
          <w:szCs w:val="32"/>
        </w:rPr>
        <w:t>年</w:t>
      </w:r>
      <w:r>
        <w:rPr>
          <w:rFonts w:hint="eastAsia"/>
          <w:color w:val="auto"/>
          <w:sz w:val="32"/>
          <w:szCs w:val="32"/>
        </w:rPr>
        <w:t>5</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6"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rPr>
        <w:t>湖北省博物馆配电房、强电井绝缘胶垫铺设维修项目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湖北省博物馆配电房、强电井绝缘胶垫铺设维修项目</w:t>
      </w:r>
    </w:p>
    <w:p>
      <w:pPr>
        <w:spacing w:line="440" w:lineRule="exact"/>
        <w:ind w:firstLine="480" w:firstLineChars="200"/>
        <w:rPr>
          <w:bCs/>
          <w:color w:val="auto"/>
          <w:sz w:val="24"/>
        </w:rPr>
      </w:pPr>
      <w:r>
        <w:rPr>
          <w:bCs/>
          <w:color w:val="auto"/>
          <w:sz w:val="24"/>
        </w:rPr>
        <w:t>三、谈判内容：</w:t>
      </w:r>
    </w:p>
    <w:p>
      <w:pPr>
        <w:spacing w:line="440" w:lineRule="exact"/>
        <w:rPr>
          <w:bCs/>
          <w:color w:val="auto"/>
          <w:sz w:val="24"/>
        </w:rPr>
      </w:pPr>
      <w:r>
        <w:rPr>
          <w:rFonts w:hint="eastAsia"/>
          <w:bCs/>
          <w:color w:val="auto"/>
          <w:sz w:val="24"/>
        </w:rPr>
        <w:t>湖北省博物馆绝缘胶垫维修数量统计表</w:t>
      </w:r>
    </w:p>
    <w:tbl>
      <w:tblPr>
        <w:tblStyle w:val="32"/>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1701"/>
        <w:gridCol w:w="851"/>
        <w:gridCol w:w="708"/>
        <w:gridCol w:w="851"/>
        <w:gridCol w:w="1134"/>
        <w:gridCol w:w="1134"/>
        <w:gridCol w:w="992"/>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9"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区域</w:t>
            </w:r>
          </w:p>
        </w:tc>
        <w:tc>
          <w:tcPr>
            <w:tcW w:w="255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强电间</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地下车库</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分配电房</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数量合计（平方）</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单价（元/平方）8mm厚度</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总价（元）</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72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文展大楼</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地下3楼（1间）</w:t>
            </w:r>
          </w:p>
        </w:tc>
        <w:tc>
          <w:tcPr>
            <w:tcW w:w="851"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6.45 </w:t>
            </w:r>
          </w:p>
        </w:tc>
        <w:tc>
          <w:tcPr>
            <w:tcW w:w="70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c>
          <w:tcPr>
            <w:tcW w:w="85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265.4</w:t>
            </w:r>
          </w:p>
        </w:tc>
        <w:tc>
          <w:tcPr>
            <w:tcW w:w="113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520.38</w:t>
            </w:r>
          </w:p>
        </w:tc>
        <w:tc>
          <w:tcPr>
            <w:tcW w:w="113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135.74 </w:t>
            </w:r>
          </w:p>
        </w:tc>
        <w:tc>
          <w:tcPr>
            <w:tcW w:w="99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83425.8 </w:t>
            </w:r>
          </w:p>
        </w:tc>
        <w:tc>
          <w:tcPr>
            <w:tcW w:w="99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含人工裁剪、铺设、做警示区域标识及税费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7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地下2楼（1间）</w:t>
            </w:r>
          </w:p>
        </w:tc>
        <w:tc>
          <w:tcPr>
            <w:tcW w:w="851"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4.80 </w:t>
            </w:r>
          </w:p>
        </w:tc>
        <w:tc>
          <w:tcPr>
            <w:tcW w:w="7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7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地下1楼（7间）</w:t>
            </w:r>
          </w:p>
        </w:tc>
        <w:tc>
          <w:tcPr>
            <w:tcW w:w="851"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56.00 </w:t>
            </w:r>
          </w:p>
        </w:tc>
        <w:tc>
          <w:tcPr>
            <w:tcW w:w="7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7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1楼（6间）</w:t>
            </w:r>
          </w:p>
        </w:tc>
        <w:tc>
          <w:tcPr>
            <w:tcW w:w="851"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78.60 </w:t>
            </w:r>
          </w:p>
        </w:tc>
        <w:tc>
          <w:tcPr>
            <w:tcW w:w="7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7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2楼（6间）</w:t>
            </w:r>
          </w:p>
        </w:tc>
        <w:tc>
          <w:tcPr>
            <w:tcW w:w="851"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45.80 </w:t>
            </w:r>
          </w:p>
        </w:tc>
        <w:tc>
          <w:tcPr>
            <w:tcW w:w="7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7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3楼（6间）</w:t>
            </w:r>
          </w:p>
        </w:tc>
        <w:tc>
          <w:tcPr>
            <w:tcW w:w="851"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35.78 </w:t>
            </w:r>
          </w:p>
        </w:tc>
        <w:tc>
          <w:tcPr>
            <w:tcW w:w="7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7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4楼（2间）</w:t>
            </w:r>
          </w:p>
        </w:tc>
        <w:tc>
          <w:tcPr>
            <w:tcW w:w="851"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13.15 </w:t>
            </w:r>
          </w:p>
        </w:tc>
        <w:tc>
          <w:tcPr>
            <w:tcW w:w="7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三中心</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强电间</w:t>
            </w:r>
          </w:p>
        </w:tc>
        <w:tc>
          <w:tcPr>
            <w:tcW w:w="241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76.73</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设备楼</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空调机房</w:t>
            </w:r>
          </w:p>
        </w:tc>
        <w:tc>
          <w:tcPr>
            <w:tcW w:w="241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17.49</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4835"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614.6</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bl>
    <w:p>
      <w:pPr>
        <w:spacing w:line="440" w:lineRule="exact"/>
        <w:ind w:firstLine="480" w:firstLineChars="200"/>
        <w:rPr>
          <w:bCs/>
          <w:color w:val="auto"/>
          <w:sz w:val="24"/>
        </w:rPr>
      </w:pPr>
    </w:p>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83425.8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22</w:t>
      </w:r>
      <w:r>
        <w:rPr>
          <w:rFonts w:hint="eastAsia" w:cs="宋体"/>
          <w:color w:val="auto"/>
          <w:sz w:val="24"/>
        </w:rPr>
        <w:t>年</w:t>
      </w:r>
      <w:r>
        <w:rPr>
          <w:rFonts w:hint="eastAsia"/>
          <w:color w:val="auto"/>
          <w:sz w:val="24"/>
          <w:lang w:val="en-US" w:eastAsia="zh-CN"/>
        </w:rPr>
        <w:t>5</w:t>
      </w:r>
      <w:r>
        <w:rPr>
          <w:rFonts w:hint="eastAsia" w:cs="宋体"/>
          <w:color w:val="auto"/>
          <w:sz w:val="24"/>
        </w:rPr>
        <w:t>月</w:t>
      </w:r>
      <w:r>
        <w:rPr>
          <w:rFonts w:hint="eastAsia" w:cs="宋体"/>
          <w:color w:val="auto"/>
          <w:sz w:val="24"/>
          <w:lang w:val="en-US" w:eastAsia="zh-CN"/>
        </w:rPr>
        <w:t>31</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22</w:t>
      </w:r>
      <w:r>
        <w:rPr>
          <w:color w:val="auto"/>
          <w:sz w:val="24"/>
        </w:rPr>
        <w:t>年</w:t>
      </w:r>
      <w:r>
        <w:rPr>
          <w:rFonts w:hint="eastAsia"/>
          <w:color w:val="auto"/>
          <w:sz w:val="24"/>
        </w:rPr>
        <w:t xml:space="preserve"> 5</w:t>
      </w:r>
      <w:r>
        <w:rPr>
          <w:color w:val="auto"/>
          <w:sz w:val="24"/>
        </w:rPr>
        <w:t>月</w:t>
      </w:r>
      <w:r>
        <w:rPr>
          <w:rFonts w:hint="eastAsia"/>
          <w:color w:val="auto"/>
          <w:sz w:val="24"/>
        </w:rPr>
        <w:t xml:space="preserve"> </w:t>
      </w:r>
      <w:r>
        <w:rPr>
          <w:rFonts w:hint="eastAsia"/>
          <w:color w:val="auto"/>
          <w:sz w:val="24"/>
          <w:lang w:val="en-US" w:eastAsia="zh-CN"/>
        </w:rPr>
        <w:t>30</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2" w:leftChars="-50" w:right="-106" w:rightChars="-38" w:hanging="142"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sz w:val="24"/>
              </w:rPr>
              <w:t>湖北省博物馆配电房、强电井绝缘胶垫铺设维修项目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sz w:val="24"/>
              </w:rPr>
              <w:t>文展大楼、三中心绝缘胶垫铺设维修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rPr>
              <w:t>83425.8元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联系人：徐勇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color w:val="auto"/>
                <w:kern w:val="0"/>
                <w:sz w:val="24"/>
              </w:rPr>
            </w:pPr>
            <w:r>
              <w:rPr>
                <w:rFonts w:hint="eastAsia" w:cs="宋体"/>
                <w:color w:val="auto"/>
                <w:kern w:val="0"/>
                <w:sz w:val="24"/>
              </w:rPr>
              <w:t>联系方式：86786009</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6</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6</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6</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6</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1"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r>
        <w:rPr>
          <w:rFonts w:hint="eastAsia" w:cs="宋体"/>
          <w:color w:val="auto"/>
          <w:sz w:val="24"/>
        </w:rPr>
        <w:t>货物（服务）交付验收合格后，采购人报省财政厅办理相应金额的支付手续。</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7"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93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1701"/>
        <w:gridCol w:w="851"/>
        <w:gridCol w:w="708"/>
        <w:gridCol w:w="851"/>
        <w:gridCol w:w="1134"/>
        <w:gridCol w:w="1134"/>
        <w:gridCol w:w="992"/>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9"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区域</w:t>
            </w:r>
          </w:p>
        </w:tc>
        <w:tc>
          <w:tcPr>
            <w:tcW w:w="255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强电间</w:t>
            </w:r>
          </w:p>
        </w:tc>
        <w:tc>
          <w:tcPr>
            <w:tcW w:w="70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地下车库</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分配电房</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数量合计（平方）</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单价（元/平方）8mm厚度</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总价（元）</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72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文展大楼</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地下3楼（1间）</w:t>
            </w:r>
          </w:p>
        </w:tc>
        <w:tc>
          <w:tcPr>
            <w:tcW w:w="851"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6.45 </w:t>
            </w:r>
          </w:p>
        </w:tc>
        <w:tc>
          <w:tcPr>
            <w:tcW w:w="70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14.4</w:t>
            </w:r>
          </w:p>
        </w:tc>
        <w:tc>
          <w:tcPr>
            <w:tcW w:w="85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265.4</w:t>
            </w:r>
          </w:p>
        </w:tc>
        <w:tc>
          <w:tcPr>
            <w:tcW w:w="113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520.38</w:t>
            </w:r>
          </w:p>
        </w:tc>
        <w:tc>
          <w:tcPr>
            <w:tcW w:w="113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2"/>
                <w:szCs w:val="22"/>
              </w:rPr>
            </w:pPr>
          </w:p>
        </w:tc>
        <w:tc>
          <w:tcPr>
            <w:tcW w:w="992"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1276"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预算金额不超过83425.8元含人工裁剪、铺设、做警示区域标识及税费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7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地下2楼（1间）</w:t>
            </w:r>
          </w:p>
        </w:tc>
        <w:tc>
          <w:tcPr>
            <w:tcW w:w="851"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4.80 </w:t>
            </w:r>
          </w:p>
        </w:tc>
        <w:tc>
          <w:tcPr>
            <w:tcW w:w="7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7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地下1楼（7间）</w:t>
            </w:r>
          </w:p>
        </w:tc>
        <w:tc>
          <w:tcPr>
            <w:tcW w:w="851"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56.00 </w:t>
            </w:r>
          </w:p>
        </w:tc>
        <w:tc>
          <w:tcPr>
            <w:tcW w:w="7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7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1楼（6间）</w:t>
            </w:r>
          </w:p>
        </w:tc>
        <w:tc>
          <w:tcPr>
            <w:tcW w:w="851"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78.60 </w:t>
            </w:r>
          </w:p>
        </w:tc>
        <w:tc>
          <w:tcPr>
            <w:tcW w:w="7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7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2楼（6间）</w:t>
            </w:r>
          </w:p>
        </w:tc>
        <w:tc>
          <w:tcPr>
            <w:tcW w:w="851"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45.80 </w:t>
            </w:r>
          </w:p>
        </w:tc>
        <w:tc>
          <w:tcPr>
            <w:tcW w:w="7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7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3楼（6间）</w:t>
            </w:r>
          </w:p>
        </w:tc>
        <w:tc>
          <w:tcPr>
            <w:tcW w:w="851"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35.78 </w:t>
            </w:r>
          </w:p>
        </w:tc>
        <w:tc>
          <w:tcPr>
            <w:tcW w:w="7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7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4楼（2间）</w:t>
            </w:r>
          </w:p>
        </w:tc>
        <w:tc>
          <w:tcPr>
            <w:tcW w:w="851"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13.15 </w:t>
            </w:r>
          </w:p>
        </w:tc>
        <w:tc>
          <w:tcPr>
            <w:tcW w:w="7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三中心</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强电间</w:t>
            </w:r>
          </w:p>
        </w:tc>
        <w:tc>
          <w:tcPr>
            <w:tcW w:w="241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76.73</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7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设备楼</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空调机房</w:t>
            </w:r>
          </w:p>
        </w:tc>
        <w:tc>
          <w:tcPr>
            <w:tcW w:w="2410"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17.49</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4835"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614.6</w:t>
            </w: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bl>
    <w:p>
      <w:pPr>
        <w:spacing w:line="440" w:lineRule="exact"/>
        <w:rPr>
          <w:rFonts w:ascii="宋体" w:hAnsi="宋体"/>
          <w:color w:val="auto"/>
          <w:sz w:val="24"/>
          <w:szCs w:val="22"/>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2.1.1交货时间：合同签订之日起15个日历天内实施完毕。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rPr>
          <w:rFonts w:ascii="宋体" w:hAnsi="宋体"/>
          <w:bCs/>
          <w:color w:val="auto"/>
          <w:kern w:val="0"/>
          <w:sz w:val="24"/>
          <w:szCs w:val="21"/>
        </w:rPr>
      </w:pPr>
      <w:r>
        <w:rPr>
          <w:rFonts w:hint="eastAsia" w:ascii="宋体" w:hAnsi="宋体"/>
          <w:color w:val="auto"/>
          <w:sz w:val="24"/>
          <w:szCs w:val="22"/>
        </w:rPr>
        <w:t>2.1.7付款方式：本</w:t>
      </w:r>
      <w:r>
        <w:rPr>
          <w:rFonts w:hint="eastAsia" w:ascii="宋体" w:hAnsi="宋体"/>
          <w:color w:val="auto"/>
          <w:sz w:val="22"/>
          <w:szCs w:val="22"/>
        </w:rPr>
        <w:t>项目无预付款</w:t>
      </w:r>
      <w:r>
        <w:rPr>
          <w:rFonts w:hint="eastAsia" w:ascii="宋体" w:hAnsi="宋体"/>
          <w:bCs/>
          <w:color w:val="auto"/>
          <w:kern w:val="0"/>
          <w:sz w:val="24"/>
          <w:szCs w:val="21"/>
        </w:rPr>
        <w:t>经验收合格后，按合同金额结算支付款项，供方提供票据后15日之内，需方按湖北省财政厅相关规定将结算款从国库支付至供应商对公账户。供方认可需方向湖北省财政厅提请支付合同款项，视同需方已履行付款义务，供方必须按国家有关财税规定开具发票。</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rPr>
          <w:rFonts w:ascii="宋体" w:hAnsi="宋体" w:cs="宋体"/>
          <w:color w:val="auto"/>
          <w:sz w:val="24"/>
        </w:rPr>
      </w:pPr>
    </w:p>
    <w:p>
      <w:pPr>
        <w:tabs>
          <w:tab w:val="left" w:pos="7665"/>
        </w:tabs>
        <w:ind w:firstLine="706"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Ind w:w="-41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Ind w:w="6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6"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8" w:type="default"/>
      <w:footerReference r:id="rId9" w:type="default"/>
      <w:footerReference r:id="rId10"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3</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4365"/>
    <w:rsid w:val="00095A23"/>
    <w:rsid w:val="000A3CC6"/>
    <w:rsid w:val="000A670B"/>
    <w:rsid w:val="000B284C"/>
    <w:rsid w:val="000B403F"/>
    <w:rsid w:val="000C21EB"/>
    <w:rsid w:val="000C5B15"/>
    <w:rsid w:val="000D0C06"/>
    <w:rsid w:val="000D1869"/>
    <w:rsid w:val="000E161F"/>
    <w:rsid w:val="000E41DF"/>
    <w:rsid w:val="000F3592"/>
    <w:rsid w:val="000F5347"/>
    <w:rsid w:val="001014B4"/>
    <w:rsid w:val="001048F7"/>
    <w:rsid w:val="00107AFB"/>
    <w:rsid w:val="001135E5"/>
    <w:rsid w:val="00117677"/>
    <w:rsid w:val="00133A4D"/>
    <w:rsid w:val="00137ED6"/>
    <w:rsid w:val="001444FE"/>
    <w:rsid w:val="0014765B"/>
    <w:rsid w:val="00147D7B"/>
    <w:rsid w:val="001655DB"/>
    <w:rsid w:val="001733E1"/>
    <w:rsid w:val="001749F0"/>
    <w:rsid w:val="001770E0"/>
    <w:rsid w:val="0018521F"/>
    <w:rsid w:val="0018673E"/>
    <w:rsid w:val="00187A58"/>
    <w:rsid w:val="0019030E"/>
    <w:rsid w:val="001964EC"/>
    <w:rsid w:val="001A0A20"/>
    <w:rsid w:val="001A3C8F"/>
    <w:rsid w:val="001B797A"/>
    <w:rsid w:val="001C2598"/>
    <w:rsid w:val="001C3B1B"/>
    <w:rsid w:val="001D06A7"/>
    <w:rsid w:val="001D52B3"/>
    <w:rsid w:val="001D5BAD"/>
    <w:rsid w:val="001E365D"/>
    <w:rsid w:val="001E7EFF"/>
    <w:rsid w:val="001F0893"/>
    <w:rsid w:val="001F7336"/>
    <w:rsid w:val="00204D70"/>
    <w:rsid w:val="00206EAC"/>
    <w:rsid w:val="00210735"/>
    <w:rsid w:val="00212BB5"/>
    <w:rsid w:val="00236ACA"/>
    <w:rsid w:val="00270F16"/>
    <w:rsid w:val="00271374"/>
    <w:rsid w:val="002A4A9F"/>
    <w:rsid w:val="002A5A29"/>
    <w:rsid w:val="002A6568"/>
    <w:rsid w:val="002B08B9"/>
    <w:rsid w:val="002B43FE"/>
    <w:rsid w:val="002E77B5"/>
    <w:rsid w:val="002F057F"/>
    <w:rsid w:val="002F22C6"/>
    <w:rsid w:val="002F2C4C"/>
    <w:rsid w:val="002F4450"/>
    <w:rsid w:val="00301514"/>
    <w:rsid w:val="003036A3"/>
    <w:rsid w:val="00315079"/>
    <w:rsid w:val="0031776D"/>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46993"/>
    <w:rsid w:val="0066645A"/>
    <w:rsid w:val="0066685A"/>
    <w:rsid w:val="00666BBB"/>
    <w:rsid w:val="0067140B"/>
    <w:rsid w:val="00671465"/>
    <w:rsid w:val="00675420"/>
    <w:rsid w:val="0067697C"/>
    <w:rsid w:val="0067700A"/>
    <w:rsid w:val="00691AF9"/>
    <w:rsid w:val="00694469"/>
    <w:rsid w:val="006950A7"/>
    <w:rsid w:val="00695E1A"/>
    <w:rsid w:val="006A1281"/>
    <w:rsid w:val="006A2CAD"/>
    <w:rsid w:val="006A573C"/>
    <w:rsid w:val="006B3796"/>
    <w:rsid w:val="006C24F6"/>
    <w:rsid w:val="006D1686"/>
    <w:rsid w:val="006D3F78"/>
    <w:rsid w:val="006D699F"/>
    <w:rsid w:val="006E037A"/>
    <w:rsid w:val="006E0B88"/>
    <w:rsid w:val="006E44BA"/>
    <w:rsid w:val="006E4AD9"/>
    <w:rsid w:val="007031B2"/>
    <w:rsid w:val="0071611D"/>
    <w:rsid w:val="00720731"/>
    <w:rsid w:val="00733253"/>
    <w:rsid w:val="00734792"/>
    <w:rsid w:val="00740F07"/>
    <w:rsid w:val="00741CFF"/>
    <w:rsid w:val="00743C97"/>
    <w:rsid w:val="00751368"/>
    <w:rsid w:val="00751D76"/>
    <w:rsid w:val="00754E0A"/>
    <w:rsid w:val="00766B73"/>
    <w:rsid w:val="00773232"/>
    <w:rsid w:val="00776770"/>
    <w:rsid w:val="00777E1C"/>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5135"/>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0346"/>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17CB6"/>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95950"/>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9786B"/>
    <w:rsid w:val="00CA1489"/>
    <w:rsid w:val="00CA5F94"/>
    <w:rsid w:val="00CB458D"/>
    <w:rsid w:val="00CD1FC4"/>
    <w:rsid w:val="00CE4643"/>
    <w:rsid w:val="00CE47A6"/>
    <w:rsid w:val="00CE6AA9"/>
    <w:rsid w:val="00D01F9A"/>
    <w:rsid w:val="00D02EBB"/>
    <w:rsid w:val="00D12539"/>
    <w:rsid w:val="00D235CB"/>
    <w:rsid w:val="00D25585"/>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3D94"/>
    <w:rsid w:val="00E94523"/>
    <w:rsid w:val="00E96947"/>
    <w:rsid w:val="00E97C9D"/>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75907"/>
    <w:rsid w:val="00F8404C"/>
    <w:rsid w:val="00F92593"/>
    <w:rsid w:val="00F93F9A"/>
    <w:rsid w:val="00F968C6"/>
    <w:rsid w:val="00FC1453"/>
    <w:rsid w:val="00FD0892"/>
    <w:rsid w:val="00FD58F6"/>
    <w:rsid w:val="00FE026B"/>
    <w:rsid w:val="00FE5A8A"/>
    <w:rsid w:val="00FE6C0D"/>
    <w:rsid w:val="00FF0CBB"/>
    <w:rsid w:val="00FF1DE8"/>
    <w:rsid w:val="00FF6097"/>
    <w:rsid w:val="298F1DE4"/>
    <w:rsid w:val="37EA50F2"/>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cs="Times New Roman"/>
      <w:b/>
      <w:bCs/>
      <w:szCs w:val="24"/>
    </w:rPr>
  </w:style>
  <w:style w:type="paragraph" w:styleId="12">
    <w:name w:val="annotation text"/>
    <w:basedOn w:val="1"/>
    <w:link w:val="97"/>
    <w:uiPriority w:val="0"/>
    <w:pPr>
      <w:jc w:val="left"/>
    </w:pPr>
    <w:rPr>
      <w:rFonts w:ascii="Calibri" w:hAnsi="Calibri" w:cs="黑体"/>
      <w:szCs w:val="22"/>
    </w:rPr>
  </w:style>
  <w:style w:type="paragraph" w:styleId="13">
    <w:name w:val="Normal Indent"/>
    <w:basedOn w:val="1"/>
    <w:link w:val="98"/>
    <w:uiPriority w:val="0"/>
    <w:pPr>
      <w:ind w:firstLine="420"/>
    </w:pPr>
    <w:rPr>
      <w:rFonts w:ascii="Calibri" w:hAnsi="Calibri"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uiPriority w:val="99"/>
    <w:rPr>
      <w:rFonts w:ascii="Times New Roman" w:hAnsi="Times New Roman" w:eastAsia="宋体" w:cs="Times New Roman"/>
      <w:sz w:val="18"/>
      <w:szCs w:val="18"/>
    </w:rPr>
  </w:style>
  <w:style w:type="character" w:customStyle="1" w:styleId="84">
    <w:name w:val="纯文本 Char"/>
    <w:basedOn w:val="27"/>
    <w:link w:val="19"/>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1558</Words>
  <Characters>8882</Characters>
  <Lines>74</Lines>
  <Paragraphs>20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2017-03-22T07:05:00Z</cp:lastPrinted>
  <dcterms:modified xsi:type="dcterms:W3CDTF">2022-05-30T07:46:51Z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