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rFonts w:hint="eastAsia" w:eastAsia="宋体"/>
          <w:bCs/>
          <w:color w:val="auto"/>
          <w:sz w:val="32"/>
          <w:szCs w:val="32"/>
          <w:lang w:eastAsia="zh-CN"/>
        </w:rPr>
      </w:pPr>
      <w:r>
        <w:rPr>
          <w:bCs/>
          <w:color w:val="auto"/>
          <w:sz w:val="32"/>
          <w:szCs w:val="32"/>
        </w:rPr>
        <w:t>项目名称：</w:t>
      </w:r>
      <w:r>
        <w:rPr>
          <w:rFonts w:hint="eastAsia"/>
          <w:bCs/>
          <w:color w:val="auto"/>
          <w:sz w:val="32"/>
          <w:szCs w:val="32"/>
        </w:rPr>
        <w:t>湖北省博物馆</w:t>
      </w:r>
      <w:r>
        <w:rPr>
          <w:rFonts w:hint="eastAsia"/>
          <w:bCs/>
          <w:color w:val="auto"/>
          <w:sz w:val="32"/>
          <w:szCs w:val="32"/>
          <w:lang w:val="en-US" w:eastAsia="zh-CN"/>
        </w:rPr>
        <w:t>2021年度有害生物防治</w:t>
      </w:r>
      <w:r>
        <w:rPr>
          <w:rFonts w:hint="eastAsia"/>
          <w:bCs/>
          <w:color w:val="auto"/>
          <w:sz w:val="32"/>
          <w:szCs w:val="32"/>
        </w:rPr>
        <w:t>项目</w:t>
      </w:r>
      <w:r>
        <w:rPr>
          <w:rFonts w:hint="eastAsia"/>
          <w:bCs/>
          <w:color w:val="auto"/>
          <w:sz w:val="32"/>
          <w:szCs w:val="32"/>
          <w:lang w:eastAsia="zh-CN"/>
        </w:rPr>
        <w:t>（</w:t>
      </w:r>
      <w:r>
        <w:rPr>
          <w:rFonts w:hint="eastAsia"/>
          <w:bCs/>
          <w:color w:val="auto"/>
          <w:sz w:val="32"/>
          <w:szCs w:val="32"/>
          <w:lang w:val="en-US" w:eastAsia="zh-CN"/>
        </w:rPr>
        <w:t>12个月</w:t>
      </w:r>
      <w:r>
        <w:rPr>
          <w:rFonts w:hint="eastAsia"/>
          <w:bCs/>
          <w:color w:val="auto"/>
          <w:sz w:val="32"/>
          <w:szCs w:val="32"/>
          <w:lang w:eastAsia="zh-CN"/>
        </w:rPr>
        <w:t>）</w:t>
      </w:r>
    </w:p>
    <w:p>
      <w:pPr>
        <w:spacing w:line="480" w:lineRule="auto"/>
        <w:ind w:left="958" w:leftChars="342"/>
        <w:rPr>
          <w:rFonts w:hint="eastAsia" w:eastAsia="宋体"/>
          <w:bCs/>
          <w:color w:val="auto"/>
          <w:sz w:val="32"/>
          <w:szCs w:val="32"/>
          <w:lang w:eastAsia="zh-CN"/>
        </w:rPr>
      </w:pPr>
      <w:r>
        <w:rPr>
          <w:rFonts w:hint="eastAsia"/>
          <w:bCs/>
          <w:color w:val="auto"/>
          <w:sz w:val="32"/>
          <w:szCs w:val="32"/>
        </w:rPr>
        <w:t>谈判</w:t>
      </w:r>
      <w:r>
        <w:rPr>
          <w:bCs/>
          <w:color w:val="auto"/>
          <w:sz w:val="32"/>
          <w:szCs w:val="32"/>
        </w:rPr>
        <w:t>内容：</w:t>
      </w:r>
      <w:r>
        <w:rPr>
          <w:rFonts w:hint="eastAsia"/>
          <w:bCs/>
          <w:color w:val="auto"/>
          <w:sz w:val="32"/>
          <w:szCs w:val="32"/>
          <w:lang w:eastAsia="zh-CN"/>
        </w:rPr>
        <w:t>有害生物防治</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pStyle w:val="2"/>
        <w:rPr>
          <w:color w:val="auto"/>
          <w:sz w:val="36"/>
        </w:rPr>
      </w:pPr>
    </w:p>
    <w:p>
      <w:pPr>
        <w:pStyle w:val="2"/>
        <w:rPr>
          <w:color w:val="auto"/>
          <w:sz w:val="36"/>
        </w:rPr>
      </w:pPr>
    </w:p>
    <w:p>
      <w:pPr>
        <w:pStyle w:val="2"/>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1</w:t>
      </w:r>
      <w:r>
        <w:rPr>
          <w:color w:val="auto"/>
          <w:sz w:val="32"/>
          <w:szCs w:val="32"/>
        </w:rPr>
        <w:t>年</w:t>
      </w:r>
      <w:r>
        <w:rPr>
          <w:rFonts w:hint="eastAsia"/>
          <w:color w:val="auto"/>
          <w:sz w:val="32"/>
          <w:szCs w:val="32"/>
        </w:rPr>
        <w:t>1</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w:t>
      </w:r>
      <w:r>
        <w:rPr>
          <w:rFonts w:hint="eastAsia"/>
          <w:bCs/>
          <w:color w:val="auto"/>
          <w:sz w:val="24"/>
          <w:u w:val="single"/>
          <w:lang w:val="en-US" w:eastAsia="zh-CN"/>
        </w:rPr>
        <w:t>2021年度</w:t>
      </w:r>
      <w:r>
        <w:rPr>
          <w:rFonts w:hint="eastAsia"/>
          <w:bCs/>
          <w:color w:val="auto"/>
          <w:sz w:val="24"/>
          <w:u w:val="single"/>
          <w:lang w:eastAsia="zh-CN"/>
        </w:rPr>
        <w:t>有害生物防治</w:t>
      </w:r>
      <w:r>
        <w:rPr>
          <w:rFonts w:hint="eastAsia"/>
          <w:bCs/>
          <w:color w:val="auto"/>
          <w:sz w:val="24"/>
          <w:u w:val="single"/>
        </w:rPr>
        <w:t>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u w:val="single"/>
        </w:rPr>
        <w:t>湖北省博物馆</w:t>
      </w:r>
      <w:r>
        <w:rPr>
          <w:rFonts w:hint="eastAsia"/>
          <w:bCs/>
          <w:color w:val="auto"/>
          <w:sz w:val="24"/>
          <w:u w:val="single"/>
          <w:lang w:val="en-US" w:eastAsia="zh-CN"/>
        </w:rPr>
        <w:t>2021年度</w:t>
      </w:r>
      <w:r>
        <w:rPr>
          <w:rFonts w:hint="eastAsia"/>
          <w:bCs/>
          <w:color w:val="auto"/>
          <w:sz w:val="24"/>
          <w:u w:val="single"/>
          <w:lang w:eastAsia="zh-CN"/>
        </w:rPr>
        <w:t>有害生物防治</w:t>
      </w:r>
      <w:r>
        <w:rPr>
          <w:rFonts w:hint="eastAsia"/>
          <w:bCs/>
          <w:color w:val="auto"/>
          <w:sz w:val="24"/>
          <w:u w:val="single"/>
        </w:rPr>
        <w:t>项目</w:t>
      </w:r>
    </w:p>
    <w:p>
      <w:pPr>
        <w:spacing w:line="440" w:lineRule="exact"/>
        <w:ind w:firstLine="480" w:firstLineChars="200"/>
        <w:rPr>
          <w:bCs/>
          <w:color w:val="auto"/>
          <w:sz w:val="24"/>
        </w:rPr>
      </w:pPr>
      <w:r>
        <w:rPr>
          <w:bCs/>
          <w:color w:val="auto"/>
          <w:sz w:val="24"/>
        </w:rPr>
        <w:t>三、谈判内容：</w:t>
      </w:r>
    </w:p>
    <w:p>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湖北省博物馆</w:t>
      </w:r>
      <w:r>
        <w:rPr>
          <w:rFonts w:hint="eastAsia" w:ascii="宋体" w:hAnsi="宋体" w:eastAsia="宋体" w:cs="宋体"/>
          <w:color w:val="auto"/>
          <w:sz w:val="24"/>
          <w:szCs w:val="24"/>
          <w:lang w:val="en-US" w:eastAsia="zh-CN"/>
        </w:rPr>
        <w:t>场馆及公共区域：综合馆、编钟馆、楚文化馆、馆区内公共区域（49611平米）及设备楼（7200平米）和三中心（12000平米）</w:t>
      </w:r>
      <w:r>
        <w:rPr>
          <w:rFonts w:hint="eastAsia" w:ascii="宋体" w:hAnsi="宋体" w:cs="宋体"/>
          <w:color w:val="auto"/>
          <w:sz w:val="24"/>
          <w:szCs w:val="24"/>
          <w:lang w:val="en-US" w:eastAsia="zh-CN"/>
        </w:rPr>
        <w:t>武警宿舍（1750平米）</w:t>
      </w:r>
      <w:r>
        <w:rPr>
          <w:rFonts w:hint="eastAsia" w:ascii="宋体" w:hAnsi="宋体" w:eastAsia="宋体" w:cs="宋体"/>
          <w:b w:val="0"/>
          <w:bCs/>
          <w:color w:val="auto"/>
          <w:sz w:val="24"/>
          <w:szCs w:val="24"/>
          <w:highlight w:val="none"/>
          <w:lang w:val="en-US" w:eastAsia="zh-CN"/>
        </w:rPr>
        <w:t>消杀服务、防虫灭鼠、环境治理防治、有害生物防治</w:t>
      </w:r>
      <w:r>
        <w:rPr>
          <w:rFonts w:hint="eastAsia" w:ascii="宋体" w:hAnsi="宋体" w:eastAsia="宋体" w:cs="宋体"/>
          <w:bCs/>
          <w:color w:val="auto"/>
          <w:sz w:val="24"/>
          <w:szCs w:val="24"/>
        </w:rPr>
        <w:t>项目</w:t>
      </w:r>
    </w:p>
    <w:p>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四、采购预算：</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169062</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元</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五、供应商资格条件</w:t>
      </w:r>
      <w:r>
        <w:rPr>
          <w:rFonts w:hint="eastAsia" w:ascii="宋体" w:hAnsi="宋体" w:eastAsia="宋体" w:cs="宋体"/>
          <w:color w:val="auto"/>
          <w:sz w:val="24"/>
          <w:szCs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1</w:t>
      </w:r>
      <w:r>
        <w:rPr>
          <w:rFonts w:hint="eastAsia" w:cs="宋体"/>
          <w:color w:val="auto"/>
          <w:sz w:val="24"/>
        </w:rPr>
        <w:t>年</w:t>
      </w:r>
      <w:r>
        <w:rPr>
          <w:rFonts w:hint="eastAsia"/>
          <w:color w:val="auto"/>
          <w:sz w:val="24"/>
        </w:rPr>
        <w:t xml:space="preserve"> </w:t>
      </w:r>
      <w:r>
        <w:rPr>
          <w:rFonts w:hint="eastAsia"/>
          <w:color w:val="auto"/>
          <w:sz w:val="24"/>
          <w:lang w:val="en-US" w:eastAsia="zh-CN"/>
        </w:rPr>
        <w:t>1</w:t>
      </w:r>
      <w:r>
        <w:rPr>
          <w:rFonts w:hint="eastAsia"/>
          <w:color w:val="auto"/>
          <w:sz w:val="24"/>
        </w:rPr>
        <w:t xml:space="preserve"> </w:t>
      </w:r>
      <w:r>
        <w:rPr>
          <w:rFonts w:hint="eastAsia" w:cs="宋体"/>
          <w:color w:val="auto"/>
          <w:sz w:val="24"/>
        </w:rPr>
        <w:t>月</w:t>
      </w:r>
      <w:r>
        <w:rPr>
          <w:rFonts w:hint="eastAsia"/>
          <w:color w:val="auto"/>
          <w:sz w:val="24"/>
        </w:rPr>
        <w:t xml:space="preserve"> </w:t>
      </w:r>
      <w:r>
        <w:rPr>
          <w:rFonts w:hint="eastAsia"/>
          <w:color w:val="auto"/>
          <w:sz w:val="24"/>
          <w:lang w:val="en-US" w:eastAsia="zh-CN"/>
        </w:rPr>
        <w:t>18</w:t>
      </w:r>
      <w:r>
        <w:rPr>
          <w:rFonts w:hint="eastAsia"/>
          <w:color w:val="auto"/>
          <w:sz w:val="24"/>
        </w:rPr>
        <w:t xml:space="preserve"> </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1</w:t>
      </w:r>
      <w:r>
        <w:rPr>
          <w:color w:val="auto"/>
          <w:sz w:val="24"/>
        </w:rPr>
        <w:t>年</w:t>
      </w:r>
      <w:r>
        <w:rPr>
          <w:rFonts w:hint="eastAsia"/>
          <w:color w:val="auto"/>
          <w:sz w:val="24"/>
        </w:rPr>
        <w:t xml:space="preserve"> </w:t>
      </w:r>
      <w:r>
        <w:rPr>
          <w:rFonts w:hint="eastAsia"/>
          <w:color w:val="auto"/>
          <w:sz w:val="24"/>
          <w:lang w:val="en-US" w:eastAsia="zh-CN"/>
        </w:rPr>
        <w:t>1</w:t>
      </w:r>
      <w:r>
        <w:rPr>
          <w:color w:val="auto"/>
          <w:sz w:val="24"/>
        </w:rPr>
        <w:t>月</w:t>
      </w:r>
      <w:r>
        <w:rPr>
          <w:rFonts w:hint="eastAsia"/>
          <w:color w:val="auto"/>
          <w:sz w:val="24"/>
          <w:lang w:val="en-US" w:eastAsia="zh-CN"/>
        </w:rPr>
        <w:t>15</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3"/>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湖北省博物馆</w:t>
            </w:r>
            <w:r>
              <w:rPr>
                <w:rFonts w:hint="eastAsia"/>
                <w:bCs/>
                <w:color w:val="auto"/>
                <w:kern w:val="0"/>
                <w:sz w:val="24"/>
                <w:lang w:val="en-US" w:eastAsia="zh-CN"/>
              </w:rPr>
              <w:t>2021年度</w:t>
            </w:r>
            <w:r>
              <w:rPr>
                <w:rFonts w:hint="eastAsia"/>
                <w:bCs/>
                <w:color w:val="auto"/>
                <w:kern w:val="0"/>
                <w:sz w:val="24"/>
                <w:lang w:eastAsia="zh-CN"/>
              </w:rPr>
              <w:t>有害生物防治</w:t>
            </w:r>
            <w:r>
              <w:rPr>
                <w:rFonts w:hint="eastAsia"/>
                <w:bCs/>
                <w:color w:val="auto"/>
                <w:kern w:val="0"/>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湖北省博物馆</w:t>
            </w:r>
            <w:r>
              <w:rPr>
                <w:rFonts w:hint="eastAsia" w:ascii="宋体" w:hAnsi="宋体" w:eastAsia="宋体" w:cs="宋体"/>
                <w:color w:val="auto"/>
                <w:sz w:val="24"/>
                <w:szCs w:val="24"/>
                <w:lang w:val="en-US" w:eastAsia="zh-CN"/>
              </w:rPr>
              <w:t>场馆及公共区域：综合馆、编钟馆、楚文化馆、馆区内公共区域（49611平米）及设备楼（7200平米）和三中心（12000平米）</w:t>
            </w:r>
            <w:r>
              <w:rPr>
                <w:rFonts w:hint="eastAsia" w:ascii="宋体" w:hAnsi="宋体" w:cs="宋体"/>
                <w:color w:val="auto"/>
                <w:sz w:val="24"/>
                <w:szCs w:val="24"/>
                <w:lang w:val="en-US" w:eastAsia="zh-CN"/>
              </w:rPr>
              <w:t>武警宿舍（1750平米）</w:t>
            </w:r>
            <w:r>
              <w:rPr>
                <w:rFonts w:hint="eastAsia" w:ascii="宋体" w:hAnsi="宋体" w:eastAsia="宋体" w:cs="宋体"/>
                <w:b w:val="0"/>
                <w:bCs/>
                <w:color w:val="auto"/>
                <w:sz w:val="24"/>
                <w:szCs w:val="24"/>
                <w:highlight w:val="none"/>
                <w:lang w:val="en-US" w:eastAsia="zh-CN"/>
              </w:rPr>
              <w:t>消杀服务、防虫灭鼠、环境治理防治、有害生物防治</w:t>
            </w:r>
            <w:r>
              <w:rPr>
                <w:rFonts w:hint="eastAsia" w:ascii="宋体" w:hAnsi="宋体" w:eastAsia="宋体" w:cs="宋体"/>
                <w:bCs/>
                <w:color w:val="auto"/>
                <w:sz w:val="24"/>
                <w:szCs w:val="24"/>
              </w:rPr>
              <w:t>项目</w:t>
            </w:r>
          </w:p>
          <w:p>
            <w:pPr>
              <w:rPr>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169062</w:t>
            </w:r>
            <w:r>
              <w:rPr>
                <w:rFonts w:hint="eastAsia" w:cs="宋体"/>
                <w:color w:val="auto"/>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eastAsia="zh-CN"/>
              </w:rPr>
              <w:t>方敏</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eastAsia="宋体"/>
                <w:color w:val="auto"/>
                <w:kern w:val="0"/>
                <w:sz w:val="24"/>
                <w:lang w:val="en-US" w:eastAsia="zh-CN"/>
              </w:rPr>
            </w:pPr>
            <w:r>
              <w:rPr>
                <w:rFonts w:hint="eastAsia" w:cs="宋体"/>
                <w:color w:val="auto"/>
                <w:kern w:val="0"/>
                <w:sz w:val="24"/>
              </w:rPr>
              <w:t>联系方式：</w:t>
            </w:r>
            <w:r>
              <w:rPr>
                <w:rFonts w:cs="宋体"/>
                <w:color w:val="auto"/>
                <w:kern w:val="0"/>
                <w:sz w:val="24"/>
              </w:rPr>
              <w:t>18</w:t>
            </w:r>
            <w:r>
              <w:rPr>
                <w:rFonts w:hint="eastAsia" w:cs="宋体"/>
                <w:color w:val="auto"/>
                <w:kern w:val="0"/>
                <w:sz w:val="24"/>
                <w:lang w:val="en-US" w:eastAsia="zh-CN"/>
              </w:rPr>
              <w:t>986255037</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numPr>
                <w:numId w:val="0"/>
              </w:numPr>
              <w:spacing w:line="240" w:lineRule="auto"/>
              <w:jc w:val="both"/>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招标单位</w:t>
            </w:r>
            <w:r>
              <w:rPr>
                <w:rFonts w:hint="eastAsia" w:ascii="宋体" w:hAnsi="宋体" w:eastAsia="宋体" w:cs="宋体"/>
                <w:b w:val="0"/>
                <w:bCs/>
                <w:color w:val="auto"/>
                <w:sz w:val="24"/>
                <w:szCs w:val="24"/>
                <w:highlight w:val="none"/>
                <w:lang w:val="en-US" w:eastAsia="zh-CN"/>
              </w:rPr>
              <w:t>具有有害生物防治国家A级证书、一级证书或甲级证书</w:t>
            </w:r>
          </w:p>
          <w:p>
            <w:pPr>
              <w:numPr>
                <w:numId w:val="0"/>
              </w:numPr>
              <w:spacing w:line="240" w:lineRule="auto"/>
              <w:jc w:val="both"/>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2.招标单位具有</w:t>
            </w:r>
            <w:r>
              <w:rPr>
                <w:rFonts w:hint="eastAsia" w:ascii="宋体" w:hAnsi="宋体" w:eastAsia="宋体" w:cs="宋体"/>
                <w:b w:val="0"/>
                <w:bCs/>
                <w:color w:val="auto"/>
                <w:sz w:val="24"/>
                <w:szCs w:val="24"/>
                <w:highlight w:val="none"/>
                <w:lang w:val="en-US" w:eastAsia="zh-CN"/>
              </w:rPr>
              <w:t>白蚁防治服务企业资质认证A级证书、一级证书或甲级证书</w:t>
            </w:r>
          </w:p>
          <w:p>
            <w:pPr>
              <w:numPr>
                <w:numId w:val="0"/>
              </w:numPr>
              <w:spacing w:line="240" w:lineRule="auto"/>
              <w:jc w:val="both"/>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3.招标单位具有</w:t>
            </w:r>
            <w:r>
              <w:rPr>
                <w:rFonts w:hint="eastAsia" w:ascii="宋体" w:hAnsi="宋体" w:eastAsia="宋体" w:cs="宋体"/>
                <w:b w:val="0"/>
                <w:bCs/>
                <w:color w:val="auto"/>
                <w:sz w:val="24"/>
                <w:szCs w:val="24"/>
                <w:highlight w:val="none"/>
                <w:lang w:val="en-US" w:eastAsia="zh-CN"/>
              </w:rPr>
              <w:t>白蚁防治工程师执业证。</w:t>
            </w:r>
          </w:p>
          <w:p>
            <w:pPr>
              <w:numPr>
                <w:numId w:val="0"/>
              </w:numPr>
              <w:spacing w:line="240" w:lineRule="auto"/>
              <w:rPr>
                <w:color w:val="auto"/>
                <w:kern w:val="0"/>
                <w:sz w:val="24"/>
              </w:rPr>
            </w:pP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.参加报价的供应商人员需提供加盖公司公章的法定代表人授权委托书原件。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21</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10</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00</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21</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10</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00</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pStyle w:val="2"/>
        <w:rPr>
          <w:rFonts w:hint="eastAsia" w:cs="宋体"/>
          <w:color w:val="auto"/>
          <w:sz w:val="30"/>
          <w:szCs w:val="30"/>
        </w:rPr>
      </w:pPr>
    </w:p>
    <w:p>
      <w:pPr>
        <w:pStyle w:val="2"/>
        <w:rPr>
          <w:rFonts w:hint="eastAsia" w:cs="宋体"/>
          <w:color w:val="auto"/>
          <w:sz w:val="30"/>
          <w:szCs w:val="30"/>
        </w:rPr>
      </w:pPr>
      <w:bookmarkStart w:id="0" w:name="_GoBack"/>
      <w:bookmarkEnd w:id="0"/>
    </w:p>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7"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color w:val="auto"/>
          <w:sz w:val="24"/>
        </w:rPr>
      </w:pPr>
      <w:r>
        <w:rPr>
          <w:color w:val="auto"/>
          <w:sz w:val="24"/>
        </w:rPr>
        <w:t>3</w:t>
      </w:r>
      <w:r>
        <w:rPr>
          <w:rFonts w:hint="eastAsia"/>
          <w:color w:val="auto"/>
          <w:sz w:val="24"/>
        </w:rPr>
        <w:t>2</w:t>
      </w:r>
      <w:r>
        <w:rPr>
          <w:color w:val="auto"/>
          <w:sz w:val="24"/>
        </w:rPr>
        <w:t xml:space="preserve">. </w:t>
      </w:r>
      <w:r>
        <w:rPr>
          <w:rFonts w:hint="eastAsia" w:ascii="宋体" w:hAnsi="宋体"/>
          <w:color w:val="auto"/>
          <w:sz w:val="24"/>
          <w:szCs w:val="22"/>
        </w:rPr>
        <w:t>本项目无预付款</w:t>
      </w:r>
      <w:r>
        <w:rPr>
          <w:rFonts w:hint="eastAsia" w:ascii="宋体" w:hAnsi="宋体"/>
          <w:color w:val="auto"/>
          <w:sz w:val="24"/>
          <w:szCs w:val="22"/>
          <w:lang w:eastAsia="zh-CN"/>
        </w:rPr>
        <w:t>，</w:t>
      </w:r>
      <w:r>
        <w:rPr>
          <w:rFonts w:hint="eastAsia" w:ascii="宋体" w:hAnsi="宋体" w:eastAsia="宋体" w:cs="宋体"/>
          <w:b w:val="0"/>
          <w:bCs/>
          <w:color w:val="auto"/>
          <w:kern w:val="2"/>
          <w:sz w:val="24"/>
          <w:szCs w:val="24"/>
          <w:highlight w:val="none"/>
          <w:lang w:val="en-US" w:eastAsia="zh-CN" w:bidi="ar-SA"/>
        </w:rPr>
        <w:t>项目完成总验收</w:t>
      </w:r>
      <w:r>
        <w:rPr>
          <w:rFonts w:hint="eastAsia" w:ascii="宋体" w:hAnsi="宋体" w:cs="宋体"/>
          <w:b w:val="0"/>
          <w:bCs/>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合格后</w:t>
      </w:r>
      <w:r>
        <w:rPr>
          <w:rFonts w:hint="eastAsia" w:ascii="宋体" w:hAnsi="宋体" w:cs="宋体"/>
          <w:b w:val="0"/>
          <w:bCs/>
          <w:color w:val="auto"/>
          <w:kern w:val="2"/>
          <w:sz w:val="24"/>
          <w:szCs w:val="24"/>
          <w:highlight w:val="none"/>
          <w:lang w:val="en-US" w:eastAsia="zh-CN" w:bidi="ar-SA"/>
        </w:rPr>
        <w:t>在15个工作日之内</w:t>
      </w:r>
      <w:r>
        <w:rPr>
          <w:rFonts w:hint="eastAsia" w:cs="宋体"/>
          <w:color w:val="auto"/>
          <w:sz w:val="24"/>
        </w:rPr>
        <w:t>，采购人报省财政厅办理相应金额的支付手续。</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p>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湖北省博物馆</w:t>
      </w:r>
      <w:r>
        <w:rPr>
          <w:rFonts w:hint="eastAsia" w:ascii="宋体" w:hAnsi="宋体" w:eastAsia="宋体" w:cs="宋体"/>
          <w:color w:val="auto"/>
          <w:sz w:val="24"/>
          <w:szCs w:val="24"/>
          <w:lang w:val="en-US" w:eastAsia="zh-CN"/>
        </w:rPr>
        <w:t>场馆及公共区域：综合馆、编钟馆、楚文化馆、馆区内公共区域（49611平米）及设备楼（7200平米）和三中心（12000平米）</w:t>
      </w:r>
      <w:r>
        <w:rPr>
          <w:rFonts w:hint="eastAsia" w:ascii="宋体" w:hAnsi="宋体" w:cs="宋体"/>
          <w:color w:val="auto"/>
          <w:sz w:val="24"/>
          <w:szCs w:val="24"/>
          <w:lang w:val="en-US" w:eastAsia="zh-CN"/>
        </w:rPr>
        <w:t>武警宿舍（1750平米）</w:t>
      </w:r>
      <w:r>
        <w:rPr>
          <w:rFonts w:hint="eastAsia" w:ascii="宋体" w:hAnsi="宋体" w:eastAsia="宋体" w:cs="宋体"/>
          <w:b w:val="0"/>
          <w:bCs/>
          <w:color w:val="auto"/>
          <w:sz w:val="24"/>
          <w:szCs w:val="24"/>
          <w:highlight w:val="none"/>
          <w:lang w:val="en-US" w:eastAsia="zh-CN"/>
        </w:rPr>
        <w:t>消杀服务、防虫灭鼠、环境治理防治、有害生物防治</w:t>
      </w:r>
      <w:r>
        <w:rPr>
          <w:rFonts w:hint="eastAsia" w:ascii="宋体" w:hAnsi="宋体" w:eastAsia="宋体" w:cs="宋体"/>
          <w:bCs/>
          <w:color w:val="auto"/>
          <w:sz w:val="24"/>
          <w:szCs w:val="24"/>
        </w:rPr>
        <w:t>项目</w:t>
      </w:r>
      <w:r>
        <w:rPr>
          <w:rFonts w:hint="eastAsia" w:ascii="宋体" w:hAnsi="宋体" w:cs="宋体"/>
          <w:bCs/>
          <w:color w:val="auto"/>
          <w:sz w:val="24"/>
          <w:szCs w:val="24"/>
          <w:lang w:eastAsia="zh-CN"/>
        </w:rPr>
        <w:t>。</w:t>
      </w:r>
    </w:p>
    <w:p>
      <w:pPr>
        <w:pStyle w:val="2"/>
        <w:numPr>
          <w:numId w:val="0"/>
        </w:numPr>
        <w:spacing w:line="360" w:lineRule="auto"/>
        <w:ind w:leftChars="0"/>
        <w:rPr>
          <w:rFonts w:hint="eastAsia" w:ascii="宋体" w:hAnsi="宋体" w:eastAsia="宋体" w:cs="宋体"/>
          <w:b w:val="0"/>
          <w:bCs/>
          <w:color w:val="auto"/>
          <w:kern w:val="2"/>
          <w:sz w:val="24"/>
          <w:szCs w:val="24"/>
          <w:highlight w:val="none"/>
          <w:lang w:val="en-US" w:eastAsia="zh-CN" w:bidi="ar-SA"/>
        </w:rPr>
      </w:pPr>
      <w:r>
        <w:rPr>
          <w:rFonts w:hint="eastAsia" w:hAnsi="宋体" w:cs="宋体"/>
          <w:b/>
          <w:bCs w:val="0"/>
          <w:color w:val="auto"/>
          <w:sz w:val="28"/>
          <w:szCs w:val="28"/>
          <w:lang w:val="en-US" w:eastAsia="zh-CN"/>
        </w:rPr>
        <w:t xml:space="preserve">  </w:t>
      </w:r>
      <w:r>
        <w:rPr>
          <w:rFonts w:hint="eastAsia" w:ascii="宋体" w:hAnsi="宋体" w:eastAsia="宋体" w:cs="宋体"/>
          <w:b w:val="0"/>
          <w:bCs/>
          <w:color w:val="auto"/>
          <w:kern w:val="2"/>
          <w:sz w:val="24"/>
          <w:szCs w:val="24"/>
          <w:highlight w:val="none"/>
          <w:lang w:val="en-US" w:eastAsia="zh-CN" w:bidi="ar-SA"/>
        </w:rPr>
        <w:t xml:space="preserve"> 需在本单位正常开馆阶段派两人驻服务区域，进行有害生物消杀工作，考勤纳入采购方管理。</w:t>
      </w:r>
    </w:p>
    <w:p>
      <w:pPr>
        <w:numPr>
          <w:numId w:val="0"/>
        </w:numPr>
        <w:spacing w:line="360" w:lineRule="auto"/>
        <w:ind w:leftChars="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 xml:space="preserve">   一个月内需两次对服务区域进行防虫灭鼠、环境治理防治工作，每次由采购方项目负责人验收签字认可方可计入最终结算，项目完成总验收合格后一次性支付所有费用。</w:t>
      </w:r>
    </w:p>
    <w:p>
      <w:pPr>
        <w:pStyle w:val="2"/>
        <w:rPr>
          <w:color w:val="auto"/>
        </w:rPr>
      </w:pP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365</w:t>
      </w:r>
      <w:r>
        <w:rPr>
          <w:rFonts w:hint="eastAsia" w:ascii="宋体" w:hAnsi="宋体"/>
          <w:color w:val="auto"/>
          <w:sz w:val="24"/>
          <w:szCs w:val="22"/>
        </w:rPr>
        <w:t>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pStyle w:val="2"/>
        <w:rPr>
          <w:rFonts w:hint="eastAsia" w:ascii="宋体" w:hAnsi="宋体"/>
          <w:color w:val="auto"/>
          <w:sz w:val="24"/>
          <w:szCs w:val="22"/>
        </w:rPr>
      </w:pPr>
      <w:r>
        <w:rPr>
          <w:rFonts w:hint="eastAsia" w:ascii="宋体" w:hAnsi="宋体"/>
          <w:color w:val="auto"/>
          <w:sz w:val="24"/>
          <w:szCs w:val="22"/>
        </w:rPr>
        <w:t>2.1.4验收要求：</w:t>
      </w:r>
    </w:p>
    <w:p>
      <w:pPr>
        <w:pStyle w:val="2"/>
        <w:rPr>
          <w:rFonts w:ascii="宋体" w:hAnsi="宋体"/>
          <w:color w:val="auto"/>
          <w:sz w:val="24"/>
          <w:szCs w:val="22"/>
        </w:rPr>
      </w:pPr>
      <w:r>
        <w:rPr>
          <w:rFonts w:hint="eastAsia" w:hAnsi="宋体" w:cs="宋体"/>
          <w:b w:val="0"/>
          <w:bCs/>
          <w:color w:val="auto"/>
          <w:kern w:val="2"/>
          <w:sz w:val="24"/>
          <w:szCs w:val="24"/>
          <w:highlight w:val="none"/>
          <w:lang w:val="en-US" w:eastAsia="zh-CN" w:bidi="ar-SA"/>
        </w:rPr>
        <w:t xml:space="preserve">    </w:t>
      </w:r>
      <w:r>
        <w:rPr>
          <w:rFonts w:hint="eastAsia" w:ascii="宋体" w:hAnsi="宋体" w:eastAsia="宋体" w:cs="宋体"/>
          <w:b w:val="0"/>
          <w:bCs/>
          <w:color w:val="auto"/>
          <w:kern w:val="2"/>
          <w:sz w:val="24"/>
          <w:szCs w:val="24"/>
          <w:highlight w:val="none"/>
          <w:lang w:val="en-US" w:eastAsia="zh-CN" w:bidi="ar-SA"/>
        </w:rPr>
        <w:t>需在本单位正常开馆阶段派两人驻服务区域，进行有害生物消杀工作，考勤纳入采购方管理</w:t>
      </w:r>
      <w:r>
        <w:rPr>
          <w:rFonts w:hint="eastAsia" w:hAnsi="宋体" w:cs="宋体"/>
          <w:b w:val="0"/>
          <w:bCs/>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一个月内需两次对服务区域进行防虫灭鼠、环境治理防治工作，每次由采购方项目负责人验收签字认可方可计入最终结算</w:t>
      </w:r>
      <w:r>
        <w:rPr>
          <w:rFonts w:hint="eastAsia" w:hAnsi="宋体" w:cs="宋体"/>
          <w:b w:val="0"/>
          <w:bCs/>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 xml:space="preserve"> 项目完成总验收合格后一次性支付所有费用。</w:t>
      </w:r>
    </w:p>
    <w:p>
      <w:pPr>
        <w:spacing w:line="440" w:lineRule="exact"/>
        <w:rPr>
          <w:rFonts w:hint="eastAsia" w:ascii="宋体" w:hAnsi="宋体"/>
          <w:color w:val="auto"/>
          <w:sz w:val="24"/>
          <w:szCs w:val="22"/>
          <w:lang w:eastAsia="zh-CN"/>
        </w:rPr>
      </w:pPr>
      <w:r>
        <w:rPr>
          <w:rFonts w:hint="eastAsia" w:ascii="宋体" w:hAnsi="宋体"/>
          <w:color w:val="auto"/>
          <w:sz w:val="24"/>
          <w:szCs w:val="22"/>
        </w:rPr>
        <w:t>2.1.5合同签订及付款方式</w:t>
      </w:r>
      <w:r>
        <w:rPr>
          <w:rFonts w:hint="eastAsia" w:ascii="宋体" w:hAnsi="宋体"/>
          <w:color w:val="auto"/>
          <w:sz w:val="24"/>
          <w:szCs w:val="22"/>
          <w:lang w:eastAsia="zh-CN"/>
        </w:rPr>
        <w:t>：</w:t>
      </w:r>
    </w:p>
    <w:p>
      <w:pPr>
        <w:pStyle w:val="2"/>
        <w:rPr>
          <w:rFonts w:hint="eastAsia"/>
          <w:color w:val="auto"/>
          <w:lang w:eastAsia="zh-CN"/>
        </w:rPr>
      </w:pPr>
      <w:r>
        <w:rPr>
          <w:rFonts w:hint="eastAsia" w:ascii="宋体" w:hAnsi="宋体" w:eastAsia="宋体" w:cs="宋体"/>
          <w:b w:val="0"/>
          <w:bCs/>
          <w:color w:val="auto"/>
          <w:kern w:val="2"/>
          <w:sz w:val="24"/>
          <w:szCs w:val="24"/>
          <w:highlight w:val="none"/>
          <w:lang w:val="en-US" w:eastAsia="zh-CN" w:bidi="ar-SA"/>
        </w:rPr>
        <w:t xml:space="preserve"> 项目完成总验收合格后一次性支付所有费用。</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2.1.7付款方式：本项目无预付款</w:t>
      </w:r>
      <w:r>
        <w:rPr>
          <w:rFonts w:hint="eastAsia" w:ascii="宋体" w:hAnsi="宋体"/>
          <w:color w:val="auto"/>
          <w:sz w:val="24"/>
          <w:szCs w:val="22"/>
          <w:lang w:eastAsia="zh-CN"/>
        </w:rPr>
        <w:t>，</w:t>
      </w:r>
      <w:r>
        <w:rPr>
          <w:rFonts w:hint="eastAsia" w:ascii="宋体" w:hAnsi="宋体" w:eastAsia="宋体" w:cs="宋体"/>
          <w:b w:val="0"/>
          <w:bCs/>
          <w:color w:val="auto"/>
          <w:kern w:val="2"/>
          <w:sz w:val="24"/>
          <w:szCs w:val="24"/>
          <w:highlight w:val="none"/>
          <w:lang w:val="en-US" w:eastAsia="zh-CN" w:bidi="ar-SA"/>
        </w:rPr>
        <w:t>项目完成总验收</w:t>
      </w:r>
      <w:r>
        <w:rPr>
          <w:rFonts w:hint="eastAsia" w:ascii="宋体" w:hAnsi="宋体" w:cs="宋体"/>
          <w:b w:val="0"/>
          <w:bCs/>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合格后</w:t>
      </w:r>
      <w:r>
        <w:rPr>
          <w:rFonts w:hint="eastAsia" w:ascii="宋体" w:hAnsi="宋体" w:cs="宋体"/>
          <w:b w:val="0"/>
          <w:bCs/>
          <w:color w:val="auto"/>
          <w:kern w:val="2"/>
          <w:sz w:val="24"/>
          <w:szCs w:val="24"/>
          <w:highlight w:val="none"/>
          <w:lang w:val="en-US" w:eastAsia="zh-CN" w:bidi="ar-SA"/>
        </w:rPr>
        <w:t>在15个工作日之内</w:t>
      </w:r>
      <w:r>
        <w:rPr>
          <w:rFonts w:hint="eastAsia" w:ascii="宋体" w:hAnsi="宋体" w:eastAsia="宋体" w:cs="宋体"/>
          <w:b w:val="0"/>
          <w:bCs/>
          <w:color w:val="auto"/>
          <w:kern w:val="2"/>
          <w:sz w:val="24"/>
          <w:szCs w:val="24"/>
          <w:highlight w:val="none"/>
          <w:lang w:val="en-US" w:eastAsia="zh-CN" w:bidi="ar-SA"/>
        </w:rPr>
        <w:t>一次性支付</w:t>
      </w:r>
      <w:r>
        <w:rPr>
          <w:rFonts w:hint="eastAsia" w:ascii="宋体" w:hAnsi="宋体"/>
          <w:color w:val="auto"/>
          <w:sz w:val="24"/>
          <w:szCs w:val="22"/>
        </w:rPr>
        <w:t>全款。</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20"/>
        <w:tabs>
          <w:tab w:val="left" w:pos="1260"/>
        </w:tabs>
        <w:jc w:val="center"/>
        <w:rPr>
          <w:rFonts w:ascii="Times New Roman" w:hAnsi="Times New Roman" w:cs="Times New Roman"/>
          <w:bCs/>
          <w:color w:val="auto"/>
          <w:spacing w:val="100"/>
          <w:w w:val="110"/>
          <w:kern w:val="0"/>
          <w:sz w:val="52"/>
          <w:szCs w:val="52"/>
        </w:rPr>
      </w:pPr>
    </w:p>
    <w:p>
      <w:pPr>
        <w:pStyle w:val="20"/>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20"/>
        <w:jc w:val="center"/>
        <w:rPr>
          <w:rFonts w:ascii="Times New Roman" w:hAnsi="Times New Roman" w:cs="Times New Roman"/>
          <w:color w:val="auto"/>
          <w:sz w:val="44"/>
        </w:rPr>
      </w:pPr>
      <w:r>
        <w:rPr>
          <w:rFonts w:ascii="Times New Roman" w:hAnsi="Times New Roman" w:cs="Times New Roman"/>
          <w:color w:val="auto"/>
          <w:sz w:val="44"/>
        </w:rPr>
        <w:t>（正本）</w:t>
      </w:r>
    </w:p>
    <w:p>
      <w:pPr>
        <w:pStyle w:val="20"/>
        <w:jc w:val="center"/>
        <w:rPr>
          <w:rFonts w:ascii="Times New Roman" w:hAnsi="Times New Roman" w:cs="Times New Roman"/>
          <w:color w:val="auto"/>
          <w:sz w:val="44"/>
        </w:rPr>
      </w:pPr>
    </w:p>
    <w:p>
      <w:pPr>
        <w:pStyle w:val="20"/>
        <w:jc w:val="center"/>
        <w:rPr>
          <w:rFonts w:ascii="Times New Roman" w:hAnsi="Times New Roman" w:cs="Times New Roman"/>
          <w:color w:val="auto"/>
          <w:sz w:val="44"/>
        </w:rPr>
      </w:pPr>
    </w:p>
    <w:p>
      <w:pPr>
        <w:pStyle w:val="20"/>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8"/>
        <w:spacing w:line="360" w:lineRule="auto"/>
        <w:ind w:firstLine="1280" w:firstLineChars="400"/>
        <w:rPr>
          <w:color w:val="auto"/>
          <w:szCs w:val="32"/>
          <w:u w:val="single"/>
        </w:rPr>
      </w:pPr>
      <w:r>
        <w:rPr>
          <w:color w:val="auto"/>
          <w:szCs w:val="32"/>
        </w:rPr>
        <w:t>项目名称：</w:t>
      </w:r>
    </w:p>
    <w:p>
      <w:pPr>
        <w:pStyle w:val="20"/>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20"/>
        <w:ind w:firstLine="1320" w:firstLineChars="300"/>
        <w:rPr>
          <w:rFonts w:ascii="Times New Roman" w:hAnsi="Times New Roman" w:cs="Times New Roman"/>
          <w:color w:val="auto"/>
          <w:sz w:val="44"/>
        </w:rPr>
      </w:pPr>
    </w:p>
    <w:p>
      <w:pPr>
        <w:pStyle w:val="20"/>
        <w:ind w:firstLine="1320" w:firstLineChars="300"/>
        <w:rPr>
          <w:rFonts w:ascii="Times New Roman" w:hAnsi="Times New Roman" w:cs="Times New Roman"/>
          <w:color w:val="auto"/>
          <w:sz w:val="44"/>
        </w:rPr>
      </w:pPr>
    </w:p>
    <w:p>
      <w:pPr>
        <w:pStyle w:val="20"/>
        <w:ind w:firstLine="1320" w:firstLineChars="300"/>
        <w:rPr>
          <w:rFonts w:ascii="Times New Roman" w:hAnsi="Times New Roman" w:cs="Times New Roman"/>
          <w:color w:val="auto"/>
          <w:sz w:val="44"/>
        </w:rPr>
      </w:pPr>
    </w:p>
    <w:p>
      <w:pPr>
        <w:pStyle w:val="20"/>
        <w:ind w:firstLine="1320" w:firstLineChars="300"/>
        <w:rPr>
          <w:rFonts w:ascii="Times New Roman" w:hAnsi="Times New Roman" w:cs="Times New Roman"/>
          <w:color w:val="auto"/>
          <w:sz w:val="44"/>
        </w:rPr>
      </w:pPr>
    </w:p>
    <w:p>
      <w:pPr>
        <w:pStyle w:val="20"/>
        <w:ind w:firstLine="1320" w:firstLineChars="300"/>
        <w:rPr>
          <w:rFonts w:ascii="Times New Roman" w:hAnsi="Times New Roman" w:cs="Times New Roman"/>
          <w:color w:val="auto"/>
          <w:sz w:val="44"/>
        </w:rPr>
      </w:pPr>
    </w:p>
    <w:p>
      <w:pPr>
        <w:pStyle w:val="20"/>
        <w:ind w:firstLine="1320" w:firstLineChars="300"/>
        <w:rPr>
          <w:rFonts w:ascii="Times New Roman" w:hAnsi="Times New Roman" w:cs="Times New Roman"/>
          <w:color w:val="auto"/>
          <w:sz w:val="44"/>
        </w:rPr>
      </w:pPr>
    </w:p>
    <w:p>
      <w:pPr>
        <w:pStyle w:val="20"/>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20"/>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20"/>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20"/>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20"/>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20"/>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20"/>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20"/>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20"/>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20"/>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20"/>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20"/>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20"/>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20"/>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20"/>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20"/>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20"/>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20"/>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20"/>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20"/>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20"/>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20"/>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20"/>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20"/>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20"/>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color w:val="auto"/>
          <w:sz w:val="24"/>
        </w:rPr>
      </w:pPr>
      <w:r>
        <w:rPr>
          <w:color w:val="auto"/>
          <w:sz w:val="24"/>
        </w:rPr>
        <w:t>项目名称：</w:t>
      </w:r>
    </w:p>
    <w:tbl>
      <w:tblPr>
        <w:tblStyle w:val="33"/>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825"/>
        <w:gridCol w:w="1404"/>
        <w:gridCol w:w="1824"/>
        <w:gridCol w:w="3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1034" w:type="dxa"/>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1825" w:type="dxa"/>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项目名称</w:t>
            </w:r>
          </w:p>
        </w:tc>
        <w:tc>
          <w:tcPr>
            <w:tcW w:w="1404" w:type="dxa"/>
            <w:tcBorders>
              <w:bottom w:val="single" w:color="auto" w:sz="4" w:space="0"/>
            </w:tcBorders>
            <w:vAlign w:val="center"/>
          </w:tcPr>
          <w:p>
            <w:pPr>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单位</w:t>
            </w:r>
          </w:p>
        </w:tc>
        <w:tc>
          <w:tcPr>
            <w:tcW w:w="1824" w:type="dxa"/>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报价：（元）</w:t>
            </w:r>
          </w:p>
        </w:tc>
        <w:tc>
          <w:tcPr>
            <w:tcW w:w="3277" w:type="dxa"/>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034" w:type="dxa"/>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825" w:type="dxa"/>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人工</w:t>
            </w:r>
          </w:p>
        </w:tc>
        <w:tc>
          <w:tcPr>
            <w:tcW w:w="1404" w:type="dxa"/>
            <w:tcBorders>
              <w:bottom w:val="single" w:color="auto" w:sz="4" w:space="0"/>
            </w:tcBorders>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月</w:t>
            </w:r>
          </w:p>
        </w:tc>
        <w:tc>
          <w:tcPr>
            <w:tcW w:w="1824" w:type="dxa"/>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5600</w:t>
            </w:r>
          </w:p>
        </w:tc>
        <w:tc>
          <w:tcPr>
            <w:tcW w:w="3277" w:type="dxa"/>
            <w:vAlign w:val="center"/>
          </w:tcPr>
          <w:p>
            <w:pPr>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供应商需在本单位正常开馆阶段派两人驻服务区域，进行有害生物消杀工作，考勤纳入物业管理。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034" w:type="dxa"/>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825" w:type="dxa"/>
            <w:vAlign w:val="center"/>
          </w:tcPr>
          <w:p>
            <w:pPr>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杂费</w:t>
            </w:r>
          </w:p>
        </w:tc>
        <w:tc>
          <w:tcPr>
            <w:tcW w:w="1404" w:type="dxa"/>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月</w:t>
            </w:r>
          </w:p>
        </w:tc>
        <w:tc>
          <w:tcPr>
            <w:tcW w:w="1824" w:type="dxa"/>
            <w:vAlign w:val="center"/>
          </w:tcPr>
          <w:p>
            <w:pPr>
              <w:jc w:val="both"/>
              <w:rPr>
                <w:rFonts w:hint="eastAsia" w:ascii="宋体" w:hAnsi="宋体" w:eastAsia="宋体" w:cs="宋体"/>
                <w:color w:val="auto"/>
                <w:sz w:val="24"/>
                <w:szCs w:val="24"/>
                <w:lang w:val="en-US" w:eastAsia="zh-CN"/>
              </w:rPr>
            </w:pPr>
          </w:p>
        </w:tc>
        <w:tc>
          <w:tcPr>
            <w:tcW w:w="3277" w:type="dxa"/>
            <w:vAlign w:val="center"/>
          </w:tcPr>
          <w:p>
            <w:pPr>
              <w:jc w:val="both"/>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034" w:type="dxa"/>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825" w:type="dxa"/>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材料</w:t>
            </w:r>
          </w:p>
        </w:tc>
        <w:tc>
          <w:tcPr>
            <w:tcW w:w="1404" w:type="dxa"/>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月</w:t>
            </w:r>
          </w:p>
        </w:tc>
        <w:tc>
          <w:tcPr>
            <w:tcW w:w="1824" w:type="dxa"/>
            <w:vAlign w:val="center"/>
          </w:tcPr>
          <w:p>
            <w:pPr>
              <w:jc w:val="both"/>
              <w:rPr>
                <w:rFonts w:hint="eastAsia" w:ascii="宋体" w:hAnsi="宋体" w:eastAsia="宋体" w:cs="宋体"/>
                <w:color w:val="auto"/>
                <w:sz w:val="24"/>
                <w:szCs w:val="24"/>
                <w:lang w:val="en-US" w:eastAsia="zh-CN"/>
              </w:rPr>
            </w:pPr>
          </w:p>
        </w:tc>
        <w:tc>
          <w:tcPr>
            <w:tcW w:w="3277" w:type="dxa"/>
            <w:vAlign w:val="center"/>
          </w:tcPr>
          <w:p>
            <w:pPr>
              <w:jc w:val="both"/>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034" w:type="dxa"/>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825" w:type="dxa"/>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税额</w:t>
            </w:r>
          </w:p>
        </w:tc>
        <w:tc>
          <w:tcPr>
            <w:tcW w:w="1404" w:type="dxa"/>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月</w:t>
            </w:r>
          </w:p>
        </w:tc>
        <w:tc>
          <w:tcPr>
            <w:tcW w:w="1824" w:type="dxa"/>
            <w:vAlign w:val="center"/>
          </w:tcPr>
          <w:p>
            <w:pPr>
              <w:jc w:val="both"/>
              <w:rPr>
                <w:rFonts w:hint="eastAsia" w:ascii="宋体" w:hAnsi="宋体" w:eastAsia="宋体" w:cs="宋体"/>
                <w:color w:val="auto"/>
                <w:sz w:val="24"/>
                <w:szCs w:val="24"/>
                <w:lang w:val="en-US" w:eastAsia="zh-CN"/>
              </w:rPr>
            </w:pPr>
          </w:p>
        </w:tc>
        <w:tc>
          <w:tcPr>
            <w:tcW w:w="3277" w:type="dxa"/>
            <w:vAlign w:val="center"/>
          </w:tcPr>
          <w:p>
            <w:pPr>
              <w:jc w:val="both"/>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34" w:type="dxa"/>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825" w:type="dxa"/>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利润</w:t>
            </w:r>
          </w:p>
        </w:tc>
        <w:tc>
          <w:tcPr>
            <w:tcW w:w="1404" w:type="dxa"/>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月</w:t>
            </w:r>
          </w:p>
        </w:tc>
        <w:tc>
          <w:tcPr>
            <w:tcW w:w="1824" w:type="dxa"/>
            <w:vAlign w:val="center"/>
          </w:tcPr>
          <w:p>
            <w:pPr>
              <w:jc w:val="both"/>
              <w:rPr>
                <w:rFonts w:hint="eastAsia" w:ascii="宋体" w:hAnsi="宋体" w:eastAsia="宋体" w:cs="宋体"/>
                <w:color w:val="auto"/>
                <w:sz w:val="24"/>
                <w:szCs w:val="24"/>
                <w:lang w:val="en-US" w:eastAsia="zh-CN"/>
              </w:rPr>
            </w:pPr>
          </w:p>
        </w:tc>
        <w:tc>
          <w:tcPr>
            <w:tcW w:w="3277" w:type="dxa"/>
            <w:vAlign w:val="center"/>
          </w:tcPr>
          <w:p>
            <w:pPr>
              <w:jc w:val="both"/>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4263" w:type="dxa"/>
            <w:gridSpan w:val="3"/>
            <w:vAlign w:val="center"/>
          </w:tcPr>
          <w:p>
            <w:pPr>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备注：</w:t>
            </w:r>
            <w:r>
              <w:rPr>
                <w:rFonts w:hint="eastAsia" w:ascii="宋体" w:hAnsi="宋体" w:eastAsia="宋体" w:cs="宋体"/>
                <w:bCs/>
                <w:color w:val="auto"/>
                <w:sz w:val="24"/>
                <w:szCs w:val="24"/>
              </w:rPr>
              <w:t>湖北省博物馆</w:t>
            </w:r>
            <w:r>
              <w:rPr>
                <w:rFonts w:hint="eastAsia" w:ascii="宋体" w:hAnsi="宋体" w:eastAsia="宋体" w:cs="宋体"/>
                <w:color w:val="auto"/>
                <w:sz w:val="24"/>
                <w:szCs w:val="24"/>
                <w:lang w:val="en-US" w:eastAsia="zh-CN"/>
              </w:rPr>
              <w:t>场馆及公共区域：综合馆、编钟馆、楚文化馆、馆区内公共区域（49611平米）及设备楼（7200平米）和三中心（12000平米）</w:t>
            </w:r>
            <w:r>
              <w:rPr>
                <w:rFonts w:hint="eastAsia" w:ascii="宋体" w:hAnsi="宋体" w:cs="宋体"/>
                <w:color w:val="auto"/>
                <w:sz w:val="24"/>
                <w:szCs w:val="24"/>
                <w:lang w:val="en-US" w:eastAsia="zh-CN"/>
              </w:rPr>
              <w:t>、武警宿舍（1750平米）。</w:t>
            </w:r>
          </w:p>
        </w:tc>
        <w:tc>
          <w:tcPr>
            <w:tcW w:w="5101" w:type="dxa"/>
            <w:gridSpan w:val="2"/>
            <w:vAlign w:val="center"/>
          </w:tcPr>
          <w:p>
            <w:pPr>
              <w:numPr>
                <w:numId w:val="0"/>
              </w:numPr>
              <w:spacing w:line="0" w:lineRule="atLeast"/>
              <w:rPr>
                <w:color w:val="auto"/>
                <w:sz w:val="24"/>
                <w:szCs w:val="24"/>
              </w:rPr>
            </w:pPr>
            <w:r>
              <w:rPr>
                <w:rFonts w:hint="eastAsia" w:ascii="宋体" w:hAnsi="宋体" w:cs="宋体"/>
                <w:color w:val="auto"/>
                <w:sz w:val="24"/>
                <w:szCs w:val="24"/>
                <w:lang w:val="en-US" w:eastAsia="zh-CN"/>
              </w:rPr>
              <w:t>供应商一个月内需两次对服务区域进行防虫灭鼠、环境治理防治工作，每次由甲方项目负责人验收签字认可方可计入最终结算，项目完成总验收合格后一次性支付所有费用。</w:t>
            </w:r>
          </w:p>
          <w:p>
            <w:pPr>
              <w:jc w:val="both"/>
              <w:rPr>
                <w:rFonts w:hint="eastAsia" w:ascii="宋体" w:hAnsi="宋体" w:eastAsia="宋体" w:cs="宋体"/>
                <w:color w:val="auto"/>
                <w:sz w:val="24"/>
                <w:szCs w:val="24"/>
                <w:lang w:val="en-US" w:eastAsia="zh-CN"/>
              </w:rPr>
            </w:pPr>
          </w:p>
        </w:tc>
      </w:tr>
    </w:tbl>
    <w:p>
      <w:pPr>
        <w:pStyle w:val="2"/>
        <w:rPr>
          <w:color w:val="auto"/>
        </w:rPr>
      </w:pPr>
    </w:p>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20"/>
        <w:spacing w:line="500" w:lineRule="exact"/>
        <w:rPr>
          <w:rFonts w:ascii="Times New Roman" w:hAnsi="Times New Roman" w:cs="Times New Roman"/>
          <w:color w:val="auto"/>
          <w:sz w:val="24"/>
          <w:szCs w:val="24"/>
        </w:rPr>
      </w:pPr>
    </w:p>
    <w:p>
      <w:pPr>
        <w:pStyle w:val="20"/>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20"/>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20"/>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20"/>
        <w:spacing w:line="440" w:lineRule="exact"/>
        <w:ind w:firstLine="840"/>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3"/>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20"/>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20"/>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4"/>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20"/>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20"/>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8"/>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20"/>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framePr w:wrap="around" w:vAnchor="text" w:hAnchor="margin" w:xAlign="right" w:y="1"/>
      <w:rPr>
        <w:rStyle w:val="29"/>
      </w:rPr>
    </w:pPr>
    <w:r>
      <w:rPr>
        <w:rStyle w:val="29"/>
      </w:rPr>
      <w:fldChar w:fldCharType="begin"/>
    </w:r>
    <w:r>
      <w:rPr>
        <w:rStyle w:val="29"/>
      </w:rPr>
      <w:instrText xml:space="preserve">PAGE  </w:instrText>
    </w:r>
    <w:r>
      <w:rPr>
        <w:rStyle w:val="29"/>
      </w:rP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94967177">
    <w:nsid w:val="FFFFFF89"/>
    <w:multiLevelType w:val="singleLevel"/>
    <w:tmpl w:val="FFFFFF89"/>
    <w:lvl w:ilvl="0" w:tentative="1">
      <w:start w:val="1"/>
      <w:numFmt w:val="bullet"/>
      <w:pStyle w:val="15"/>
      <w:lvlText w:val=""/>
      <w:lvlJc w:val="left"/>
      <w:pPr>
        <w:tabs>
          <w:tab w:val="left" w:pos="360"/>
        </w:tabs>
        <w:ind w:left="360" w:hanging="360" w:hangingChars="200"/>
      </w:pPr>
      <w:rPr>
        <w:rFonts w:hint="default" w:ascii="Wingdings" w:hAnsi="Wingdings"/>
      </w:rPr>
    </w:lvl>
  </w:abstractNum>
  <w:abstractNum w:abstractNumId="1170484378">
    <w:nsid w:val="45C42C9A"/>
    <w:multiLevelType w:val="multilevel"/>
    <w:tmpl w:val="45C42C9A"/>
    <w:lvl w:ilvl="0" w:tentative="1">
      <w:start w:val="1"/>
      <w:numFmt w:val="decimal"/>
      <w:pStyle w:val="3"/>
      <w:lvlText w:val="%1"/>
      <w:lvlJc w:val="left"/>
      <w:pPr>
        <w:tabs>
          <w:tab w:val="left" w:pos="432"/>
        </w:tabs>
        <w:ind w:left="432" w:hanging="432"/>
      </w:pPr>
    </w:lvl>
    <w:lvl w:ilvl="1" w:tentative="1">
      <w:start w:val="1"/>
      <w:numFmt w:val="decimal"/>
      <w:pStyle w:val="4"/>
      <w:lvlText w:val="%1.%2"/>
      <w:lvlJc w:val="left"/>
      <w:pPr>
        <w:tabs>
          <w:tab w:val="left" w:pos="576"/>
        </w:tabs>
        <w:ind w:left="576" w:hanging="576"/>
      </w:pPr>
    </w:lvl>
    <w:lvl w:ilvl="2" w:tentative="1">
      <w:start w:val="1"/>
      <w:numFmt w:val="decimal"/>
      <w:pStyle w:val="5"/>
      <w:lvlText w:val="%1.%2.%3"/>
      <w:lvlJc w:val="left"/>
      <w:pPr>
        <w:tabs>
          <w:tab w:val="left" w:pos="1260"/>
        </w:tabs>
        <w:ind w:left="1260" w:hanging="720"/>
      </w:pPr>
    </w:lvl>
    <w:lvl w:ilvl="3" w:tentative="1">
      <w:start w:val="1"/>
      <w:numFmt w:val="decimal"/>
      <w:pStyle w:val="6"/>
      <w:lvlText w:val="%1.%2.%3.%4"/>
      <w:lvlJc w:val="left"/>
      <w:pPr>
        <w:tabs>
          <w:tab w:val="left" w:pos="864"/>
        </w:tabs>
        <w:ind w:left="864" w:hanging="864"/>
      </w:pPr>
    </w:lvl>
    <w:lvl w:ilvl="4" w:tentative="1">
      <w:start w:val="1"/>
      <w:numFmt w:val="decimal"/>
      <w:pStyle w:val="7"/>
      <w:lvlText w:val="%1.%2.%3.%4.%5"/>
      <w:lvlJc w:val="left"/>
      <w:pPr>
        <w:tabs>
          <w:tab w:val="left" w:pos="1008"/>
        </w:tabs>
        <w:ind w:left="1008" w:hanging="1008"/>
      </w:pPr>
    </w:lvl>
    <w:lvl w:ilvl="5" w:tentative="1">
      <w:start w:val="1"/>
      <w:numFmt w:val="decimal"/>
      <w:pStyle w:val="8"/>
      <w:lvlText w:val="%1.%2.%3.%4.%5.%6"/>
      <w:lvlJc w:val="left"/>
      <w:pPr>
        <w:tabs>
          <w:tab w:val="left" w:pos="1152"/>
        </w:tabs>
        <w:ind w:left="1152" w:hanging="1152"/>
      </w:pPr>
    </w:lvl>
    <w:lvl w:ilvl="6" w:tentative="1">
      <w:start w:val="1"/>
      <w:numFmt w:val="decimal"/>
      <w:pStyle w:val="9"/>
      <w:lvlText w:val="%1.%2.%3.%4.%5.%6.%7"/>
      <w:lvlJc w:val="left"/>
      <w:pPr>
        <w:tabs>
          <w:tab w:val="left" w:pos="1296"/>
        </w:tabs>
        <w:ind w:left="1296" w:hanging="1296"/>
      </w:pPr>
    </w:lvl>
    <w:lvl w:ilvl="7" w:tentative="1">
      <w:start w:val="1"/>
      <w:numFmt w:val="decimal"/>
      <w:pStyle w:val="10"/>
      <w:lvlText w:val="%1.%2.%3.%4.%5.%6.%7.%8"/>
      <w:lvlJc w:val="left"/>
      <w:pPr>
        <w:tabs>
          <w:tab w:val="left" w:pos="1440"/>
        </w:tabs>
        <w:ind w:left="1440" w:hanging="1440"/>
      </w:pPr>
    </w:lvl>
    <w:lvl w:ilvl="8" w:tentative="1">
      <w:start w:val="1"/>
      <w:numFmt w:val="decimal"/>
      <w:pStyle w:val="11"/>
      <w:lvlText w:val="%1.%2.%3.%4.%5.%6.%7.%8.%9"/>
      <w:lvlJc w:val="left"/>
      <w:pPr>
        <w:tabs>
          <w:tab w:val="left" w:pos="1584"/>
        </w:tabs>
        <w:ind w:left="1584" w:hanging="1584"/>
      </w:p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33BA5A6A"/>
    <w:rsid w:val="52266AD6"/>
    <w:rsid w:val="56060974"/>
    <w:rsid w:val="62301B6F"/>
    <w:rsid w:val="629F7FE0"/>
    <w:rsid w:val="70F24F4E"/>
    <w:rsid w:val="75AF05E7"/>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5">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6">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7">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8">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9">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10">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1">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8">
    <w:name w:val="Default Paragraph Font"/>
    <w:unhideWhenUsed/>
    <w:qFormat/>
    <w:uiPriority w:val="1"/>
  </w:style>
  <w:style w:type="table" w:default="1" w:styleId="33">
    <w:name w:val="Normal Table"/>
    <w:unhideWhenUsed/>
    <w:qFormat/>
    <w:uiPriority w:val="99"/>
    <w:tblPr>
      <w:tblStyle w:val="33"/>
      <w:tblLayout w:type="fixed"/>
      <w:tblCellMar>
        <w:top w:w="0" w:type="dxa"/>
        <w:left w:w="108" w:type="dxa"/>
        <w:bottom w:w="0" w:type="dxa"/>
        <w:right w:w="108" w:type="dxa"/>
      </w:tblCellMar>
    </w:tblPr>
    <w:tcPr>
      <w:textDirection w:val="lrTb"/>
    </w:tc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12">
    <w:name w:val="annotation subject"/>
    <w:basedOn w:val="13"/>
    <w:next w:val="13"/>
    <w:link w:val="107"/>
    <w:unhideWhenUsed/>
    <w:qFormat/>
    <w:uiPriority w:val="99"/>
    <w:rPr>
      <w:rFonts w:ascii="Times New Roman" w:hAnsi="Times New Roman" w:eastAsia="宋体" w:cs="Times New Roman"/>
      <w:b/>
      <w:bCs/>
      <w:szCs w:val="24"/>
    </w:rPr>
  </w:style>
  <w:style w:type="paragraph" w:styleId="13">
    <w:name w:val="annotation text"/>
    <w:basedOn w:val="1"/>
    <w:link w:val="97"/>
    <w:uiPriority w:val="0"/>
    <w:pPr>
      <w:jc w:val="left"/>
    </w:pPr>
    <w:rPr>
      <w:rFonts w:ascii="Calibri" w:hAnsi="Calibri" w:eastAsia="宋体" w:cs="黑体"/>
      <w:szCs w:val="22"/>
    </w:rPr>
  </w:style>
  <w:style w:type="paragraph" w:styleId="14">
    <w:name w:val="Normal Indent"/>
    <w:basedOn w:val="1"/>
    <w:link w:val="98"/>
    <w:qFormat/>
    <w:uiPriority w:val="0"/>
    <w:pPr>
      <w:ind w:firstLine="420"/>
    </w:pPr>
    <w:rPr>
      <w:rFonts w:ascii="Calibri" w:hAnsi="Calibri" w:eastAsia="宋体" w:cs="黑体"/>
      <w:sz w:val="21"/>
      <w:szCs w:val="22"/>
    </w:rPr>
  </w:style>
  <w:style w:type="paragraph" w:styleId="15">
    <w:name w:val="List Bullet"/>
    <w:basedOn w:val="1"/>
    <w:qFormat/>
    <w:uiPriority w:val="0"/>
    <w:pPr>
      <w:numPr>
        <w:ilvl w:val="0"/>
        <w:numId w:val="2"/>
      </w:numPr>
    </w:pPr>
    <w:rPr>
      <w:sz w:val="21"/>
    </w:rPr>
  </w:style>
  <w:style w:type="paragraph" w:styleId="16">
    <w:name w:val="Document Map"/>
    <w:basedOn w:val="1"/>
    <w:link w:val="96"/>
    <w:semiHidden/>
    <w:qFormat/>
    <w:uiPriority w:val="0"/>
    <w:rPr>
      <w:rFonts w:ascii="Heiti SC Light" w:hAnsi="Calibri" w:eastAsia="Times New Roman"/>
      <w:sz w:val="24"/>
    </w:rPr>
  </w:style>
  <w:style w:type="paragraph" w:styleId="17">
    <w:name w:val="Body Text"/>
    <w:basedOn w:val="1"/>
    <w:link w:val="101"/>
    <w:uiPriority w:val="0"/>
    <w:pPr>
      <w:spacing w:line="420" w:lineRule="auto"/>
    </w:pPr>
    <w:rPr>
      <w:sz w:val="24"/>
    </w:rPr>
  </w:style>
  <w:style w:type="paragraph" w:styleId="18">
    <w:name w:val="Body Text Indent"/>
    <w:basedOn w:val="1"/>
    <w:link w:val="85"/>
    <w:qFormat/>
    <w:uiPriority w:val="0"/>
    <w:pPr>
      <w:ind w:firstLine="600"/>
    </w:pPr>
    <w:rPr>
      <w:sz w:val="32"/>
      <w:szCs w:val="20"/>
    </w:rPr>
  </w:style>
  <w:style w:type="paragraph" w:styleId="19">
    <w:name w:val="toc 3"/>
    <w:basedOn w:val="1"/>
    <w:next w:val="1"/>
    <w:qFormat/>
    <w:uiPriority w:val="0"/>
    <w:pPr>
      <w:ind w:left="840" w:leftChars="400"/>
    </w:pPr>
    <w:rPr>
      <w:sz w:val="21"/>
    </w:rPr>
  </w:style>
  <w:style w:type="paragraph" w:styleId="20">
    <w:name w:val="Plain Text"/>
    <w:basedOn w:val="1"/>
    <w:link w:val="84"/>
    <w:qFormat/>
    <w:uiPriority w:val="0"/>
    <w:rPr>
      <w:rFonts w:ascii="宋体" w:hAnsi="Courier New" w:cs="Courier New"/>
      <w:sz w:val="21"/>
      <w:szCs w:val="21"/>
    </w:rPr>
  </w:style>
  <w:style w:type="paragraph" w:styleId="21">
    <w:name w:val="Balloon Text"/>
    <w:basedOn w:val="1"/>
    <w:link w:val="86"/>
    <w:unhideWhenUsed/>
    <w:qFormat/>
    <w:uiPriority w:val="0"/>
    <w:rPr>
      <w:sz w:val="18"/>
      <w:szCs w:val="18"/>
    </w:rPr>
  </w:style>
  <w:style w:type="paragraph" w:styleId="22">
    <w:name w:val="footer"/>
    <w:basedOn w:val="1"/>
    <w:link w:val="83"/>
    <w:qFormat/>
    <w:uiPriority w:val="99"/>
    <w:pPr>
      <w:tabs>
        <w:tab w:val="center" w:pos="4153"/>
        <w:tab w:val="right" w:pos="8306"/>
      </w:tabs>
      <w:snapToGrid w:val="0"/>
      <w:jc w:val="left"/>
    </w:pPr>
    <w:rPr>
      <w:sz w:val="18"/>
      <w:szCs w:val="18"/>
    </w:rPr>
  </w:style>
  <w:style w:type="paragraph" w:styleId="23">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rPr>
      <w:sz w:val="21"/>
    </w:rPr>
  </w:style>
  <w:style w:type="paragraph" w:styleId="25">
    <w:name w:val="Body Text Indent 3"/>
    <w:basedOn w:val="1"/>
    <w:link w:val="103"/>
    <w:uiPriority w:val="0"/>
    <w:pPr>
      <w:spacing w:after="120"/>
      <w:ind w:left="420" w:leftChars="200"/>
    </w:pPr>
    <w:rPr>
      <w:sz w:val="16"/>
      <w:szCs w:val="16"/>
    </w:rPr>
  </w:style>
  <w:style w:type="paragraph" w:styleId="26">
    <w:name w:val="Normal (Web)"/>
    <w:basedOn w:val="1"/>
    <w:qFormat/>
    <w:uiPriority w:val="0"/>
    <w:rPr>
      <w:sz w:val="24"/>
      <w:szCs w:val="20"/>
    </w:rPr>
  </w:style>
  <w:style w:type="paragraph" w:styleId="27">
    <w:name w:val="Title"/>
    <w:basedOn w:val="1"/>
    <w:next w:val="1"/>
    <w:link w:val="104"/>
    <w:qFormat/>
    <w:uiPriority w:val="0"/>
    <w:pPr>
      <w:spacing w:before="240" w:after="60"/>
      <w:jc w:val="center"/>
      <w:outlineLvl w:val="0"/>
    </w:pPr>
    <w:rPr>
      <w:rFonts w:ascii="Cambria" w:hAnsi="Cambria"/>
      <w:b/>
      <w:bCs/>
      <w:sz w:val="32"/>
      <w:szCs w:val="32"/>
    </w:rPr>
  </w:style>
  <w:style w:type="character" w:styleId="29">
    <w:name w:val="page number"/>
    <w:qFormat/>
    <w:uiPriority w:val="0"/>
  </w:style>
  <w:style w:type="character" w:styleId="30">
    <w:name w:val="FollowedHyperlink"/>
    <w:qFormat/>
    <w:uiPriority w:val="99"/>
    <w:rPr>
      <w:color w:val="800080"/>
      <w:u w:val="single"/>
    </w:rPr>
  </w:style>
  <w:style w:type="character" w:styleId="31">
    <w:name w:val="Hyperlink"/>
    <w:uiPriority w:val="99"/>
    <w:rPr>
      <w:color w:val="0000FF"/>
      <w:u w:val="single"/>
    </w:rPr>
  </w:style>
  <w:style w:type="character" w:styleId="32">
    <w:name w:val="annotation reference"/>
    <w:qFormat/>
    <w:uiPriority w:val="0"/>
    <w:rPr>
      <w:sz w:val="21"/>
    </w:rPr>
  </w:style>
  <w:style w:type="table" w:styleId="34">
    <w:name w:val="Table Grid"/>
    <w:basedOn w:val="33"/>
    <w:qFormat/>
    <w:uiPriority w:val="59"/>
    <w:pPr/>
    <w:rPr>
      <w:rFonts w:ascii="Calibri" w:hAnsi="Calibri" w:eastAsia="宋体" w:cs="Times New Roman"/>
      <w:kern w:val="0"/>
      <w:sz w:val="20"/>
      <w:szCs w:val="20"/>
    </w:rPr>
    <w:tblPr>
      <w:tblStyle w:val="3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5">
    <w:name w:val="List Paragraph"/>
    <w:basedOn w:val="1"/>
    <w:qFormat/>
    <w:uiPriority w:val="0"/>
    <w:pPr>
      <w:ind w:firstLine="420" w:firstLineChars="200"/>
    </w:pPr>
  </w:style>
  <w:style w:type="paragraph" w:customStyle="1" w:styleId="36">
    <w:name w:val="列出段落1"/>
    <w:basedOn w:val="1"/>
    <w:uiPriority w:val="0"/>
    <w:pPr>
      <w:ind w:firstLine="420" w:firstLineChars="200"/>
    </w:pPr>
    <w:rPr>
      <w:rFonts w:ascii="Calibri" w:hAnsi="Calibri"/>
      <w:sz w:val="21"/>
      <w:szCs w:val="22"/>
    </w:rPr>
  </w:style>
  <w:style w:type="paragraph" w:customStyle="1" w:styleId="3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Char Char"/>
    <w:basedOn w:val="1"/>
    <w:qFormat/>
    <w:uiPriority w:val="0"/>
    <w:rPr>
      <w:rFonts w:ascii="Tahoma" w:hAnsi="Tahoma"/>
      <w:sz w:val="24"/>
      <w:szCs w:val="20"/>
    </w:rPr>
  </w:style>
  <w:style w:type="paragraph" w:customStyle="1" w:styleId="39">
    <w:name w:val="大汉方案正文"/>
    <w:basedOn w:val="1"/>
    <w:qFormat/>
    <w:uiPriority w:val="0"/>
    <w:pPr>
      <w:spacing w:line="360" w:lineRule="auto"/>
      <w:ind w:firstLine="200" w:firstLineChars="200"/>
    </w:pPr>
    <w:rPr>
      <w:rFonts w:ascii="Arial" w:hAnsi="Arial"/>
      <w:sz w:val="24"/>
      <w:szCs w:val="20"/>
    </w:rPr>
  </w:style>
  <w:style w:type="paragraph" w:customStyle="1" w:styleId="40">
    <w:name w:val="retrait3"/>
    <w:basedOn w:val="1"/>
    <w:uiPriority w:val="0"/>
    <w:pPr>
      <w:widowControl/>
      <w:spacing w:before="20" w:after="20"/>
      <w:ind w:left="851"/>
      <w:jc w:val="left"/>
    </w:pPr>
    <w:rPr>
      <w:rFonts w:ascii="Arial" w:hAnsi="Arial"/>
      <w:kern w:val="0"/>
      <w:sz w:val="24"/>
      <w:szCs w:val="20"/>
    </w:rPr>
  </w:style>
  <w:style w:type="paragraph" w:customStyle="1" w:styleId="41">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8"/>
    <w:link w:val="22"/>
    <w:qFormat/>
    <w:uiPriority w:val="99"/>
    <w:rPr>
      <w:rFonts w:ascii="Times New Roman" w:hAnsi="Times New Roman" w:eastAsia="宋体" w:cs="Times New Roman"/>
      <w:sz w:val="18"/>
      <w:szCs w:val="18"/>
    </w:rPr>
  </w:style>
  <w:style w:type="character" w:customStyle="1" w:styleId="84">
    <w:name w:val="纯文本 Char"/>
    <w:basedOn w:val="28"/>
    <w:link w:val="20"/>
    <w:qFormat/>
    <w:uiPriority w:val="0"/>
    <w:rPr>
      <w:rFonts w:ascii="宋体" w:hAnsi="Courier New" w:eastAsia="宋体" w:cs="Courier New"/>
      <w:szCs w:val="21"/>
    </w:rPr>
  </w:style>
  <w:style w:type="character" w:customStyle="1" w:styleId="85">
    <w:name w:val="正文文本缩进 Char"/>
    <w:basedOn w:val="28"/>
    <w:link w:val="18"/>
    <w:qFormat/>
    <w:uiPriority w:val="0"/>
    <w:rPr>
      <w:rFonts w:ascii="Times New Roman" w:hAnsi="Times New Roman" w:eastAsia="宋体" w:cs="Times New Roman"/>
      <w:sz w:val="32"/>
      <w:szCs w:val="20"/>
    </w:rPr>
  </w:style>
  <w:style w:type="character" w:customStyle="1" w:styleId="86">
    <w:name w:val="批注框文本 Char"/>
    <w:basedOn w:val="28"/>
    <w:link w:val="21"/>
    <w:uiPriority w:val="0"/>
    <w:rPr>
      <w:rFonts w:ascii="Times New Roman" w:hAnsi="Times New Roman" w:eastAsia="宋体" w:cs="Times New Roman"/>
      <w:sz w:val="18"/>
      <w:szCs w:val="18"/>
    </w:rPr>
  </w:style>
  <w:style w:type="character" w:customStyle="1" w:styleId="87">
    <w:name w:val="标题 1 Char"/>
    <w:basedOn w:val="28"/>
    <w:link w:val="3"/>
    <w:uiPriority w:val="0"/>
    <w:rPr>
      <w:rFonts w:ascii="Calibri" w:hAnsi="Calibri" w:eastAsia="仿宋" w:cs="Times New Roman"/>
      <w:b/>
      <w:bCs/>
      <w:kern w:val="44"/>
      <w:sz w:val="30"/>
      <w:szCs w:val="44"/>
    </w:rPr>
  </w:style>
  <w:style w:type="character" w:customStyle="1" w:styleId="88">
    <w:name w:val="标题 2 Char"/>
    <w:basedOn w:val="28"/>
    <w:link w:val="4"/>
    <w:uiPriority w:val="0"/>
    <w:rPr>
      <w:rFonts w:ascii="Cambria" w:hAnsi="Cambria" w:eastAsia="宋体" w:cs="Times New Roman"/>
      <w:b/>
      <w:bCs/>
      <w:sz w:val="28"/>
      <w:szCs w:val="32"/>
    </w:rPr>
  </w:style>
  <w:style w:type="character" w:customStyle="1" w:styleId="89">
    <w:name w:val="标题 3 Char"/>
    <w:basedOn w:val="28"/>
    <w:link w:val="5"/>
    <w:uiPriority w:val="0"/>
    <w:rPr>
      <w:rFonts w:ascii="Calibri" w:hAnsi="Calibri" w:eastAsia="宋体" w:cs="Times New Roman"/>
      <w:b/>
      <w:bCs/>
      <w:sz w:val="32"/>
      <w:szCs w:val="32"/>
    </w:rPr>
  </w:style>
  <w:style w:type="character" w:customStyle="1" w:styleId="90">
    <w:name w:val="标题 4 Char"/>
    <w:basedOn w:val="28"/>
    <w:link w:val="6"/>
    <w:uiPriority w:val="0"/>
    <w:rPr>
      <w:rFonts w:ascii="Cambria" w:hAnsi="Cambria" w:eastAsia="宋体" w:cs="Times New Roman"/>
      <w:b/>
      <w:bCs/>
      <w:sz w:val="28"/>
      <w:szCs w:val="28"/>
    </w:rPr>
  </w:style>
  <w:style w:type="character" w:customStyle="1" w:styleId="91">
    <w:name w:val="标题 5 Char"/>
    <w:basedOn w:val="28"/>
    <w:link w:val="7"/>
    <w:uiPriority w:val="0"/>
    <w:rPr>
      <w:rFonts w:ascii="Times New Roman" w:hAnsi="Times New Roman" w:eastAsia="宋体" w:cs="Times New Roman"/>
      <w:b/>
      <w:bCs/>
      <w:kern w:val="0"/>
      <w:sz w:val="28"/>
      <w:szCs w:val="28"/>
    </w:rPr>
  </w:style>
  <w:style w:type="character" w:customStyle="1" w:styleId="92">
    <w:name w:val="标题 6 Char"/>
    <w:basedOn w:val="28"/>
    <w:link w:val="8"/>
    <w:uiPriority w:val="0"/>
    <w:rPr>
      <w:rFonts w:ascii="Arial" w:hAnsi="Arial" w:eastAsia="黑体" w:cs="Times New Roman"/>
      <w:b/>
      <w:bCs/>
      <w:kern w:val="0"/>
      <w:sz w:val="24"/>
      <w:szCs w:val="24"/>
    </w:rPr>
  </w:style>
  <w:style w:type="character" w:customStyle="1" w:styleId="93">
    <w:name w:val="标题 7 Char"/>
    <w:basedOn w:val="28"/>
    <w:link w:val="9"/>
    <w:uiPriority w:val="0"/>
    <w:rPr>
      <w:rFonts w:ascii="Times New Roman" w:hAnsi="Times New Roman" w:eastAsia="宋体" w:cs="Times New Roman"/>
      <w:b/>
      <w:bCs/>
      <w:kern w:val="0"/>
      <w:sz w:val="24"/>
      <w:szCs w:val="24"/>
    </w:rPr>
  </w:style>
  <w:style w:type="character" w:customStyle="1" w:styleId="94">
    <w:name w:val="标题 8 Char"/>
    <w:basedOn w:val="28"/>
    <w:link w:val="10"/>
    <w:uiPriority w:val="0"/>
    <w:rPr>
      <w:rFonts w:ascii="Arial" w:hAnsi="Arial" w:eastAsia="黑体" w:cs="Times New Roman"/>
      <w:kern w:val="0"/>
      <w:sz w:val="24"/>
      <w:szCs w:val="24"/>
    </w:rPr>
  </w:style>
  <w:style w:type="character" w:customStyle="1" w:styleId="95">
    <w:name w:val="标题 9 Char"/>
    <w:basedOn w:val="28"/>
    <w:link w:val="11"/>
    <w:uiPriority w:val="0"/>
    <w:rPr>
      <w:rFonts w:ascii="Arial" w:hAnsi="Arial" w:eastAsia="黑体" w:cs="Times New Roman"/>
      <w:kern w:val="0"/>
      <w:szCs w:val="21"/>
    </w:rPr>
  </w:style>
  <w:style w:type="character" w:customStyle="1" w:styleId="96">
    <w:name w:val="文档结构图 Char"/>
    <w:basedOn w:val="28"/>
    <w:link w:val="16"/>
    <w:semiHidden/>
    <w:qFormat/>
    <w:uiPriority w:val="0"/>
    <w:rPr>
      <w:rFonts w:ascii="Heiti SC Light" w:hAnsi="Calibri" w:eastAsia="Times New Roman" w:cs="Times New Roman"/>
      <w:sz w:val="24"/>
      <w:szCs w:val="24"/>
    </w:rPr>
  </w:style>
  <w:style w:type="character" w:customStyle="1" w:styleId="97">
    <w:name w:val="批注文字 Char"/>
    <w:link w:val="13"/>
    <w:qFormat/>
    <w:uiPriority w:val="0"/>
    <w:rPr>
      <w:sz w:val="28"/>
    </w:rPr>
  </w:style>
  <w:style w:type="character" w:customStyle="1" w:styleId="98">
    <w:name w:val="正文缩进 Char"/>
    <w:link w:val="14"/>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8"/>
    <w:uiPriority w:val="0"/>
    <w:rPr>
      <w:rFonts w:ascii="Times New Roman" w:hAnsi="Times New Roman" w:eastAsia="宋体" w:cs="Times New Roman"/>
      <w:sz w:val="28"/>
      <w:szCs w:val="24"/>
    </w:rPr>
  </w:style>
  <w:style w:type="character" w:customStyle="1" w:styleId="101">
    <w:name w:val="正文文本 Char"/>
    <w:basedOn w:val="28"/>
    <w:link w:val="17"/>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8"/>
    <w:link w:val="25"/>
    <w:uiPriority w:val="0"/>
    <w:rPr>
      <w:rFonts w:ascii="Times New Roman" w:hAnsi="Times New Roman" w:eastAsia="宋体" w:cs="Times New Roman"/>
      <w:sz w:val="16"/>
      <w:szCs w:val="16"/>
    </w:rPr>
  </w:style>
  <w:style w:type="character" w:customStyle="1" w:styleId="104">
    <w:name w:val="标题 Char"/>
    <w:basedOn w:val="28"/>
    <w:link w:val="27"/>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8"/>
    <w:link w:val="23"/>
    <w:uiPriority w:val="0"/>
    <w:rPr>
      <w:rFonts w:ascii="Times New Roman" w:hAnsi="Times New Roman" w:eastAsia="宋体" w:cs="Times New Roman"/>
      <w:sz w:val="18"/>
      <w:szCs w:val="18"/>
    </w:rPr>
  </w:style>
  <w:style w:type="character" w:customStyle="1" w:styleId="107">
    <w:name w:val="批注主题 Char"/>
    <w:basedOn w:val="97"/>
    <w:link w:val="12"/>
    <w:semiHidden/>
    <w:qFormat/>
    <w:uiPriority w:val="99"/>
    <w:rPr>
      <w:rFonts w:ascii="Times New Roman" w:hAnsi="Times New Roman" w:eastAsia="宋体" w:cs="Times New Roman"/>
      <w:b/>
      <w:bCs/>
      <w:szCs w:val="24"/>
    </w:rPr>
  </w:style>
  <w:style w:type="table" w:customStyle="1" w:styleId="108">
    <w:name w:val="网格型1"/>
    <w:basedOn w:val="33"/>
    <w:qFormat/>
    <w:locked/>
    <w:uiPriority w:val="59"/>
    <w:pPr/>
    <w:rPr>
      <w:rFonts w:ascii="Calibri" w:hAnsi="Calibri" w:eastAsia="宋体" w:cs="Calibri"/>
    </w:rPr>
    <w:tblPr>
      <w:tblStyle w:val="3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1524</Words>
  <Characters>8687</Characters>
  <Lines>72</Lines>
  <Paragraphs>20</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2017-03-22T07:05:00Z</cp:lastPrinted>
  <dcterms:modified xsi:type="dcterms:W3CDTF">2021-01-15T07:52:38Z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