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eastAsia="宋体"/>
          <w:color w:val="auto"/>
          <w:sz w:val="44"/>
          <w:lang w:eastAsia="zh-CN"/>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lang w:val="en-US" w:eastAsia="zh-CN"/>
        </w:rPr>
        <w:t>湖北省博物馆编钟馆演奏厅公共照明灯具维修</w:t>
      </w:r>
      <w:r>
        <w:rPr>
          <w:rFonts w:hint="eastAsia"/>
          <w:bCs/>
          <w:color w:val="auto"/>
          <w:sz w:val="32"/>
          <w:szCs w:val="32"/>
        </w:rPr>
        <w:t>项目</w:t>
      </w:r>
    </w:p>
    <w:p>
      <w:pPr>
        <w:spacing w:line="480" w:lineRule="auto"/>
        <w:ind w:left="958" w:leftChars="342"/>
        <w:rPr>
          <w:rFonts w:hint="default" w:eastAsia="宋体"/>
          <w:bCs/>
          <w:color w:val="auto"/>
          <w:sz w:val="32"/>
          <w:szCs w:val="32"/>
          <w:lang w:val="en-US" w:eastAsia="zh-CN"/>
        </w:rPr>
      </w:pPr>
      <w:r>
        <w:rPr>
          <w:rFonts w:hint="eastAsia"/>
          <w:bCs/>
          <w:color w:val="auto"/>
          <w:sz w:val="32"/>
          <w:szCs w:val="32"/>
        </w:rPr>
        <w:t>谈判</w:t>
      </w:r>
      <w:r>
        <w:rPr>
          <w:bCs/>
          <w:color w:val="auto"/>
          <w:sz w:val="32"/>
          <w:szCs w:val="32"/>
        </w:rPr>
        <w:t>内容：</w:t>
      </w:r>
      <w:r>
        <w:rPr>
          <w:rFonts w:hint="eastAsia"/>
          <w:bCs/>
          <w:color w:val="auto"/>
          <w:sz w:val="32"/>
          <w:szCs w:val="32"/>
          <w:lang w:eastAsia="zh-CN"/>
        </w:rPr>
        <w:t>湖北省</w:t>
      </w:r>
      <w:r>
        <w:rPr>
          <w:rFonts w:hint="eastAsia"/>
          <w:bCs/>
          <w:color w:val="auto"/>
          <w:sz w:val="32"/>
          <w:szCs w:val="32"/>
          <w:lang w:val="en-US" w:eastAsia="zh-CN"/>
        </w:rPr>
        <w:t>博物馆编钟馆演奏厅公共照明灯具维修</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1</w:t>
      </w:r>
      <w:r>
        <w:rPr>
          <w:color w:val="auto"/>
          <w:sz w:val="32"/>
          <w:szCs w:val="32"/>
        </w:rPr>
        <w:t>年</w:t>
      </w:r>
      <w:r>
        <w:rPr>
          <w:rFonts w:hint="eastAsia"/>
          <w:color w:val="auto"/>
          <w:sz w:val="32"/>
          <w:szCs w:val="32"/>
          <w:lang w:val="en-US" w:eastAsia="zh-CN"/>
        </w:rPr>
        <w:t>10</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lang w:val="en-US" w:eastAsia="zh-CN"/>
        </w:rPr>
        <w:t>湖北省博物馆编钟馆演奏厅公共照明灯具维修项目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lang w:val="en-US" w:eastAsia="zh-CN"/>
        </w:rPr>
        <w:t>湖北省博物馆编钟馆演奏厅公共照明灯具维修</w:t>
      </w:r>
      <w:r>
        <w:rPr>
          <w:rFonts w:hint="eastAsia"/>
          <w:bCs/>
          <w:color w:val="auto"/>
          <w:sz w:val="24"/>
        </w:rPr>
        <w:t>项目</w:t>
      </w:r>
    </w:p>
    <w:p>
      <w:pPr>
        <w:spacing w:line="440" w:lineRule="exact"/>
        <w:ind w:firstLine="480" w:firstLineChars="200"/>
        <w:rPr>
          <w:bCs/>
          <w:color w:val="auto"/>
          <w:sz w:val="24"/>
        </w:rPr>
      </w:pPr>
      <w:r>
        <w:rPr>
          <w:bCs/>
          <w:color w:val="auto"/>
          <w:sz w:val="24"/>
        </w:rPr>
        <w:t>三、谈判内容：</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2866"/>
        <w:gridCol w:w="631"/>
        <w:gridCol w:w="880"/>
        <w:gridCol w:w="947"/>
        <w:gridCol w:w="936"/>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401" w:type="dxa"/>
            <w:vAlign w:val="center"/>
          </w:tcPr>
          <w:p>
            <w:pPr>
              <w:jc w:val="center"/>
              <w:rPr>
                <w:rFonts w:hint="default" w:ascii="Calibri" w:hAnsi="Calibri" w:eastAsia="宋体" w:cs="黑体"/>
                <w:kern w:val="2"/>
                <w:sz w:val="24"/>
                <w:szCs w:val="32"/>
                <w:lang w:val="en-US" w:eastAsia="zh-CN" w:bidi="ar-SA"/>
              </w:rPr>
            </w:pPr>
            <w:r>
              <w:rPr>
                <w:rFonts w:hint="eastAsia" w:ascii="Calibri" w:hAnsi="Calibri" w:eastAsia="宋体" w:cs="黑体"/>
                <w:kern w:val="2"/>
                <w:sz w:val="24"/>
                <w:szCs w:val="32"/>
                <w:lang w:val="en-US" w:eastAsia="zh-CN" w:bidi="ar-SA"/>
              </w:rPr>
              <w:t>名称</w:t>
            </w:r>
          </w:p>
        </w:tc>
        <w:tc>
          <w:tcPr>
            <w:tcW w:w="2866" w:type="dxa"/>
            <w:vAlign w:val="center"/>
          </w:tcPr>
          <w:p>
            <w:pPr>
              <w:jc w:val="center"/>
              <w:rPr>
                <w:rFonts w:hint="default"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参数</w:t>
            </w:r>
          </w:p>
        </w:tc>
        <w:tc>
          <w:tcPr>
            <w:tcW w:w="631" w:type="dxa"/>
            <w:vAlign w:val="center"/>
          </w:tcPr>
          <w:p>
            <w:pPr>
              <w:jc w:val="center"/>
              <w:rPr>
                <w:rFonts w:hint="eastAsia"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数量</w:t>
            </w:r>
          </w:p>
        </w:tc>
        <w:tc>
          <w:tcPr>
            <w:tcW w:w="880" w:type="dxa"/>
            <w:vAlign w:val="center"/>
          </w:tcPr>
          <w:p>
            <w:pPr>
              <w:jc w:val="center"/>
              <w:rPr>
                <w:rFonts w:hint="default"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单价</w:t>
            </w:r>
          </w:p>
        </w:tc>
        <w:tc>
          <w:tcPr>
            <w:tcW w:w="947" w:type="dxa"/>
            <w:vAlign w:val="center"/>
          </w:tcPr>
          <w:p>
            <w:pPr>
              <w:jc w:val="center"/>
              <w:rPr>
                <w:rFonts w:hint="default"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合价</w:t>
            </w:r>
          </w:p>
        </w:tc>
        <w:tc>
          <w:tcPr>
            <w:tcW w:w="936" w:type="dxa"/>
            <w:vAlign w:val="center"/>
          </w:tcPr>
          <w:p>
            <w:pPr>
              <w:jc w:val="center"/>
              <w:rPr>
                <w:rFonts w:hint="default"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供应商报价</w:t>
            </w:r>
          </w:p>
        </w:tc>
        <w:tc>
          <w:tcPr>
            <w:tcW w:w="861" w:type="dxa"/>
            <w:vAlign w:val="center"/>
          </w:tcPr>
          <w:p>
            <w:pPr>
              <w:jc w:val="center"/>
              <w:rPr>
                <w:rFonts w:hint="eastAsia"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trPr>
        <w:tc>
          <w:tcPr>
            <w:tcW w:w="1401" w:type="dxa"/>
            <w:vAlign w:val="center"/>
          </w:tcPr>
          <w:p>
            <w:pPr>
              <w:jc w:val="center"/>
              <w:rPr>
                <w:rFonts w:hint="default" w:ascii="Calibri" w:hAnsi="Calibri" w:eastAsia="宋体" w:cs="黑体"/>
                <w:kern w:val="2"/>
                <w:sz w:val="24"/>
                <w:szCs w:val="32"/>
                <w:lang w:val="en-US" w:eastAsia="zh-CN" w:bidi="ar-SA"/>
              </w:rPr>
            </w:pPr>
            <w:r>
              <w:rPr>
                <w:rFonts w:hint="eastAsia" w:ascii="Calibri" w:hAnsi="Calibri" w:eastAsia="宋体" w:cs="黑体"/>
                <w:kern w:val="2"/>
                <w:sz w:val="24"/>
                <w:szCs w:val="32"/>
                <w:lang w:val="en-US" w:eastAsia="zh-CN" w:bidi="ar-SA"/>
              </w:rPr>
              <w:t>普通灯具维修</w:t>
            </w:r>
          </w:p>
        </w:tc>
        <w:tc>
          <w:tcPr>
            <w:tcW w:w="2866" w:type="dxa"/>
            <w:vAlign w:val="center"/>
          </w:tcPr>
          <w:p>
            <w:pPr>
              <w:jc w:val="both"/>
              <w:rPr>
                <w:rFonts w:hint="eastAsia"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光源：12W高显灯珠；</w:t>
            </w:r>
          </w:p>
          <w:p>
            <w:pPr>
              <w:jc w:val="both"/>
              <w:rPr>
                <w:rFonts w:hint="default"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电源电压：AC100~240V，50/60Hz；额定功率：15W；驱动：内置恒流驱动，无可视频闪；保护：过载保护、短路保护；光源寿命：可达50000小时；显色指数：Ra&gt;80；色温调光：6500K；散热方式：散热器系统；角度：110°；高透光率：PC面罩</w:t>
            </w:r>
          </w:p>
        </w:tc>
        <w:tc>
          <w:tcPr>
            <w:tcW w:w="631" w:type="dxa"/>
            <w:vAlign w:val="center"/>
          </w:tcPr>
          <w:p>
            <w:pPr>
              <w:jc w:val="center"/>
              <w:rPr>
                <w:rFonts w:hint="eastAsia"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100</w:t>
            </w:r>
          </w:p>
        </w:tc>
        <w:tc>
          <w:tcPr>
            <w:tcW w:w="880" w:type="dxa"/>
            <w:vAlign w:val="center"/>
          </w:tcPr>
          <w:p>
            <w:pPr>
              <w:jc w:val="center"/>
              <w:rPr>
                <w:rFonts w:hint="default"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225.85</w:t>
            </w:r>
          </w:p>
        </w:tc>
        <w:tc>
          <w:tcPr>
            <w:tcW w:w="947" w:type="dxa"/>
            <w:vAlign w:val="center"/>
          </w:tcPr>
          <w:p>
            <w:pPr>
              <w:jc w:val="center"/>
              <w:rPr>
                <w:rFonts w:hint="default"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22585</w:t>
            </w:r>
          </w:p>
        </w:tc>
        <w:tc>
          <w:tcPr>
            <w:tcW w:w="936" w:type="dxa"/>
            <w:vAlign w:val="center"/>
          </w:tcPr>
          <w:p>
            <w:pPr>
              <w:jc w:val="center"/>
              <w:rPr>
                <w:rFonts w:hint="default" w:ascii="Calibri" w:hAnsi="Calibri" w:eastAsia="宋体" w:cs="Times New Roman"/>
                <w:kern w:val="0"/>
                <w:sz w:val="24"/>
                <w:szCs w:val="32"/>
                <w:lang w:val="en-US" w:eastAsia="zh-CN"/>
              </w:rPr>
            </w:pPr>
          </w:p>
        </w:tc>
        <w:tc>
          <w:tcPr>
            <w:tcW w:w="861" w:type="dxa"/>
            <w:vAlign w:val="center"/>
          </w:tcPr>
          <w:p>
            <w:pPr>
              <w:jc w:val="center"/>
              <w:rPr>
                <w:rFonts w:hint="default"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报价时需提供品牌及参数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401" w:type="dxa"/>
            <w:vAlign w:val="center"/>
          </w:tcPr>
          <w:p>
            <w:pPr>
              <w:jc w:val="center"/>
              <w:rPr>
                <w:rFonts w:hint="default" w:ascii="Calibri" w:hAnsi="Calibri" w:eastAsia="宋体" w:cs="黑体"/>
                <w:kern w:val="2"/>
                <w:sz w:val="24"/>
                <w:szCs w:val="32"/>
                <w:lang w:val="en-US" w:eastAsia="zh-CN" w:bidi="ar-SA"/>
              </w:rPr>
            </w:pPr>
            <w:r>
              <w:rPr>
                <w:rFonts w:hint="eastAsia" w:ascii="Calibri" w:hAnsi="Calibri" w:eastAsia="宋体" w:cs="黑体"/>
                <w:kern w:val="2"/>
                <w:sz w:val="24"/>
                <w:szCs w:val="32"/>
                <w:lang w:val="en-US" w:eastAsia="zh-CN" w:bidi="ar-SA"/>
              </w:rPr>
              <w:t>定额人工费</w:t>
            </w:r>
          </w:p>
        </w:tc>
        <w:tc>
          <w:tcPr>
            <w:tcW w:w="2866" w:type="dxa"/>
            <w:vAlign w:val="center"/>
          </w:tcPr>
          <w:p>
            <w:pPr>
              <w:jc w:val="center"/>
              <w:rPr>
                <w:rFonts w:hint="default" w:ascii="Calibri" w:hAnsi="Calibri" w:eastAsia="宋体" w:cs="Times New Roman"/>
                <w:kern w:val="0"/>
                <w:sz w:val="24"/>
                <w:szCs w:val="32"/>
                <w:lang w:val="en-US" w:eastAsia="zh-CN"/>
              </w:rPr>
            </w:pPr>
          </w:p>
        </w:tc>
        <w:tc>
          <w:tcPr>
            <w:tcW w:w="2458" w:type="dxa"/>
            <w:gridSpan w:val="3"/>
            <w:vAlign w:val="center"/>
          </w:tcPr>
          <w:p>
            <w:pPr>
              <w:jc w:val="center"/>
              <w:rPr>
                <w:rFonts w:hint="default"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960.27</w:t>
            </w:r>
          </w:p>
        </w:tc>
        <w:tc>
          <w:tcPr>
            <w:tcW w:w="936" w:type="dxa"/>
            <w:vAlign w:val="center"/>
          </w:tcPr>
          <w:p>
            <w:pPr>
              <w:jc w:val="center"/>
              <w:rPr>
                <w:rFonts w:hint="eastAsia" w:ascii="Calibri" w:hAnsi="Calibri" w:eastAsia="宋体" w:cs="Times New Roman"/>
                <w:kern w:val="0"/>
                <w:sz w:val="24"/>
                <w:szCs w:val="32"/>
                <w:lang w:val="en-US" w:eastAsia="zh-CN"/>
              </w:rPr>
            </w:pPr>
          </w:p>
        </w:tc>
        <w:tc>
          <w:tcPr>
            <w:tcW w:w="861" w:type="dxa"/>
            <w:vAlign w:val="center"/>
          </w:tcPr>
          <w:p>
            <w:pPr>
              <w:jc w:val="center"/>
              <w:rPr>
                <w:rFonts w:hint="eastAsia" w:ascii="Calibri" w:hAnsi="Calibri" w:eastAsia="宋体" w:cs="Times New Roman"/>
                <w:kern w:val="0"/>
                <w:sz w:val="24"/>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401" w:type="dxa"/>
            <w:vAlign w:val="center"/>
          </w:tcPr>
          <w:p>
            <w:pPr>
              <w:jc w:val="center"/>
              <w:rPr>
                <w:rFonts w:hint="default" w:ascii="Calibri" w:hAnsi="Calibri" w:eastAsia="宋体" w:cs="黑体"/>
                <w:kern w:val="2"/>
                <w:sz w:val="24"/>
                <w:szCs w:val="32"/>
                <w:lang w:val="en-US" w:eastAsia="zh-CN" w:bidi="ar-SA"/>
              </w:rPr>
            </w:pPr>
            <w:r>
              <w:rPr>
                <w:rFonts w:hint="eastAsia" w:ascii="Calibri" w:hAnsi="Calibri" w:eastAsia="宋体" w:cs="黑体"/>
                <w:kern w:val="2"/>
                <w:sz w:val="24"/>
                <w:szCs w:val="32"/>
                <w:lang w:val="en-US" w:eastAsia="zh-CN" w:bidi="ar-SA"/>
              </w:rPr>
              <w:t>合计：</w:t>
            </w:r>
          </w:p>
        </w:tc>
        <w:tc>
          <w:tcPr>
            <w:tcW w:w="5324" w:type="dxa"/>
            <w:gridSpan w:val="4"/>
            <w:vAlign w:val="center"/>
          </w:tcPr>
          <w:p>
            <w:pPr>
              <w:jc w:val="center"/>
              <w:rPr>
                <w:rFonts w:hint="eastAsia"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23545.27元，以上价格均为含税价</w:t>
            </w:r>
          </w:p>
        </w:tc>
        <w:tc>
          <w:tcPr>
            <w:tcW w:w="1797" w:type="dxa"/>
            <w:gridSpan w:val="2"/>
            <w:vAlign w:val="center"/>
          </w:tcPr>
          <w:p>
            <w:pPr>
              <w:jc w:val="center"/>
              <w:rPr>
                <w:rFonts w:hint="eastAsia" w:ascii="Calibri" w:hAnsi="Calibri" w:eastAsia="宋体" w:cs="Times New Roman"/>
                <w:kern w:val="0"/>
                <w:sz w:val="24"/>
                <w:szCs w:val="32"/>
                <w:lang w:val="en-US" w:eastAsia="zh-CN"/>
              </w:rPr>
            </w:pPr>
          </w:p>
        </w:tc>
      </w:tr>
    </w:tbl>
    <w:p>
      <w:pPr>
        <w:spacing w:line="440" w:lineRule="exact"/>
        <w:ind w:firstLine="480" w:firstLineChars="200"/>
        <w:rPr>
          <w:bCs/>
          <w:color w:val="auto"/>
          <w:sz w:val="24"/>
        </w:rPr>
      </w:pPr>
    </w:p>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23545.27</w:t>
      </w:r>
      <w:r>
        <w:rPr>
          <w:rFonts w:hint="eastAsia"/>
          <w:bCs/>
          <w:color w:val="auto"/>
          <w:sz w:val="24"/>
          <w:u w:val="single"/>
        </w:rPr>
        <w:t xml:space="preserve">      </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1</w:t>
      </w:r>
      <w:r>
        <w:rPr>
          <w:rFonts w:hint="eastAsia" w:cs="宋体"/>
          <w:color w:val="auto"/>
          <w:sz w:val="24"/>
        </w:rPr>
        <w:t>年</w:t>
      </w:r>
      <w:r>
        <w:rPr>
          <w:rFonts w:hint="eastAsia" w:cs="宋体"/>
          <w:color w:val="auto"/>
          <w:sz w:val="24"/>
          <w:lang w:val="en-US" w:eastAsia="zh-CN"/>
        </w:rPr>
        <w:t>10</w:t>
      </w:r>
      <w:r>
        <w:rPr>
          <w:rFonts w:hint="eastAsia" w:cs="宋体"/>
          <w:color w:val="auto"/>
          <w:sz w:val="24"/>
        </w:rPr>
        <w:t>月</w:t>
      </w:r>
      <w:r>
        <w:rPr>
          <w:rFonts w:hint="eastAsia" w:cs="宋体"/>
          <w:color w:val="auto"/>
          <w:sz w:val="24"/>
          <w:lang w:val="en-US" w:eastAsia="zh-CN"/>
        </w:rPr>
        <w:t>12</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1</w:t>
      </w:r>
      <w:r>
        <w:rPr>
          <w:color w:val="auto"/>
          <w:sz w:val="24"/>
        </w:rPr>
        <w:t>年</w:t>
      </w:r>
      <w:r>
        <w:rPr>
          <w:rFonts w:hint="eastAsia"/>
          <w:color w:val="auto"/>
          <w:sz w:val="24"/>
          <w:lang w:val="en-US" w:eastAsia="zh-CN"/>
        </w:rPr>
        <w:t>10</w:t>
      </w:r>
      <w:r>
        <w:rPr>
          <w:color w:val="auto"/>
          <w:sz w:val="24"/>
        </w:rPr>
        <w:t>月</w:t>
      </w:r>
      <w:r>
        <w:rPr>
          <w:rFonts w:hint="eastAsia"/>
          <w:color w:val="auto"/>
          <w:sz w:val="24"/>
        </w:rPr>
        <w:t xml:space="preserve"> </w:t>
      </w:r>
      <w:r>
        <w:rPr>
          <w:rFonts w:hint="eastAsia"/>
          <w:color w:val="auto"/>
          <w:sz w:val="24"/>
          <w:lang w:val="en-US" w:eastAsia="zh-CN"/>
        </w:rPr>
        <w:t>11</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sz w:val="24"/>
                <w:lang w:val="en-US" w:eastAsia="zh-CN"/>
              </w:rPr>
              <w:t>湖北省博物馆编钟馆演奏厅公共照明灯具维修</w:t>
            </w:r>
            <w:r>
              <w:rPr>
                <w:rFonts w:hint="eastAsia"/>
                <w:bCs/>
                <w:color w:val="auto"/>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rFonts w:hint="default" w:eastAsia="宋体"/>
                <w:bCs/>
                <w:color w:val="auto"/>
                <w:kern w:val="0"/>
                <w:sz w:val="24"/>
                <w:lang w:val="en-US" w:eastAsia="zh-CN"/>
              </w:rPr>
            </w:pPr>
            <w:r>
              <w:rPr>
                <w:rFonts w:hint="eastAsia"/>
                <w:bCs/>
                <w:color w:val="auto"/>
                <w:sz w:val="24"/>
                <w:lang w:val="en-US" w:eastAsia="zh-CN"/>
              </w:rPr>
              <w:t>编钟馆演奏厅公共照明灯具维修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rFonts w:hint="default"/>
                <w:color w:val="auto"/>
                <w:kern w:val="0"/>
                <w:sz w:val="24"/>
                <w:lang w:val="en-US"/>
              </w:rPr>
            </w:pPr>
            <w:r>
              <w:rPr>
                <w:rFonts w:hint="eastAsia" w:cs="宋体"/>
                <w:color w:val="auto"/>
                <w:kern w:val="0"/>
                <w:sz w:val="24"/>
                <w:lang w:val="en-US" w:eastAsia="zh-CN"/>
              </w:rPr>
              <w:t>23545.27元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w:t>
            </w:r>
            <w:r>
              <w:rPr>
                <w:rFonts w:hint="eastAsia" w:cs="宋体"/>
                <w:color w:val="auto"/>
                <w:kern w:val="0"/>
                <w:sz w:val="24"/>
                <w:lang w:val="en-US" w:eastAsia="zh-CN"/>
              </w:rPr>
              <w:t>徐勇</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rFonts w:hint="default" w:eastAsia="宋体"/>
                <w:color w:val="auto"/>
                <w:kern w:val="0"/>
                <w:sz w:val="24"/>
                <w:lang w:val="en-US" w:eastAsia="zh-CN"/>
              </w:rPr>
            </w:pPr>
            <w:r>
              <w:rPr>
                <w:rFonts w:hint="eastAsia" w:cs="宋体"/>
                <w:color w:val="auto"/>
                <w:kern w:val="0"/>
                <w:sz w:val="24"/>
              </w:rPr>
              <w:t>联系方式：</w:t>
            </w:r>
            <w:r>
              <w:rPr>
                <w:rFonts w:hint="eastAsia" w:cs="宋体"/>
                <w:color w:val="auto"/>
                <w:kern w:val="0"/>
                <w:sz w:val="24"/>
                <w:lang w:val="en-US" w:eastAsia="zh-CN"/>
              </w:rPr>
              <w:t>027-86786009</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1</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15</w:t>
            </w:r>
            <w:r>
              <w:rPr>
                <w:rFonts w:hint="eastAsia" w:ascii="Times New Roman" w:hAnsi="Times New Roman" w:cs="宋体"/>
                <w:color w:val="auto"/>
                <w:sz w:val="24"/>
                <w:szCs w:val="24"/>
                <w:lang w:val="en-US"/>
              </w:rPr>
              <w:t>日。</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1</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15</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bookmarkStart w:id="0" w:name="_GoBack"/>
            <w:bookmarkEnd w:id="0"/>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w:t>
      </w:r>
      <w:r>
        <w:rPr>
          <w:rFonts w:hint="eastAsia"/>
          <w:color w:val="auto"/>
          <w:sz w:val="24"/>
          <w:lang w:val="en-US" w:eastAsia="zh-CN"/>
        </w:rPr>
        <w:t xml:space="preserve"> </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398"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240" w:hanging="240" w:hangingChars="100"/>
        <w:rPr>
          <w:rFonts w:ascii="宋体" w:hAnsi="宋体"/>
          <w:color w:val="auto"/>
          <w:sz w:val="24"/>
          <w:szCs w:val="22"/>
        </w:rPr>
      </w:pPr>
      <w:r>
        <w:rPr>
          <w:color w:val="auto"/>
          <w:sz w:val="24"/>
        </w:rPr>
        <w:t>3</w:t>
      </w:r>
      <w:r>
        <w:rPr>
          <w:rFonts w:hint="eastAsia"/>
          <w:color w:val="auto"/>
          <w:sz w:val="24"/>
        </w:rPr>
        <w:t>2</w:t>
      </w:r>
      <w:r>
        <w:rPr>
          <w:color w:val="auto"/>
          <w:sz w:val="24"/>
        </w:rPr>
        <w:t>.</w:t>
      </w:r>
      <w:r>
        <w:rPr>
          <w:rFonts w:hint="eastAsia"/>
          <w:sz w:val="24"/>
          <w:lang w:val="en-US" w:eastAsia="zh-CN"/>
        </w:rPr>
        <w:t>详见采购需求中的“付款方式”。</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2866"/>
        <w:gridCol w:w="631"/>
        <w:gridCol w:w="880"/>
        <w:gridCol w:w="947"/>
        <w:gridCol w:w="1049"/>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401" w:type="dxa"/>
            <w:vAlign w:val="center"/>
          </w:tcPr>
          <w:p>
            <w:pPr>
              <w:jc w:val="center"/>
              <w:rPr>
                <w:rFonts w:hint="default" w:ascii="Calibri" w:hAnsi="Calibri" w:eastAsia="宋体" w:cs="黑体"/>
                <w:kern w:val="2"/>
                <w:sz w:val="24"/>
                <w:szCs w:val="32"/>
                <w:lang w:val="en-US" w:eastAsia="zh-CN" w:bidi="ar-SA"/>
              </w:rPr>
            </w:pPr>
            <w:r>
              <w:rPr>
                <w:rFonts w:hint="eastAsia" w:ascii="Calibri" w:hAnsi="Calibri" w:eastAsia="宋体" w:cs="黑体"/>
                <w:kern w:val="2"/>
                <w:sz w:val="24"/>
                <w:szCs w:val="32"/>
                <w:lang w:val="en-US" w:eastAsia="zh-CN" w:bidi="ar-SA"/>
              </w:rPr>
              <w:t>名称</w:t>
            </w:r>
          </w:p>
        </w:tc>
        <w:tc>
          <w:tcPr>
            <w:tcW w:w="2866" w:type="dxa"/>
            <w:vAlign w:val="center"/>
          </w:tcPr>
          <w:p>
            <w:pPr>
              <w:jc w:val="center"/>
              <w:rPr>
                <w:rFonts w:hint="default"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参数</w:t>
            </w:r>
          </w:p>
        </w:tc>
        <w:tc>
          <w:tcPr>
            <w:tcW w:w="631" w:type="dxa"/>
            <w:vAlign w:val="center"/>
          </w:tcPr>
          <w:p>
            <w:pPr>
              <w:jc w:val="center"/>
              <w:rPr>
                <w:rFonts w:hint="eastAsia"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数量</w:t>
            </w:r>
          </w:p>
        </w:tc>
        <w:tc>
          <w:tcPr>
            <w:tcW w:w="880" w:type="dxa"/>
            <w:vAlign w:val="center"/>
          </w:tcPr>
          <w:p>
            <w:pPr>
              <w:jc w:val="center"/>
              <w:rPr>
                <w:rFonts w:hint="default"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单价</w:t>
            </w:r>
          </w:p>
        </w:tc>
        <w:tc>
          <w:tcPr>
            <w:tcW w:w="947" w:type="dxa"/>
            <w:vAlign w:val="center"/>
          </w:tcPr>
          <w:p>
            <w:pPr>
              <w:jc w:val="center"/>
              <w:rPr>
                <w:rFonts w:hint="default"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合价</w:t>
            </w:r>
          </w:p>
        </w:tc>
        <w:tc>
          <w:tcPr>
            <w:tcW w:w="1049" w:type="dxa"/>
            <w:vAlign w:val="center"/>
          </w:tcPr>
          <w:p>
            <w:pPr>
              <w:jc w:val="center"/>
              <w:rPr>
                <w:rFonts w:hint="default"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供应商报价</w:t>
            </w:r>
          </w:p>
        </w:tc>
        <w:tc>
          <w:tcPr>
            <w:tcW w:w="748" w:type="dxa"/>
            <w:vAlign w:val="center"/>
          </w:tcPr>
          <w:p>
            <w:pPr>
              <w:jc w:val="center"/>
              <w:rPr>
                <w:rFonts w:hint="eastAsia"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trPr>
        <w:tc>
          <w:tcPr>
            <w:tcW w:w="1401" w:type="dxa"/>
            <w:vAlign w:val="center"/>
          </w:tcPr>
          <w:p>
            <w:pPr>
              <w:jc w:val="center"/>
              <w:rPr>
                <w:rFonts w:hint="default" w:ascii="Calibri" w:hAnsi="Calibri" w:eastAsia="宋体" w:cs="黑体"/>
                <w:kern w:val="2"/>
                <w:sz w:val="24"/>
                <w:szCs w:val="32"/>
                <w:lang w:val="en-US" w:eastAsia="zh-CN" w:bidi="ar-SA"/>
              </w:rPr>
            </w:pPr>
            <w:r>
              <w:rPr>
                <w:rFonts w:hint="eastAsia" w:ascii="Calibri" w:hAnsi="Calibri" w:eastAsia="宋体" w:cs="黑体"/>
                <w:kern w:val="2"/>
                <w:sz w:val="24"/>
                <w:szCs w:val="32"/>
                <w:lang w:val="en-US" w:eastAsia="zh-CN" w:bidi="ar-SA"/>
              </w:rPr>
              <w:t>普通灯具维修</w:t>
            </w:r>
          </w:p>
        </w:tc>
        <w:tc>
          <w:tcPr>
            <w:tcW w:w="2866" w:type="dxa"/>
            <w:vAlign w:val="center"/>
          </w:tcPr>
          <w:p>
            <w:pPr>
              <w:jc w:val="both"/>
              <w:rPr>
                <w:rFonts w:hint="eastAsia"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光源：12W高显灯珠；</w:t>
            </w:r>
          </w:p>
          <w:p>
            <w:pPr>
              <w:jc w:val="both"/>
              <w:rPr>
                <w:rFonts w:hint="default"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电源电压：AC100~240V，50/60Hz；额定功率：15W；驱动：内置恒流驱动，无可视频闪；保护：过载保护、短路保护；光源寿命：可达50000小时；显色指数：Ra&gt;80；色温调光：6500K；散热方式：散热器系统；角度：110°；高透光率：PC面罩</w:t>
            </w:r>
          </w:p>
        </w:tc>
        <w:tc>
          <w:tcPr>
            <w:tcW w:w="631" w:type="dxa"/>
            <w:vAlign w:val="center"/>
          </w:tcPr>
          <w:p>
            <w:pPr>
              <w:jc w:val="center"/>
              <w:rPr>
                <w:rFonts w:hint="eastAsia"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100</w:t>
            </w:r>
          </w:p>
        </w:tc>
        <w:tc>
          <w:tcPr>
            <w:tcW w:w="880" w:type="dxa"/>
            <w:vAlign w:val="center"/>
          </w:tcPr>
          <w:p>
            <w:pPr>
              <w:jc w:val="center"/>
              <w:rPr>
                <w:rFonts w:hint="default"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225.85</w:t>
            </w:r>
          </w:p>
        </w:tc>
        <w:tc>
          <w:tcPr>
            <w:tcW w:w="947" w:type="dxa"/>
            <w:vAlign w:val="center"/>
          </w:tcPr>
          <w:p>
            <w:pPr>
              <w:jc w:val="center"/>
              <w:rPr>
                <w:rFonts w:hint="default"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22585</w:t>
            </w:r>
          </w:p>
        </w:tc>
        <w:tc>
          <w:tcPr>
            <w:tcW w:w="1049" w:type="dxa"/>
            <w:vAlign w:val="center"/>
          </w:tcPr>
          <w:p>
            <w:pPr>
              <w:jc w:val="center"/>
              <w:rPr>
                <w:rFonts w:hint="default" w:ascii="Calibri" w:hAnsi="Calibri" w:eastAsia="宋体" w:cs="Times New Roman"/>
                <w:kern w:val="0"/>
                <w:sz w:val="24"/>
                <w:szCs w:val="32"/>
                <w:lang w:val="en-US" w:eastAsia="zh-CN"/>
              </w:rPr>
            </w:pPr>
          </w:p>
        </w:tc>
        <w:tc>
          <w:tcPr>
            <w:tcW w:w="748" w:type="dxa"/>
            <w:vAlign w:val="center"/>
          </w:tcPr>
          <w:p>
            <w:pPr>
              <w:jc w:val="center"/>
              <w:rPr>
                <w:rFonts w:hint="default"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报价时需提供品牌及参数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401" w:type="dxa"/>
            <w:vAlign w:val="center"/>
          </w:tcPr>
          <w:p>
            <w:pPr>
              <w:jc w:val="center"/>
              <w:rPr>
                <w:rFonts w:hint="default" w:ascii="Calibri" w:hAnsi="Calibri" w:eastAsia="宋体" w:cs="黑体"/>
                <w:kern w:val="2"/>
                <w:sz w:val="24"/>
                <w:szCs w:val="32"/>
                <w:lang w:val="en-US" w:eastAsia="zh-CN" w:bidi="ar-SA"/>
              </w:rPr>
            </w:pPr>
            <w:r>
              <w:rPr>
                <w:rFonts w:hint="eastAsia" w:ascii="Calibri" w:hAnsi="Calibri" w:eastAsia="宋体" w:cs="黑体"/>
                <w:kern w:val="2"/>
                <w:sz w:val="24"/>
                <w:szCs w:val="32"/>
                <w:lang w:val="en-US" w:eastAsia="zh-CN" w:bidi="ar-SA"/>
              </w:rPr>
              <w:t>定额人工费</w:t>
            </w:r>
          </w:p>
        </w:tc>
        <w:tc>
          <w:tcPr>
            <w:tcW w:w="2866" w:type="dxa"/>
            <w:vAlign w:val="center"/>
          </w:tcPr>
          <w:p>
            <w:pPr>
              <w:jc w:val="center"/>
              <w:rPr>
                <w:rFonts w:hint="default" w:ascii="Calibri" w:hAnsi="Calibri" w:eastAsia="宋体" w:cs="Times New Roman"/>
                <w:kern w:val="0"/>
                <w:sz w:val="24"/>
                <w:szCs w:val="32"/>
                <w:lang w:val="en-US" w:eastAsia="zh-CN"/>
              </w:rPr>
            </w:pPr>
          </w:p>
        </w:tc>
        <w:tc>
          <w:tcPr>
            <w:tcW w:w="2458" w:type="dxa"/>
            <w:gridSpan w:val="3"/>
            <w:vAlign w:val="center"/>
          </w:tcPr>
          <w:p>
            <w:pPr>
              <w:jc w:val="center"/>
              <w:rPr>
                <w:rFonts w:hint="default"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960.27</w:t>
            </w:r>
          </w:p>
        </w:tc>
        <w:tc>
          <w:tcPr>
            <w:tcW w:w="1049" w:type="dxa"/>
            <w:vAlign w:val="center"/>
          </w:tcPr>
          <w:p>
            <w:pPr>
              <w:jc w:val="center"/>
              <w:rPr>
                <w:rFonts w:hint="eastAsia" w:ascii="Calibri" w:hAnsi="Calibri" w:eastAsia="宋体" w:cs="Times New Roman"/>
                <w:kern w:val="0"/>
                <w:sz w:val="24"/>
                <w:szCs w:val="32"/>
                <w:lang w:val="en-US" w:eastAsia="zh-CN"/>
              </w:rPr>
            </w:pPr>
          </w:p>
        </w:tc>
        <w:tc>
          <w:tcPr>
            <w:tcW w:w="748" w:type="dxa"/>
            <w:vAlign w:val="center"/>
          </w:tcPr>
          <w:p>
            <w:pPr>
              <w:jc w:val="center"/>
              <w:rPr>
                <w:rFonts w:hint="eastAsia" w:ascii="Calibri" w:hAnsi="Calibri" w:eastAsia="宋体" w:cs="Times New Roman"/>
                <w:kern w:val="0"/>
                <w:sz w:val="24"/>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401" w:type="dxa"/>
            <w:vAlign w:val="center"/>
          </w:tcPr>
          <w:p>
            <w:pPr>
              <w:jc w:val="center"/>
              <w:rPr>
                <w:rFonts w:hint="default" w:ascii="Calibri" w:hAnsi="Calibri" w:eastAsia="宋体" w:cs="黑体"/>
                <w:kern w:val="2"/>
                <w:sz w:val="24"/>
                <w:szCs w:val="32"/>
                <w:lang w:val="en-US" w:eastAsia="zh-CN" w:bidi="ar-SA"/>
              </w:rPr>
            </w:pPr>
            <w:r>
              <w:rPr>
                <w:rFonts w:hint="eastAsia" w:ascii="Calibri" w:hAnsi="Calibri" w:eastAsia="宋体" w:cs="黑体"/>
                <w:kern w:val="2"/>
                <w:sz w:val="24"/>
                <w:szCs w:val="32"/>
                <w:lang w:val="en-US" w:eastAsia="zh-CN" w:bidi="ar-SA"/>
              </w:rPr>
              <w:t>合计：</w:t>
            </w:r>
          </w:p>
        </w:tc>
        <w:tc>
          <w:tcPr>
            <w:tcW w:w="7121" w:type="dxa"/>
            <w:gridSpan w:val="6"/>
            <w:vAlign w:val="center"/>
          </w:tcPr>
          <w:p>
            <w:pPr>
              <w:jc w:val="center"/>
              <w:rPr>
                <w:rFonts w:hint="eastAsia"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23545.27元，以上价格均为含税价</w:t>
            </w:r>
          </w:p>
        </w:tc>
      </w:tr>
    </w:tbl>
    <w:p>
      <w:pPr>
        <w:spacing w:line="440" w:lineRule="exact"/>
        <w:rPr>
          <w:rFonts w:ascii="宋体" w:hAnsi="宋体"/>
          <w:color w:val="auto"/>
          <w:sz w:val="24"/>
          <w:szCs w:val="22"/>
        </w:rPr>
      </w:pPr>
      <w:r>
        <w:rPr>
          <w:rFonts w:hint="eastAsia" w:ascii="宋体" w:hAnsi="宋体"/>
          <w:color w:val="auto"/>
          <w:sz w:val="24"/>
          <w:szCs w:val="22"/>
        </w:rPr>
        <w:t>总体要求：</w:t>
      </w:r>
    </w:p>
    <w:p>
      <w:pPr>
        <w:numPr>
          <w:ilvl w:val="0"/>
          <w:numId w:val="3"/>
        </w:numPr>
        <w:spacing w:line="440" w:lineRule="exact"/>
        <w:rPr>
          <w:rFonts w:hint="eastAsia" w:ascii="宋体" w:hAnsi="宋体"/>
          <w:color w:val="auto"/>
          <w:sz w:val="24"/>
          <w:szCs w:val="22"/>
          <w:lang w:val="en-US" w:eastAsia="zh-CN"/>
        </w:rPr>
      </w:pPr>
      <w:r>
        <w:rPr>
          <w:rFonts w:hint="eastAsia" w:ascii="宋体" w:hAnsi="宋体"/>
          <w:color w:val="auto"/>
          <w:sz w:val="24"/>
          <w:szCs w:val="22"/>
          <w:lang w:val="en-US" w:eastAsia="zh-CN"/>
        </w:rPr>
        <w:t>保证灯具维修后能正常使用。</w:t>
      </w:r>
    </w:p>
    <w:p>
      <w:pPr>
        <w:numPr>
          <w:ilvl w:val="0"/>
          <w:numId w:val="3"/>
        </w:numPr>
        <w:spacing w:line="440" w:lineRule="exact"/>
        <w:rPr>
          <w:rFonts w:hint="default" w:ascii="宋体" w:hAnsi="宋体" w:eastAsia="宋体"/>
          <w:color w:val="auto"/>
          <w:sz w:val="24"/>
          <w:szCs w:val="22"/>
          <w:lang w:val="en-US" w:eastAsia="zh-CN"/>
        </w:rPr>
      </w:pPr>
      <w:r>
        <w:rPr>
          <w:rFonts w:hint="eastAsia" w:ascii="宋体" w:hAnsi="宋体"/>
          <w:color w:val="auto"/>
          <w:sz w:val="24"/>
          <w:szCs w:val="22"/>
          <w:lang w:val="en-US" w:eastAsia="zh-CN"/>
        </w:rPr>
        <w:t>保证灯具所包含的相应配件符合采购要求。</w:t>
      </w:r>
    </w:p>
    <w:p>
      <w:pPr>
        <w:numPr>
          <w:ilvl w:val="0"/>
          <w:numId w:val="3"/>
        </w:numPr>
        <w:spacing w:line="440" w:lineRule="exact"/>
        <w:rPr>
          <w:rFonts w:hint="default" w:ascii="宋体" w:hAnsi="宋体" w:eastAsia="宋体"/>
          <w:color w:val="auto"/>
          <w:sz w:val="24"/>
          <w:szCs w:val="22"/>
          <w:lang w:val="en-US" w:eastAsia="zh-CN"/>
        </w:rPr>
      </w:pPr>
      <w:r>
        <w:rPr>
          <w:rFonts w:hint="eastAsia" w:ascii="宋体" w:hAnsi="宋体"/>
          <w:color w:val="auto"/>
          <w:sz w:val="24"/>
          <w:szCs w:val="22"/>
          <w:lang w:val="en-US" w:eastAsia="zh-CN"/>
        </w:rPr>
        <w:t>保证灯具维修过程中不得损坏其他设施。</w:t>
      </w:r>
    </w:p>
    <w:p>
      <w:pPr>
        <w:numPr>
          <w:ilvl w:val="0"/>
          <w:numId w:val="3"/>
        </w:numPr>
        <w:spacing w:line="440" w:lineRule="exact"/>
        <w:rPr>
          <w:rFonts w:hint="default" w:ascii="宋体" w:hAnsi="宋体" w:eastAsia="宋体"/>
          <w:color w:val="auto"/>
          <w:sz w:val="24"/>
          <w:szCs w:val="22"/>
          <w:lang w:val="en-US" w:eastAsia="zh-CN"/>
        </w:rPr>
      </w:pPr>
      <w:r>
        <w:rPr>
          <w:rFonts w:hint="eastAsia" w:ascii="宋体" w:hAnsi="宋体"/>
          <w:color w:val="auto"/>
          <w:sz w:val="24"/>
          <w:szCs w:val="22"/>
          <w:lang w:val="en-US" w:eastAsia="zh-CN"/>
        </w:rPr>
        <w:t>灯具质保期为1年。</w:t>
      </w:r>
    </w:p>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w:t>
      </w:r>
      <w:r>
        <w:rPr>
          <w:rFonts w:hint="eastAsia" w:ascii="宋体" w:hAnsi="宋体"/>
          <w:color w:val="auto"/>
          <w:sz w:val="24"/>
          <w:szCs w:val="22"/>
          <w:lang w:val="en-US" w:eastAsia="zh-CN"/>
        </w:rPr>
        <w:t>3</w:t>
      </w:r>
      <w:r>
        <w:rPr>
          <w:rFonts w:hint="eastAsia" w:ascii="宋体" w:hAnsi="宋体"/>
          <w:color w:val="auto"/>
          <w:sz w:val="24"/>
          <w:szCs w:val="22"/>
        </w:rPr>
        <w:t>0个日历天内实施完毕。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w:t>
      </w:r>
      <w:r>
        <w:rPr>
          <w:rFonts w:hint="eastAsia" w:ascii="宋体" w:hAnsi="宋体"/>
          <w:color w:val="auto"/>
          <w:sz w:val="24"/>
          <w:szCs w:val="22"/>
          <w:lang w:eastAsia="zh-CN"/>
        </w:rPr>
        <w:t>灯具维修</w:t>
      </w:r>
      <w:r>
        <w:rPr>
          <w:rFonts w:hint="eastAsia" w:ascii="宋体" w:hAnsi="宋体"/>
          <w:color w:val="auto"/>
          <w:sz w:val="24"/>
          <w:szCs w:val="22"/>
        </w:rPr>
        <w:t>完毕，经采购人验收签字认可。</w:t>
      </w:r>
    </w:p>
    <w:p>
      <w:pPr>
        <w:spacing w:line="440" w:lineRule="exact"/>
        <w:rPr>
          <w:rFonts w:hint="eastAsia"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240" w:hanging="240" w:hangingChars="100"/>
        <w:rPr>
          <w:rFonts w:hint="eastAsia" w:ascii="宋体" w:hAnsi="宋体"/>
          <w:sz w:val="24"/>
          <w:szCs w:val="22"/>
          <w:lang w:eastAsia="zh-CN"/>
        </w:rPr>
      </w:pPr>
      <w:r>
        <w:rPr>
          <w:rFonts w:hint="eastAsia" w:ascii="宋体" w:hAnsi="宋体"/>
          <w:color w:val="auto"/>
          <w:sz w:val="24"/>
          <w:szCs w:val="22"/>
        </w:rPr>
        <w:t>2.1.7付款方式：</w:t>
      </w:r>
      <w:r>
        <w:rPr>
          <w:rFonts w:hint="eastAsia" w:ascii="宋体" w:hAnsi="宋体"/>
          <w:color w:val="auto"/>
          <w:sz w:val="24"/>
          <w:szCs w:val="22"/>
          <w:lang w:eastAsia="zh-CN"/>
        </w:rPr>
        <w:t>灯具</w:t>
      </w:r>
      <w:r>
        <w:rPr>
          <w:rFonts w:hint="eastAsia" w:ascii="宋体" w:hAnsi="宋体"/>
          <w:color w:val="auto"/>
          <w:sz w:val="24"/>
          <w:szCs w:val="22"/>
          <w:lang w:val="en-US" w:eastAsia="zh-CN"/>
        </w:rPr>
        <w:t>维修完毕</w:t>
      </w:r>
      <w:r>
        <w:rPr>
          <w:rFonts w:hint="eastAsia" w:ascii="宋体" w:hAnsi="宋体"/>
          <w:color w:val="auto"/>
          <w:sz w:val="24"/>
          <w:szCs w:val="22"/>
        </w:rPr>
        <w:t>经验收合格后，</w:t>
      </w:r>
      <w:r>
        <w:rPr>
          <w:rFonts w:hint="eastAsia" w:ascii="宋体" w:hAnsi="宋体"/>
          <w:color w:val="auto"/>
          <w:sz w:val="24"/>
          <w:szCs w:val="22"/>
          <w:lang w:val="en-US" w:eastAsia="zh-CN"/>
        </w:rPr>
        <w:t>须以</w:t>
      </w:r>
      <w:r>
        <w:rPr>
          <w:rFonts w:hint="eastAsia"/>
          <w:sz w:val="24"/>
          <w:lang w:eastAsia="zh-CN"/>
        </w:rPr>
        <w:t>造价结算审计</w:t>
      </w:r>
      <w:r>
        <w:rPr>
          <w:rFonts w:hint="eastAsia"/>
          <w:sz w:val="24"/>
          <w:lang w:val="en-US" w:eastAsia="zh-CN"/>
        </w:rPr>
        <w:t>金额</w:t>
      </w:r>
      <w:r>
        <w:rPr>
          <w:rFonts w:hint="eastAsia" w:ascii="宋体" w:hAnsi="宋体"/>
          <w:color w:val="auto"/>
          <w:sz w:val="24"/>
          <w:szCs w:val="22"/>
          <w:lang w:eastAsia="zh-CN"/>
        </w:rPr>
        <w:t>结算款项，结算款不得超过合同金额</w:t>
      </w:r>
      <w:r>
        <w:rPr>
          <w:rFonts w:hint="eastAsia" w:ascii="宋体" w:hAnsi="宋体"/>
          <w:color w:val="auto"/>
          <w:sz w:val="24"/>
          <w:szCs w:val="22"/>
        </w:rPr>
        <w:t>。。</w:t>
      </w:r>
      <w:r>
        <w:rPr>
          <w:rFonts w:ascii="宋体" w:hAnsi="宋体"/>
          <w:sz w:val="24"/>
          <w:szCs w:val="22"/>
        </w:rPr>
        <w:t>供应商提供票据后15日之内，采购人按湖北省财政厅相关规定将结算款从国库支付至供应商对公账户。供应商认可采购人按约定的付款时间向湖北省财政厅提出了资金支付申请，则视同采购人已履行了合同付款义务。供应商必须按国家有关财税规定开具发票</w:t>
      </w:r>
      <w:r>
        <w:rPr>
          <w:rFonts w:hint="eastAsia" w:ascii="宋体" w:hAnsi="宋体"/>
          <w:sz w:val="24"/>
          <w:szCs w:val="22"/>
          <w:lang w:eastAsia="zh-CN"/>
        </w:rPr>
        <w:t>。</w:t>
      </w:r>
    </w:p>
    <w:p>
      <w:pPr>
        <w:spacing w:line="440" w:lineRule="exact"/>
        <w:ind w:left="240" w:hanging="240" w:hangingChars="100"/>
        <w:rPr>
          <w:rFonts w:hint="default" w:ascii="宋体" w:hAnsi="宋体"/>
          <w:sz w:val="24"/>
          <w:szCs w:val="22"/>
          <w:lang w:val="en-US" w:eastAsia="zh-CN"/>
        </w:rPr>
      </w:pPr>
      <w:r>
        <w:rPr>
          <w:rFonts w:hint="eastAsia" w:ascii="宋体" w:hAnsi="宋体"/>
          <w:sz w:val="24"/>
          <w:szCs w:val="22"/>
          <w:lang w:val="en-US" w:eastAsia="zh-CN"/>
        </w:rPr>
        <w:t>2.1.8合同以总价方式结算。</w:t>
      </w: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hint="eastAsia" w:ascii="宋体" w:hAnsi="宋体" w:eastAsia="宋体" w:cs="宋体"/>
          <w:caps/>
          <w:color w:val="auto"/>
          <w:sz w:val="24"/>
          <w:lang w:val="en-US" w:eastAsia="zh-CN"/>
        </w:rPr>
      </w:pPr>
      <w:r>
        <w:rPr>
          <w:rFonts w:hint="eastAsia" w:ascii="宋体" w:hAnsi="宋体" w:cs="宋体"/>
          <w:caps/>
          <w:color w:val="auto"/>
          <w:sz w:val="24"/>
          <w:lang w:val="en-US" w:eastAsia="zh-CN"/>
        </w:rPr>
        <w:t xml:space="preserve"> </w:t>
      </w: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rPr>
          <w:rFonts w:ascii="宋体" w:hAnsi="宋体" w:cs="宋体"/>
          <w:color w:val="auto"/>
          <w:sz w:val="24"/>
        </w:rPr>
      </w:pPr>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w:t>
      </w:r>
      <w:r>
        <w:rPr>
          <w:rFonts w:hint="eastAsia"/>
          <w:color w:val="auto"/>
          <w:sz w:val="24"/>
          <w:lang w:eastAsia="zh-CN"/>
        </w:rPr>
        <w:t>民</w:t>
      </w:r>
      <w:r>
        <w:rPr>
          <w:color w:val="auto"/>
          <w:sz w:val="24"/>
        </w:rPr>
        <w:t>法</w:t>
      </w:r>
      <w:r>
        <w:rPr>
          <w:rFonts w:hint="eastAsia"/>
          <w:color w:val="auto"/>
          <w:sz w:val="24"/>
          <w:lang w:eastAsia="zh-CN"/>
        </w:rPr>
        <w:t>典</w:t>
      </w:r>
      <w:r>
        <w:rPr>
          <w:color w:val="auto"/>
          <w:sz w:val="24"/>
        </w:rPr>
        <w:t>》。采购人和供应商之间的权利和义务，应当按照平等的原则以合同方式约定。此合同书仅作为签订正式合同时的参考，正式合同书应包括本参考格式之内容。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color w:val="auto"/>
          <w:kern w:val="0"/>
          <w:sz w:val="24"/>
          <w:szCs w:val="20"/>
        </w:rPr>
      </w:pPr>
      <w:r>
        <w:rPr>
          <w:rFonts w:ascii="宋体" w:hAnsi="宋体" w:eastAsia="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rFonts w:eastAsia="宋体"/>
          <w:color w:val="auto"/>
          <w:sz w:val="44"/>
          <w:szCs w:val="44"/>
        </w:rPr>
      </w:pPr>
      <w:r>
        <w:rPr>
          <w:color w:val="auto"/>
          <w:szCs w:val="21"/>
        </w:rPr>
        <w:br w:type="page"/>
      </w:r>
      <w:r>
        <w:rPr>
          <w:rFonts w:eastAsia="宋体"/>
          <w:color w:val="auto"/>
          <w:sz w:val="44"/>
          <w:szCs w:val="44"/>
        </w:rPr>
        <w:t>目</w:t>
      </w:r>
      <w:r>
        <w:rPr>
          <w:rFonts w:hint="eastAsia" w:eastAsia="宋体"/>
          <w:color w:val="auto"/>
          <w:sz w:val="44"/>
          <w:szCs w:val="44"/>
        </w:rPr>
        <w:t xml:space="preserve">  </w:t>
      </w:r>
      <w:r>
        <w:rPr>
          <w:rFonts w:eastAsia="宋体"/>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ascii="宋体" w:hAnsi="宋体" w:eastAsia="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ascii="宋体" w:hAnsi="宋体" w:eastAsia="宋体"/>
          <w:color w:val="auto"/>
          <w:sz w:val="24"/>
        </w:rPr>
        <w:t>附件2</w:t>
      </w:r>
    </w:p>
    <w:p>
      <w:pPr>
        <w:ind w:firstLine="3040" w:firstLineChars="950"/>
        <w:rPr>
          <w:rFonts w:eastAsia="宋体"/>
          <w:color w:val="auto"/>
          <w:sz w:val="32"/>
          <w:szCs w:val="32"/>
        </w:rPr>
      </w:pPr>
      <w:r>
        <w:rPr>
          <w:rFonts w:eastAsia="宋体"/>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pPr>
              <w:adjustRightInd w:val="0"/>
              <w:snapToGrid w:val="0"/>
              <w:jc w:val="center"/>
              <w:rPr>
                <w:color w:val="auto"/>
                <w:sz w:val="24"/>
              </w:rPr>
            </w:pPr>
            <w:r>
              <w:rPr>
                <w:color w:val="auto"/>
                <w:sz w:val="24"/>
              </w:rPr>
              <w:t>单价</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rPr>
            </w:pPr>
            <w:r>
              <w:rPr>
                <w:color w:val="auto"/>
                <w:sz w:val="24"/>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rFonts w:eastAsia="宋体"/>
          <w:color w:val="auto"/>
          <w:sz w:val="32"/>
          <w:szCs w:val="32"/>
        </w:rPr>
      </w:pPr>
      <w:r>
        <w:rPr>
          <w:rFonts w:hint="eastAsia" w:eastAsia="宋体"/>
          <w:color w:val="auto"/>
          <w:sz w:val="32"/>
          <w:szCs w:val="32"/>
        </w:rPr>
        <w:t>货物（</w:t>
      </w:r>
      <w:r>
        <w:rPr>
          <w:rFonts w:eastAsia="宋体"/>
          <w:color w:val="auto"/>
          <w:sz w:val="32"/>
          <w:szCs w:val="32"/>
        </w:rPr>
        <w:t>服务</w:t>
      </w:r>
      <w:r>
        <w:rPr>
          <w:rFonts w:hint="eastAsia" w:eastAsia="宋体"/>
          <w:color w:val="auto"/>
          <w:sz w:val="32"/>
          <w:szCs w:val="32"/>
        </w:rPr>
        <w:t>）</w:t>
      </w:r>
      <w:r>
        <w:rPr>
          <w:rFonts w:eastAsia="宋体"/>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序号</w:t>
            </w:r>
          </w:p>
        </w:tc>
        <w:tc>
          <w:tcPr>
            <w:tcW w:w="4164"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资格性符合性检查内容</w:t>
            </w:r>
          </w:p>
        </w:tc>
        <w:tc>
          <w:tcPr>
            <w:tcW w:w="1265"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响应文件响应情况</w:t>
            </w:r>
          </w:p>
        </w:tc>
        <w:tc>
          <w:tcPr>
            <w:tcW w:w="1096"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偏离情况说明</w:t>
            </w:r>
          </w:p>
        </w:tc>
        <w:tc>
          <w:tcPr>
            <w:tcW w:w="1541"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1</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ind w:left="-20" w:leftChars="-50" w:hanging="120" w:hangingChars="50"/>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2</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3</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4</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5</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6</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7</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8</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9</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ascii="Calibri" w:hAnsi="Calibri" w:eastAsia="宋体" w:cs="Times New Roman"/>
                <w:color w:val="auto"/>
                <w:kern w:val="0"/>
                <w:sz w:val="24"/>
                <w:szCs w:val="20"/>
              </w:rPr>
              <w:t>…</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自评结论</w:t>
            </w: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rFonts w:eastAsia="宋体"/>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251795293">
    <w:nsid w:val="0F02175D"/>
    <w:multiLevelType w:val="singleLevel"/>
    <w:tmpl w:val="0F02175D"/>
    <w:lvl w:ilvl="0" w:tentative="1">
      <w:start w:val="1"/>
      <w:numFmt w:val="decimal"/>
      <w:lvlText w:val="%1."/>
      <w:lvlJc w:val="left"/>
      <w:pPr>
        <w:tabs>
          <w:tab w:val="left" w:pos="312"/>
        </w:tabs>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 w:numId="3">
    <w:abstractNumId w:val="2517952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15A7BD4"/>
    <w:rsid w:val="02E2020C"/>
    <w:rsid w:val="07305C75"/>
    <w:rsid w:val="0A5500AC"/>
    <w:rsid w:val="0D290D01"/>
    <w:rsid w:val="0D3B4CEA"/>
    <w:rsid w:val="11710EDF"/>
    <w:rsid w:val="186D1B85"/>
    <w:rsid w:val="1C5B692F"/>
    <w:rsid w:val="1E196AC5"/>
    <w:rsid w:val="1FBD6CCD"/>
    <w:rsid w:val="20023CE8"/>
    <w:rsid w:val="20EF37CA"/>
    <w:rsid w:val="22C0056E"/>
    <w:rsid w:val="22ED30E1"/>
    <w:rsid w:val="23BA7969"/>
    <w:rsid w:val="24CD6481"/>
    <w:rsid w:val="28105465"/>
    <w:rsid w:val="285A32AB"/>
    <w:rsid w:val="2BE91AE9"/>
    <w:rsid w:val="2D557512"/>
    <w:rsid w:val="2E5F1804"/>
    <w:rsid w:val="2F7E2447"/>
    <w:rsid w:val="2FE91321"/>
    <w:rsid w:val="30E9428E"/>
    <w:rsid w:val="319E1AD0"/>
    <w:rsid w:val="325C5A56"/>
    <w:rsid w:val="35AA3052"/>
    <w:rsid w:val="372642F2"/>
    <w:rsid w:val="38C03CAD"/>
    <w:rsid w:val="38DD21C4"/>
    <w:rsid w:val="3C720CDC"/>
    <w:rsid w:val="3CE37A36"/>
    <w:rsid w:val="42F71619"/>
    <w:rsid w:val="43253B1A"/>
    <w:rsid w:val="45943BE1"/>
    <w:rsid w:val="459870D2"/>
    <w:rsid w:val="4B644FF9"/>
    <w:rsid w:val="506D69F3"/>
    <w:rsid w:val="50C74E10"/>
    <w:rsid w:val="535D5149"/>
    <w:rsid w:val="54D77894"/>
    <w:rsid w:val="56B411BB"/>
    <w:rsid w:val="58B00BA8"/>
    <w:rsid w:val="59DC54D4"/>
    <w:rsid w:val="62E06647"/>
    <w:rsid w:val="644609DE"/>
    <w:rsid w:val="68F04392"/>
    <w:rsid w:val="691436B6"/>
    <w:rsid w:val="6C665064"/>
    <w:rsid w:val="6DD213FA"/>
    <w:rsid w:val="6E087D3D"/>
    <w:rsid w:val="6ED74BAE"/>
    <w:rsid w:val="727134AA"/>
    <w:rsid w:val="742A0DBE"/>
    <w:rsid w:val="763332F1"/>
    <w:rsid w:val="764007A7"/>
    <w:rsid w:val="788F67FD"/>
    <w:rsid w:val="7BCA74D6"/>
    <w:rsid w:val="7C0225BC"/>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eastAsia="宋体" w:cs="Times New Roman"/>
      <w:b/>
      <w:bCs/>
      <w:szCs w:val="24"/>
    </w:rPr>
  </w:style>
  <w:style w:type="paragraph" w:styleId="12">
    <w:name w:val="annotation text"/>
    <w:basedOn w:val="1"/>
    <w:link w:val="97"/>
    <w:qFormat/>
    <w:uiPriority w:val="0"/>
    <w:pPr>
      <w:jc w:val="left"/>
    </w:pPr>
    <w:rPr>
      <w:rFonts w:ascii="Calibri" w:hAnsi="Calibri" w:eastAsia="宋体" w:cs="黑体"/>
      <w:szCs w:val="22"/>
    </w:rPr>
  </w:style>
  <w:style w:type="paragraph" w:styleId="13">
    <w:name w:val="Normal Indent"/>
    <w:basedOn w:val="1"/>
    <w:link w:val="98"/>
    <w:qFormat/>
    <w:uiPriority w:val="0"/>
    <w:pPr>
      <w:ind w:firstLine="420"/>
    </w:pPr>
    <w:rPr>
      <w:rFonts w:ascii="Calibri" w:hAnsi="Calibri" w:eastAsia="宋体"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eastAsia="宋体" w:cs="Times New Roman"/>
      <w:kern w:val="0"/>
      <w:sz w:val="20"/>
      <w:szCs w:val="20"/>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List Paragraph"/>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2"/>
    <w:qFormat/>
    <w:uiPriority w:val="0"/>
    <w:rPr>
      <w:rFonts w:ascii="Calibri" w:hAnsi="Calibri" w:eastAsia="仿宋" w:cs="Times New Roman"/>
      <w:b/>
      <w:bCs/>
      <w:kern w:val="44"/>
      <w:sz w:val="30"/>
      <w:szCs w:val="44"/>
    </w:rPr>
  </w:style>
  <w:style w:type="character" w:customStyle="1" w:styleId="88">
    <w:name w:val="标题 2 Char"/>
    <w:basedOn w:val="27"/>
    <w:link w:val="3"/>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eastAsia="宋体"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1524</Words>
  <Characters>8687</Characters>
  <Lines>72</Lines>
  <Paragraphs>20</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2021-10-11T02:26:00Z</cp:lastPrinted>
  <dcterms:modified xsi:type="dcterms:W3CDTF">2021-10-11T07:49:15Z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E28C2F1FB3DB44729CFC4F68C38361BC</vt:lpwstr>
  </property>
</Properties>
</file>