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湖北省博物馆博物馆维保材料</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博物馆维保材料</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湖北省博物馆维保材料项目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val="en-US" w:eastAsia="zh-CN"/>
        </w:rPr>
        <w:t>湖北省博物馆维保材料</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p>
      <w:pPr>
        <w:spacing w:line="440" w:lineRule="exact"/>
        <w:ind w:firstLine="480" w:firstLineChars="200"/>
        <w:rPr>
          <w:rFonts w:hint="default" w:eastAsia="宋体"/>
          <w:bCs/>
          <w:color w:val="auto"/>
          <w:sz w:val="24"/>
          <w:lang w:val="en-US"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lang w:val="en-US" w:eastAsia="zh-CN"/>
        </w:rPr>
        <w:t>博物馆维保材料</w:t>
      </w:r>
    </w:p>
    <w:tbl>
      <w:tblPr>
        <w:tblStyle w:val="32"/>
        <w:tblW w:w="9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414"/>
        <w:gridCol w:w="1560"/>
        <w:gridCol w:w="660"/>
        <w:gridCol w:w="660"/>
        <w:gridCol w:w="696"/>
        <w:gridCol w:w="684"/>
        <w:gridCol w:w="876"/>
        <w:gridCol w:w="816"/>
        <w:gridCol w:w="780"/>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915" w:type="dxa"/>
            <w:gridSpan w:val="9"/>
            <w:tcBorders>
              <w:top w:val="nil"/>
              <w:left w:val="nil"/>
              <w:bottom w:val="single" w:color="000000" w:sz="4" w:space="0"/>
              <w:right w:val="nil"/>
            </w:tcBorders>
            <w:vAlign w:val="center"/>
          </w:tcPr>
          <w:p>
            <w:pPr>
              <w:widowControl/>
              <w:jc w:val="center"/>
              <w:textAlignment w:val="center"/>
              <w:rPr>
                <w:rFonts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rPr>
              <w:t>湖北省博物馆维保材料清单</w:t>
            </w:r>
          </w:p>
        </w:tc>
        <w:tc>
          <w:tcPr>
            <w:tcW w:w="780" w:type="dxa"/>
            <w:tcBorders>
              <w:top w:val="nil"/>
              <w:left w:val="nil"/>
              <w:bottom w:val="single" w:color="000000" w:sz="4" w:space="0"/>
              <w:right w:val="nil"/>
            </w:tcBorders>
            <w:vAlign w:val="center"/>
          </w:tcPr>
          <w:p>
            <w:pPr>
              <w:widowControl/>
              <w:jc w:val="center"/>
              <w:textAlignment w:val="center"/>
              <w:rPr>
                <w:rFonts w:hint="eastAsia" w:ascii="华文中宋" w:hAnsi="华文中宋" w:eastAsia="华文中宋" w:cs="华文中宋"/>
                <w:i w:val="0"/>
                <w:iCs w:val="0"/>
                <w:color w:val="000000"/>
                <w:kern w:val="0"/>
                <w:sz w:val="24"/>
                <w:szCs w:val="24"/>
                <w:u w:val="none"/>
                <w:lang w:val="en-US" w:eastAsia="zh-CN"/>
              </w:rPr>
            </w:pPr>
          </w:p>
        </w:tc>
        <w:tc>
          <w:tcPr>
            <w:tcW w:w="753" w:type="dxa"/>
            <w:tcBorders>
              <w:top w:val="nil"/>
              <w:left w:val="nil"/>
              <w:bottom w:val="single" w:color="000000" w:sz="4" w:space="0"/>
              <w:right w:val="nil"/>
            </w:tcBorders>
            <w:vAlign w:val="center"/>
          </w:tcPr>
          <w:p>
            <w:pPr>
              <w:widowControl/>
              <w:jc w:val="center"/>
              <w:textAlignment w:val="center"/>
              <w:rPr>
                <w:rFonts w:hint="eastAsia" w:ascii="华文中宋" w:hAnsi="华文中宋" w:eastAsia="华文中宋" w:cs="华文中宋"/>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序号</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名称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型号规格</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单位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数量 </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单价限价</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限价合计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用途</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备注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报价单价</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报价合计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断路器(带漏保)</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20A/2P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3600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德力西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断路器(带漏保)</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32A/3P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1500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德力西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内丝铜直接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DE20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22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联塑</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LED格栅灯盘</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1200x600/54W/5700K</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1000</w:t>
            </w:r>
          </w:p>
        </w:tc>
        <w:tc>
          <w:tcPr>
            <w:tcW w:w="6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10000</w:t>
            </w:r>
          </w:p>
        </w:tc>
        <w:tc>
          <w:tcPr>
            <w:tcW w:w="8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三中心</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雷士</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5</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LED格栅灯盘</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600x600/32W/5700K</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6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8500</w:t>
            </w:r>
          </w:p>
        </w:tc>
        <w:tc>
          <w:tcPr>
            <w:tcW w:w="8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三中心</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雷士</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304不锈钢空调出水导流槽（定做）</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960X420X100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东南门安检房</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绝缘电线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3x4平方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红旗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绝缘电线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YJV22-5x4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3750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食堂</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红旗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豪华型配电箱</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铝合金线槽</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5CM</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750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食堂</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定制防风帘     （加厚型）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透明/3mm厚</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370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9620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综合馆进出口大门/后勤办公室大门</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定制防风帘     （加厚型）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磨砂/3mm厚</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451.25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13440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卫生间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LED投射灯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430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5590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综合馆景观灯</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上海亚明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LED投射灯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840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10920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综合馆景观灯</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上海亚明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面板</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1680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16800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电磁阀DC6V</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980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9800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膜片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610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6100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变压器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830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8300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电缆铜鼻子     （全铜加长）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Φ50-10/8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260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6500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框架断路器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NM1-125A/4300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框架断路器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NM1-100A/4300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700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指针式万用表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FM-47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480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480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ELECALL</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线缆剪         （工业用棘轮式）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J-95双齿</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切割片（加强型）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Φ400/350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3600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博世电锤钻头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GBH 5-40 DE</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500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淋浴混合阀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淋浴增压花洒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面盆龙头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470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4700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九牧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消声止回阀     （带密封垫）</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DN80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1000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金属汽油桶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30L</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陶瓷阻燃灯头     带底座一体</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螺口E27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89</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2670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院墙灯维修</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公牛</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LED节能灯泡</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E27/24W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90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院墙灯维修</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公牛</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抽水泵热接触器    /继电器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CJX2-0910/NR2-25</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2100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亚克力遮光板（白色）</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800X600mm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楚文化馆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定制玻璃贴膜     （白色磨砂）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both"/>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宽为31cm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411.76</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1400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会议大厅</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定制窗纱（细纱型）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340cmX240cm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8.16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306.37</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会议大厅</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定制窗纱（细纱型）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340cmX710cm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24.14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331.4</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卫生间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托盘、纸巾盒、茶叶咖啡盒（木制）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140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洗手液</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瓶</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玻璃杯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牙具、梳子、护理包</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40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16</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640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融雪剂（白色粉末环保型）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50斤/袋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全馆室外台阶防滑</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rPr>
              <w:t>含税合价</w:t>
            </w:r>
          </w:p>
        </w:tc>
        <w:tc>
          <w:tcPr>
            <w:tcW w:w="748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162720元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rPr>
              <w:t>合计金额(大写)</w:t>
            </w:r>
          </w:p>
        </w:tc>
        <w:tc>
          <w:tcPr>
            <w:tcW w:w="748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kern w:val="0"/>
                <w:sz w:val="20"/>
                <w:szCs w:val="20"/>
                <w:u w:val="none"/>
                <w:lang w:val="en-US" w:eastAsia="zh-CN"/>
              </w:rPr>
            </w:pPr>
            <w:r>
              <w:rPr>
                <w:rFonts w:hint="eastAsia" w:ascii="新宋体" w:hAnsi="新宋体" w:eastAsia="新宋体" w:cs="新宋体"/>
                <w:b/>
                <w:bCs/>
                <w:i w:val="0"/>
                <w:iCs w:val="0"/>
                <w:color w:val="000000"/>
                <w:kern w:val="0"/>
                <w:sz w:val="20"/>
                <w:szCs w:val="20"/>
                <w:u w:val="none"/>
                <w:lang w:val="en-US" w:eastAsia="zh-CN"/>
              </w:rPr>
              <w:t>壹拾陆万贰仟柒佰贰拾元整</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162720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2</w:t>
      </w:r>
      <w:r>
        <w:rPr>
          <w:rFonts w:hint="eastAsia" w:cs="宋体"/>
          <w:color w:val="auto"/>
          <w:sz w:val="24"/>
        </w:rPr>
        <w:t>月</w:t>
      </w:r>
      <w:r>
        <w:rPr>
          <w:rFonts w:hint="eastAsia" w:cs="宋体"/>
          <w:color w:val="auto"/>
          <w:sz w:val="24"/>
          <w:lang w:val="en-US" w:eastAsia="zh-CN"/>
        </w:rPr>
        <w:t>22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2</w:t>
      </w:r>
      <w:r>
        <w:rPr>
          <w:color w:val="auto"/>
          <w:sz w:val="24"/>
        </w:rPr>
        <w:t>月</w:t>
      </w:r>
      <w:r>
        <w:rPr>
          <w:rFonts w:hint="eastAsia"/>
          <w:color w:val="auto"/>
          <w:sz w:val="24"/>
          <w:lang w:val="en-US" w:eastAsia="zh-CN"/>
        </w:rPr>
        <w:t>21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lang w:val="en-US" w:eastAsia="zh-CN"/>
              </w:rPr>
              <w:t>湖北省博物馆维保材料</w:t>
            </w:r>
            <w:r>
              <w:rPr>
                <w:rFonts w:hint="eastAsia"/>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kern w:val="0"/>
                <w:sz w:val="24"/>
                <w:lang w:val="en-US" w:eastAsia="zh-CN"/>
              </w:rPr>
              <w:t>博物馆维保材料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rFonts w:hint="default"/>
                <w:color w:val="auto"/>
                <w:kern w:val="0"/>
                <w:sz w:val="24"/>
                <w:lang w:val="en-US"/>
              </w:rPr>
            </w:pPr>
            <w:r>
              <w:rPr>
                <w:rFonts w:hint="eastAsia" w:ascii="新宋体" w:hAnsi="新宋体" w:eastAsia="新宋体" w:cs="新宋体"/>
                <w:i w:val="0"/>
                <w:iCs w:val="0"/>
                <w:color w:val="000000"/>
                <w:kern w:val="0"/>
                <w:sz w:val="22"/>
                <w:szCs w:val="22"/>
                <w:u w:val="none"/>
                <w:lang w:val="en-US" w:eastAsia="zh-CN"/>
              </w:rPr>
              <w:t>162720</w:t>
            </w:r>
            <w:r>
              <w:rPr>
                <w:rFonts w:hint="eastAsia" w:cs="宋体"/>
                <w:color w:val="auto"/>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w:t>
            </w:r>
            <w:bookmarkStart w:id="0" w:name="_GoBack"/>
            <w:bookmarkEnd w:id="0"/>
            <w:r>
              <w:rPr>
                <w:rFonts w:hint="eastAsia" w:ascii="Times New Roman" w:hAnsi="Times New Roman" w:cs="宋体"/>
                <w:color w:val="auto"/>
                <w:sz w:val="24"/>
                <w:szCs w:val="24"/>
              </w:rPr>
              <w:t>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采购</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ascii="宋体" w:hAnsi="宋体"/>
          <w:color w:val="auto"/>
          <w:sz w:val="24"/>
          <w:szCs w:val="22"/>
        </w:rPr>
      </w:pPr>
      <w:r>
        <w:rPr>
          <w:color w:val="auto"/>
          <w:sz w:val="24"/>
        </w:rPr>
        <w:t>3</w:t>
      </w:r>
      <w:r>
        <w:rPr>
          <w:rFonts w:hint="eastAsia"/>
          <w:color w:val="auto"/>
          <w:sz w:val="24"/>
        </w:rPr>
        <w:t>2</w:t>
      </w:r>
      <w:r>
        <w:rPr>
          <w:color w:val="auto"/>
          <w:sz w:val="24"/>
        </w:rPr>
        <w:t>.</w:t>
      </w:r>
      <w:r>
        <w:rPr>
          <w:rFonts w:hint="eastAsia"/>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p>
      <w:pPr>
        <w:spacing w:line="440" w:lineRule="exact"/>
        <w:ind w:firstLine="480" w:firstLineChars="200"/>
        <w:rPr>
          <w:rFonts w:hint="eastAsia"/>
          <w:bCs/>
          <w:color w:val="auto"/>
          <w:sz w:val="24"/>
          <w:lang w:val="en-US" w:eastAsia="zh-CN"/>
        </w:rPr>
      </w:pPr>
      <w:r>
        <w:rPr>
          <w:rFonts w:hint="eastAsia"/>
          <w:bCs/>
          <w:color w:val="auto"/>
          <w:sz w:val="24"/>
          <w:lang w:eastAsia="zh-CN"/>
        </w:rPr>
        <w:t>（</w:t>
      </w:r>
      <w:r>
        <w:rPr>
          <w:rFonts w:hint="eastAsia"/>
          <w:bCs/>
          <w:color w:val="auto"/>
          <w:sz w:val="24"/>
          <w:lang w:val="en-US" w:eastAsia="zh-CN"/>
        </w:rPr>
        <w:t>1</w:t>
      </w:r>
      <w:r>
        <w:rPr>
          <w:rFonts w:hint="eastAsia"/>
          <w:bCs/>
          <w:color w:val="auto"/>
          <w:sz w:val="24"/>
          <w:lang w:eastAsia="zh-CN"/>
        </w:rPr>
        <w:t>）</w:t>
      </w:r>
      <w:r>
        <w:rPr>
          <w:rFonts w:hint="eastAsia"/>
          <w:bCs/>
          <w:color w:val="auto"/>
          <w:sz w:val="24"/>
          <w:lang w:val="en-US" w:eastAsia="zh-CN"/>
        </w:rPr>
        <w:t>博物馆维保材料</w:t>
      </w:r>
    </w:p>
    <w:tbl>
      <w:tblPr>
        <w:tblStyle w:val="32"/>
        <w:tblW w:w="9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1414"/>
        <w:gridCol w:w="1560"/>
        <w:gridCol w:w="660"/>
        <w:gridCol w:w="660"/>
        <w:gridCol w:w="696"/>
        <w:gridCol w:w="684"/>
        <w:gridCol w:w="876"/>
        <w:gridCol w:w="816"/>
        <w:gridCol w:w="780"/>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7915" w:type="dxa"/>
            <w:gridSpan w:val="9"/>
            <w:tcBorders>
              <w:top w:val="nil"/>
              <w:left w:val="nil"/>
              <w:bottom w:val="single" w:color="000000" w:sz="4" w:space="0"/>
              <w:right w:val="nil"/>
            </w:tcBorders>
            <w:vAlign w:val="center"/>
          </w:tcPr>
          <w:p>
            <w:pPr>
              <w:widowControl/>
              <w:jc w:val="center"/>
              <w:textAlignment w:val="center"/>
              <w:rPr>
                <w:rFonts w:ascii="华文中宋" w:hAnsi="华文中宋" w:eastAsia="华文中宋" w:cs="华文中宋"/>
                <w:i w:val="0"/>
                <w:iCs w:val="0"/>
                <w:color w:val="000000"/>
                <w:sz w:val="24"/>
                <w:szCs w:val="24"/>
                <w:u w:val="none"/>
              </w:rPr>
            </w:pPr>
            <w:r>
              <w:rPr>
                <w:rFonts w:hint="eastAsia" w:ascii="华文中宋" w:hAnsi="华文中宋" w:eastAsia="华文中宋" w:cs="华文中宋"/>
                <w:i w:val="0"/>
                <w:iCs w:val="0"/>
                <w:color w:val="000000"/>
                <w:kern w:val="0"/>
                <w:sz w:val="24"/>
                <w:szCs w:val="24"/>
                <w:u w:val="none"/>
                <w:lang w:val="en-US" w:eastAsia="zh-CN"/>
              </w:rPr>
              <w:t>湖北省博物馆维保材料清单</w:t>
            </w:r>
          </w:p>
        </w:tc>
        <w:tc>
          <w:tcPr>
            <w:tcW w:w="780" w:type="dxa"/>
            <w:tcBorders>
              <w:top w:val="nil"/>
              <w:left w:val="nil"/>
              <w:bottom w:val="single" w:color="000000" w:sz="4" w:space="0"/>
              <w:right w:val="nil"/>
            </w:tcBorders>
            <w:vAlign w:val="center"/>
          </w:tcPr>
          <w:p>
            <w:pPr>
              <w:widowControl/>
              <w:jc w:val="center"/>
              <w:textAlignment w:val="center"/>
              <w:rPr>
                <w:rFonts w:hint="eastAsia" w:ascii="华文中宋" w:hAnsi="华文中宋" w:eastAsia="华文中宋" w:cs="华文中宋"/>
                <w:i w:val="0"/>
                <w:iCs w:val="0"/>
                <w:color w:val="000000"/>
                <w:kern w:val="0"/>
                <w:sz w:val="24"/>
                <w:szCs w:val="24"/>
                <w:u w:val="none"/>
                <w:lang w:val="en-US" w:eastAsia="zh-CN"/>
              </w:rPr>
            </w:pPr>
          </w:p>
        </w:tc>
        <w:tc>
          <w:tcPr>
            <w:tcW w:w="753" w:type="dxa"/>
            <w:tcBorders>
              <w:top w:val="nil"/>
              <w:left w:val="nil"/>
              <w:bottom w:val="single" w:color="000000" w:sz="4" w:space="0"/>
              <w:right w:val="nil"/>
            </w:tcBorders>
            <w:vAlign w:val="center"/>
          </w:tcPr>
          <w:p>
            <w:pPr>
              <w:widowControl/>
              <w:jc w:val="center"/>
              <w:textAlignment w:val="center"/>
              <w:rPr>
                <w:rFonts w:hint="eastAsia" w:ascii="华文中宋" w:hAnsi="华文中宋" w:eastAsia="华文中宋" w:cs="华文中宋"/>
                <w:i w:val="0"/>
                <w:iCs w:val="0"/>
                <w:color w:val="000000"/>
                <w:kern w:val="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序号</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名称</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型号规格</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单位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数量 </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单价限价</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限价合计</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用途</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备注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报价单价</w:t>
            </w: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报价合计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断路器(带漏保)</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20A/2P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3600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德力西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断路器(带漏保)</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32A/3P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1500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德力西</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内丝铜直接</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DE20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22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联塑</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LED格栅灯盘</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1200x600/54W/5700K</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1000</w:t>
            </w:r>
          </w:p>
        </w:tc>
        <w:tc>
          <w:tcPr>
            <w:tcW w:w="6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10000</w:t>
            </w:r>
          </w:p>
        </w:tc>
        <w:tc>
          <w:tcPr>
            <w:tcW w:w="8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三中心</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雷士</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5</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LED格栅灯盘</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600x600/32W/5700K</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68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8500</w:t>
            </w:r>
          </w:p>
        </w:tc>
        <w:tc>
          <w:tcPr>
            <w:tcW w:w="87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三中心</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雷士</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304不锈钢空调出水导流槽（定做）</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960X420X100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东南门安检房</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绝缘电线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3x4平方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红旗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绝缘电线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YJV22-5x4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3750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食堂</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红旗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豪华型配电箱</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4P</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w:t>
            </w:r>
          </w:p>
        </w:tc>
        <w:tc>
          <w:tcPr>
            <w:tcW w:w="141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铝合金线槽</w:t>
            </w:r>
          </w:p>
        </w:tc>
        <w:tc>
          <w:tcPr>
            <w:tcW w:w="15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5CM</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米</w:t>
            </w:r>
          </w:p>
        </w:tc>
        <w:tc>
          <w:tcPr>
            <w:tcW w:w="66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750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食堂</w:t>
            </w:r>
          </w:p>
        </w:tc>
        <w:tc>
          <w:tcPr>
            <w:tcW w:w="816"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定制防风帘     （加厚型）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透明/3mm厚</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370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9620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综合馆进出口大门/后勤办公室大门</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定制防风帘     （加厚型）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磨砂/3mm厚</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平方</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451.25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13440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卫生间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LED投射灯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430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5590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综合馆景观灯</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上海亚明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LED投射灯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840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10920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综合馆景观灯</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上海亚明</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面板</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1680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16800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电磁阀DC6V</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980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9800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膜片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610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6100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感应阀组件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变压器</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830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8300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r>
              <w:rPr>
                <w:rFonts w:hint="eastAsia" w:ascii="新宋体" w:hAnsi="新宋体" w:eastAsia="新宋体" w:cs="新宋体"/>
                <w:i w:val="0"/>
                <w:iCs w:val="0"/>
                <w:color w:val="000000"/>
                <w:kern w:val="0"/>
                <w:sz w:val="20"/>
                <w:szCs w:val="20"/>
                <w:u w:val="none"/>
                <w:lang w:val="en-US" w:eastAsia="zh-CN"/>
              </w:rPr>
              <w:t>TOTO</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电缆铜鼻子     （全铜加长）</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Φ50-10/8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260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25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6500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框架断路器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NM1-125A/4300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框架断路器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NM1-100A/4300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700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700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22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指针式万用表   </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FM-47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480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480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ELECALL</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线缆剪         （工业用棘轮式）</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J-95双齿</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950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切割片（加强型）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Φ400/350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片</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900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3600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博世电锤钻头</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GBH 5-40 DE</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500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博世</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淋浴混合阀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淋浴增压花洒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面盆龙头       （全铜）</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470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4700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综合馆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九牧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消声止回阀     （带密封垫）</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DN80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1000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金属汽油桶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30L</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维修班/运行班</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陶瓷阻燃灯头     带底座一体</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螺口E27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89</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2670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院墙灯维修</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公牛</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32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LED节能灯泡</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E27/24W</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90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4500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院墙灯维修</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公牛</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33</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抽水泵热接触器    /继电器</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CJX2-0910/NR2-25</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420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2100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地下停车库</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正泰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34</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亚克力遮光板（白色）</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800X600mm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楚文化馆</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35</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定制玻璃贴膜     （白色磨砂）</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ind w:firstLine="400" w:firstLineChars="200"/>
              <w:jc w:val="both"/>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宽为31cm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411.76</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1400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会议大厅</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36</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定制窗纱（细纱型）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340cmX240cm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8.16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306.37</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2500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会议大厅</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37</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定制窗纱（细纱型）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340cmX710cm</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m2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24.14</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331.4</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8000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卫生间</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38</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托盘、纸巾盒、茶叶咖啡盒（木制）</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140 </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840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39</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洗手液</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瓶</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50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100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40</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玻璃杯</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个</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45</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540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41</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牙具、梳子、护理包</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高档酒店型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套</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40</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16</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640</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文展大楼       会议室洗漱台</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5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eastAsia="zh-CN"/>
              </w:rPr>
            </w:pPr>
            <w:r>
              <w:rPr>
                <w:rFonts w:hint="eastAsia" w:ascii="新宋体" w:hAnsi="新宋体" w:eastAsia="新宋体" w:cs="新宋体"/>
                <w:i w:val="0"/>
                <w:iCs w:val="0"/>
                <w:color w:val="000000"/>
                <w:sz w:val="20"/>
                <w:szCs w:val="20"/>
                <w:u w:val="none"/>
                <w:lang w:val="en-US" w:eastAsia="zh-CN"/>
              </w:rPr>
              <w:t>42</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融雪剂（白色粉末环保型）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50斤/袋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12</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新宋体" w:hAnsi="新宋体" w:eastAsia="新宋体" w:cs="新宋体"/>
                <w:i w:val="0"/>
                <w:iCs w:val="0"/>
                <w:color w:val="000000"/>
                <w:sz w:val="20"/>
                <w:szCs w:val="20"/>
                <w:u w:val="none"/>
                <w:lang w:val="en-US"/>
              </w:rPr>
            </w:pPr>
            <w:r>
              <w:rPr>
                <w:rFonts w:hint="eastAsia" w:ascii="新宋体" w:hAnsi="新宋体" w:eastAsia="新宋体" w:cs="新宋体"/>
                <w:i w:val="0"/>
                <w:iCs w:val="0"/>
                <w:color w:val="000000"/>
                <w:kern w:val="0"/>
                <w:sz w:val="20"/>
                <w:szCs w:val="20"/>
                <w:u w:val="none"/>
                <w:lang w:val="en-US" w:eastAsia="zh-CN"/>
              </w:rPr>
              <w:t>100</w:t>
            </w:r>
          </w:p>
        </w:tc>
        <w:tc>
          <w:tcPr>
            <w:tcW w:w="6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 xml:space="preserve">1200 </w:t>
            </w:r>
          </w:p>
        </w:tc>
        <w:tc>
          <w:tcPr>
            <w:tcW w:w="8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全馆室外台阶防滑</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国产优质</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c>
          <w:tcPr>
            <w:tcW w:w="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rPr>
              <w:t>含税合价</w:t>
            </w:r>
          </w:p>
        </w:tc>
        <w:tc>
          <w:tcPr>
            <w:tcW w:w="748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rPr>
              <w:t>162720元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9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rPr>
              <w:t>合计金额(大写)</w:t>
            </w:r>
          </w:p>
        </w:tc>
        <w:tc>
          <w:tcPr>
            <w:tcW w:w="7485"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新宋体" w:hAnsi="新宋体" w:eastAsia="新宋体" w:cs="新宋体"/>
                <w:b/>
                <w:bCs/>
                <w:i w:val="0"/>
                <w:iCs w:val="0"/>
                <w:color w:val="000000"/>
                <w:kern w:val="0"/>
                <w:sz w:val="20"/>
                <w:szCs w:val="20"/>
                <w:u w:val="none"/>
                <w:lang w:val="en-US" w:eastAsia="zh-CN"/>
              </w:rPr>
            </w:pPr>
            <w:r>
              <w:rPr>
                <w:rFonts w:hint="eastAsia" w:ascii="新宋体" w:hAnsi="新宋体" w:eastAsia="新宋体" w:cs="新宋体"/>
                <w:b/>
                <w:bCs/>
                <w:i w:val="0"/>
                <w:iCs w:val="0"/>
                <w:color w:val="000000"/>
                <w:kern w:val="0"/>
                <w:sz w:val="20"/>
                <w:szCs w:val="20"/>
                <w:u w:val="none"/>
                <w:lang w:val="en-US" w:eastAsia="zh-CN"/>
              </w:rPr>
              <w:t>壹拾陆万贰仟柒佰贰拾元整</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numId w:val="0"/>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1.维保材料需符合文件所提出的品牌及厂家，不得出现不符合文件要求的劣质品牌材料。</w:t>
      </w:r>
    </w:p>
    <w:p>
      <w:pPr>
        <w:numPr>
          <w:numId w:val="0"/>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2.维保材料数量需符合文件所规定的的数量，单价不得超过文件中的各项单价。</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3</w:t>
      </w:r>
      <w:r>
        <w:rPr>
          <w:rFonts w:hint="eastAsia" w:ascii="宋体" w:hAnsi="宋体"/>
          <w:color w:val="auto"/>
          <w:sz w:val="24"/>
          <w:szCs w:val="22"/>
        </w:rPr>
        <w:t>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hint="eastAsia"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480" w:hanging="480" w:hangingChars="200"/>
        <w:rPr>
          <w:rFonts w:ascii="宋体" w:hAnsi="宋体"/>
          <w:color w:val="auto"/>
          <w:sz w:val="24"/>
          <w:szCs w:val="22"/>
        </w:rPr>
      </w:pPr>
      <w:r>
        <w:rPr>
          <w:rFonts w:hint="eastAsia" w:ascii="宋体" w:hAnsi="宋体"/>
          <w:color w:val="auto"/>
          <w:sz w:val="24"/>
          <w:szCs w:val="22"/>
        </w:rPr>
        <w:t>2.1.7付款方式：经验收合格后，</w:t>
      </w:r>
      <w:r>
        <w:rPr>
          <w:rFonts w:hint="eastAsia" w:ascii="宋体" w:hAnsi="宋体"/>
          <w:color w:val="auto"/>
          <w:sz w:val="24"/>
          <w:szCs w:val="22"/>
          <w:lang w:val="en-US" w:eastAsia="zh-CN"/>
        </w:rPr>
        <w:t>按合同金额</w:t>
      </w:r>
      <w:r>
        <w:rPr>
          <w:rFonts w:hint="eastAsia" w:ascii="宋体" w:hAnsi="宋体"/>
          <w:color w:val="auto"/>
          <w:sz w:val="24"/>
          <w:szCs w:val="22"/>
          <w:lang w:eastAsia="zh-CN"/>
        </w:rPr>
        <w:t>结算款项</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sz w:val="24"/>
          <w:szCs w:val="22"/>
          <w:lang w:eastAsia="zh-CN"/>
        </w:rPr>
        <w:t>。</w:t>
      </w:r>
    </w:p>
    <w:p>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方案。</w:t>
      </w:r>
    </w:p>
    <w:p>
      <w:pPr>
        <w:spacing w:line="360" w:lineRule="auto"/>
        <w:ind w:left="240" w:hanging="240" w:hangingChars="100"/>
        <w:rPr>
          <w:rFonts w:ascii="宋体" w:hAnsi="宋体"/>
          <w:b/>
          <w:color w:val="auto"/>
          <w:sz w:val="24"/>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olor w:val="auto"/>
          <w:sz w:val="24"/>
        </w:rPr>
      </w:pPr>
      <w:r>
        <w:rPr>
          <w:rFonts w:hint="eastAsia" w:ascii="宋体" w:hAnsi="宋体" w:cs="宋体"/>
          <w:caps/>
          <w:color w:val="auto"/>
          <w:sz w:val="24"/>
        </w:rPr>
        <w:t>根据符合采购需求、质量和服务相等且报价（评审价）最低的原则确定成交候选供应商。</w:t>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rFonts w:hint="default" w:eastAsia="宋体"/>
          <w:color w:val="auto"/>
          <w:kern w:val="0"/>
          <w:sz w:val="24"/>
          <w:szCs w:val="20"/>
          <w:lang w:val="en-US" w:eastAsia="zh-CN"/>
        </w:rPr>
      </w:pPr>
      <w:r>
        <w:rPr>
          <w:color w:val="auto"/>
          <w:kern w:val="0"/>
          <w:sz w:val="24"/>
          <w:szCs w:val="20"/>
        </w:rPr>
        <w:t>合同总金额：人民币</w:t>
      </w:r>
      <w:r>
        <w:rPr>
          <w:rFonts w:hint="eastAsia"/>
          <w:color w:val="auto"/>
          <w:kern w:val="0"/>
          <w:sz w:val="24"/>
          <w:szCs w:val="20"/>
          <w:lang w:val="en-US" w:eastAsia="zh-CN"/>
        </w:rPr>
        <w:t>162720元</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2E2020C"/>
    <w:rsid w:val="04CB4663"/>
    <w:rsid w:val="07202B8B"/>
    <w:rsid w:val="0A5500AC"/>
    <w:rsid w:val="0A7926B1"/>
    <w:rsid w:val="0C8278C4"/>
    <w:rsid w:val="0D290D01"/>
    <w:rsid w:val="1100167C"/>
    <w:rsid w:val="11710EDF"/>
    <w:rsid w:val="15BC6319"/>
    <w:rsid w:val="186D1B85"/>
    <w:rsid w:val="1FBD6CCD"/>
    <w:rsid w:val="20EF37CA"/>
    <w:rsid w:val="22ED30E1"/>
    <w:rsid w:val="23BA7969"/>
    <w:rsid w:val="28105465"/>
    <w:rsid w:val="285A32AB"/>
    <w:rsid w:val="2A103B2E"/>
    <w:rsid w:val="2BE91AE9"/>
    <w:rsid w:val="2E5F1804"/>
    <w:rsid w:val="2EAB6E20"/>
    <w:rsid w:val="2F7E2447"/>
    <w:rsid w:val="31551BF1"/>
    <w:rsid w:val="319E1AD0"/>
    <w:rsid w:val="325C5A56"/>
    <w:rsid w:val="35AA3052"/>
    <w:rsid w:val="360B4637"/>
    <w:rsid w:val="372642F2"/>
    <w:rsid w:val="3800658E"/>
    <w:rsid w:val="38C03CAD"/>
    <w:rsid w:val="3AAF547F"/>
    <w:rsid w:val="3CE37A36"/>
    <w:rsid w:val="3DF029E6"/>
    <w:rsid w:val="3EA81735"/>
    <w:rsid w:val="3F377B8B"/>
    <w:rsid w:val="41B17A1F"/>
    <w:rsid w:val="43253B1A"/>
    <w:rsid w:val="448202B8"/>
    <w:rsid w:val="44FA6C11"/>
    <w:rsid w:val="45943BE1"/>
    <w:rsid w:val="459870D2"/>
    <w:rsid w:val="465004F5"/>
    <w:rsid w:val="4B644FF9"/>
    <w:rsid w:val="506D69F3"/>
    <w:rsid w:val="535D5149"/>
    <w:rsid w:val="54D77894"/>
    <w:rsid w:val="58B00BA8"/>
    <w:rsid w:val="59DC54D4"/>
    <w:rsid w:val="5D785741"/>
    <w:rsid w:val="62E06647"/>
    <w:rsid w:val="643B161C"/>
    <w:rsid w:val="644609DE"/>
    <w:rsid w:val="67460FE3"/>
    <w:rsid w:val="68A1454F"/>
    <w:rsid w:val="691436B6"/>
    <w:rsid w:val="69F4357D"/>
    <w:rsid w:val="6A700F44"/>
    <w:rsid w:val="6C5D5018"/>
    <w:rsid w:val="6C665064"/>
    <w:rsid w:val="6DD213FA"/>
    <w:rsid w:val="6E087D3D"/>
    <w:rsid w:val="6ED74BAE"/>
    <w:rsid w:val="727134AA"/>
    <w:rsid w:val="742A0DBE"/>
    <w:rsid w:val="764007A7"/>
    <w:rsid w:val="77796BB2"/>
    <w:rsid w:val="788F67FD"/>
    <w:rsid w:val="7BCA74D6"/>
    <w:rsid w:val="7C0225BC"/>
    <w:rsid w:val="7D0E6EC6"/>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2022-02-09T06:49:00Z</cp:lastPrinted>
  <dcterms:modified xsi:type="dcterms:W3CDTF">2022-02-18T07:39:46Z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E28C2F1FB3DB44729CFC4F68C38361BC</vt:lpwstr>
  </property>
</Properties>
</file>