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sz w:val="44"/>
        </w:rPr>
      </w:pPr>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left="277" w:leftChars="99" w:firstLine="0" w:firstLineChars="0"/>
        <w:jc w:val="left"/>
        <w:rPr>
          <w:bCs/>
          <w:color w:val="auto"/>
          <w:sz w:val="32"/>
          <w:szCs w:val="32"/>
        </w:rPr>
      </w:pPr>
      <w:r>
        <w:rPr>
          <w:bCs/>
          <w:color w:val="auto"/>
          <w:sz w:val="32"/>
          <w:szCs w:val="32"/>
        </w:rPr>
        <w:t>项目编号：</w:t>
      </w:r>
    </w:p>
    <w:p>
      <w:pPr>
        <w:spacing w:line="480" w:lineRule="auto"/>
        <w:ind w:left="277" w:leftChars="99" w:firstLine="0" w:firstLineChars="0"/>
        <w:jc w:val="left"/>
        <w:rPr>
          <w:rFonts w:hint="eastAsia"/>
          <w:bCs/>
          <w:color w:val="auto"/>
          <w:sz w:val="32"/>
          <w:szCs w:val="32"/>
        </w:rPr>
      </w:pPr>
      <w:r>
        <w:rPr>
          <w:bCs/>
          <w:color w:val="auto"/>
          <w:sz w:val="32"/>
          <w:szCs w:val="32"/>
        </w:rPr>
        <w:t>项目名称：</w:t>
      </w:r>
      <w:r>
        <w:rPr>
          <w:rFonts w:hint="eastAsia"/>
          <w:bCs/>
          <w:color w:val="auto"/>
          <w:sz w:val="32"/>
          <w:szCs w:val="32"/>
        </w:rPr>
        <w:t>湖北省博物馆2022年门票预约系统、陂安南等云托管项目</w:t>
      </w:r>
    </w:p>
    <w:p>
      <w:pPr>
        <w:spacing w:line="480" w:lineRule="auto"/>
        <w:ind w:left="277" w:leftChars="99" w:firstLine="0" w:firstLineChars="0"/>
        <w:jc w:val="left"/>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rPr>
        <w:t>2022年门票预约系统、陂安南等云托管</w:t>
      </w: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pPr>
      <w:r>
        <w:rPr>
          <w:rFonts w:hint="eastAsia"/>
          <w:color w:val="auto"/>
          <w:sz w:val="32"/>
          <w:szCs w:val="32"/>
          <w:lang w:eastAsia="zh-CN"/>
        </w:rPr>
        <w:t>2022</w:t>
      </w:r>
      <w:r>
        <w:rPr>
          <w:color w:val="auto"/>
          <w:sz w:val="32"/>
          <w:szCs w:val="32"/>
        </w:rPr>
        <w:t>年</w:t>
      </w:r>
      <w:r>
        <w:rPr>
          <w:rFonts w:hint="eastAsia"/>
          <w:color w:val="auto"/>
          <w:sz w:val="32"/>
          <w:szCs w:val="32"/>
          <w:lang w:val="en-US" w:eastAsia="zh-CN"/>
        </w:rPr>
        <w:t>4</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9" w:type="default"/>
          <w:pgSz w:w="11906" w:h="16838"/>
          <w:pgMar w:top="1440" w:right="1800" w:bottom="1440" w:left="1800" w:header="851" w:footer="992" w:gutter="0"/>
          <w:cols w:space="425" w:num="1"/>
          <w:docGrid w:type="lines" w:linePitch="312" w:charSpace="0"/>
        </w:sectPr>
      </w:pPr>
      <w:r>
        <w:rPr>
          <w:color w:val="auto"/>
        </w:rPr>
        <w:t>第五章</w:t>
      </w:r>
      <w:r>
        <w:rPr>
          <w:rFonts w:hint="eastAsia"/>
          <w:color w:val="auto"/>
        </w:rPr>
        <w:t xml:space="preserve">  </w:t>
      </w:r>
      <w:r>
        <w:rPr>
          <w:color w:val="auto"/>
        </w:rPr>
        <w:t>响应文件格式</w:t>
      </w:r>
    </w:p>
    <w:p>
      <w:pPr>
        <w:adjustRightInd w:val="0"/>
        <w:snapToGrid w:val="0"/>
        <w:spacing w:line="240" w:lineRule="auto"/>
        <w:ind w:left="-146" w:leftChars="-52" w:right="-196" w:rightChars="-70" w:firstLine="1"/>
        <w:jc w:val="center"/>
        <w:outlineLvl w:val="0"/>
        <w:rPr>
          <w:b/>
          <w:bCs w:val="0"/>
          <w:color w:val="auto"/>
          <w:sz w:val="36"/>
          <w:szCs w:val="36"/>
        </w:rPr>
      </w:pPr>
      <w:r>
        <w:rPr>
          <w:b/>
          <w:bCs w:val="0"/>
          <w:color w:val="auto"/>
          <w:sz w:val="36"/>
          <w:szCs w:val="36"/>
        </w:rPr>
        <w:t>第一章</w:t>
      </w:r>
      <w:r>
        <w:rPr>
          <w:rFonts w:hint="default"/>
          <w:b/>
          <w:bCs w:val="0"/>
          <w:color w:val="auto"/>
          <w:sz w:val="36"/>
          <w:szCs w:val="36"/>
        </w:rPr>
        <w:t xml:space="preserve">  </w:t>
      </w:r>
      <w:r>
        <w:rPr>
          <w:b/>
          <w:bCs w:val="0"/>
          <w:color w:val="auto"/>
          <w:sz w:val="36"/>
          <w:szCs w:val="36"/>
        </w:rPr>
        <w:t>谈判邀请函</w:t>
      </w:r>
    </w:p>
    <w:p>
      <w:pPr>
        <w:spacing w:line="500" w:lineRule="exact"/>
        <w:rPr>
          <w:bCs/>
          <w:color w:val="auto"/>
          <w:sz w:val="24"/>
        </w:rPr>
      </w:pPr>
    </w:p>
    <w:p>
      <w:pPr>
        <w:spacing w:line="336" w:lineRule="auto"/>
        <w:rPr>
          <w:bCs/>
          <w:color w:val="auto"/>
          <w:sz w:val="24"/>
        </w:rPr>
      </w:pPr>
      <w:r>
        <w:rPr>
          <w:rFonts w:hint="eastAsia"/>
          <w:bCs/>
          <w:color w:val="auto"/>
          <w:sz w:val="24"/>
        </w:rPr>
        <w:t>受</w:t>
      </w:r>
      <w:r>
        <w:rPr>
          <w:bCs/>
          <w:color w:val="auto"/>
          <w:sz w:val="24"/>
        </w:rPr>
        <w:t>邀请供应商：</w:t>
      </w:r>
    </w:p>
    <w:p>
      <w:pPr>
        <w:spacing w:line="336" w:lineRule="auto"/>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color w:val="auto"/>
          <w:sz w:val="24"/>
          <w:u w:val="single"/>
          <w:lang w:eastAsia="zh-CN"/>
        </w:rPr>
        <w:t>湖北省博物馆</w:t>
      </w:r>
      <w:r>
        <w:rPr>
          <w:rFonts w:hint="eastAsia" w:ascii="宋体" w:hAnsi="宋体" w:eastAsia="宋体" w:cs="宋体"/>
          <w:bCs/>
          <w:color w:val="auto"/>
          <w:sz w:val="24"/>
          <w:szCs w:val="24"/>
          <w:u w:val="single"/>
        </w:rPr>
        <w:t>2022年门票预约系统、陂安南等云托管</w:t>
      </w:r>
      <w:r>
        <w:rPr>
          <w:rFonts w:hint="eastAsia" w:ascii="宋体" w:hAnsi="宋体" w:cs="宋体"/>
          <w:bCs/>
          <w:color w:val="auto"/>
          <w:sz w:val="24"/>
          <w:szCs w:val="24"/>
          <w:u w:val="single"/>
          <w:lang w:val="en-US" w:eastAsia="zh-CN"/>
        </w:rPr>
        <w:t>项目</w:t>
      </w:r>
      <w:r>
        <w:rPr>
          <w:rFonts w:hint="eastAsia"/>
          <w:color w:val="auto"/>
          <w:sz w:val="24"/>
        </w:rPr>
        <w:t>）</w:t>
      </w:r>
      <w:r>
        <w:rPr>
          <w:bCs/>
          <w:color w:val="auto"/>
          <w:sz w:val="24"/>
        </w:rPr>
        <w:t>的谈判供应商，现邀请你公司参加谈判。</w:t>
      </w:r>
    </w:p>
    <w:p>
      <w:pPr>
        <w:spacing w:line="336" w:lineRule="auto"/>
        <w:ind w:firstLine="480" w:firstLineChars="200"/>
        <w:rPr>
          <w:bCs/>
          <w:color w:val="auto"/>
          <w:sz w:val="24"/>
        </w:rPr>
      </w:pPr>
      <w:r>
        <w:rPr>
          <w:bCs/>
          <w:color w:val="auto"/>
          <w:sz w:val="24"/>
        </w:rPr>
        <w:t>一、项目编号：</w:t>
      </w:r>
    </w:p>
    <w:p>
      <w:pPr>
        <w:spacing w:line="336" w:lineRule="auto"/>
        <w:ind w:firstLine="480" w:firstLineChars="200"/>
        <w:rPr>
          <w:rFonts w:hint="eastAsia" w:eastAsia="宋体"/>
          <w:bCs/>
          <w:color w:val="auto"/>
          <w:sz w:val="24"/>
          <w:lang w:val="en-US" w:eastAsia="zh-CN"/>
        </w:rPr>
      </w:pPr>
      <w:r>
        <w:rPr>
          <w:bCs/>
          <w:color w:val="auto"/>
          <w:sz w:val="24"/>
        </w:rPr>
        <w:t>二、项目名称：</w:t>
      </w:r>
      <w:r>
        <w:rPr>
          <w:rFonts w:hint="eastAsia"/>
          <w:bCs/>
          <w:color w:val="auto"/>
          <w:sz w:val="24"/>
        </w:rPr>
        <w:t>湖北省博物馆</w:t>
      </w:r>
      <w:r>
        <w:rPr>
          <w:rFonts w:hint="eastAsia"/>
          <w:bCs/>
          <w:color w:val="auto"/>
          <w:sz w:val="24"/>
          <w:lang w:val="en-US" w:eastAsia="zh-CN"/>
        </w:rPr>
        <w:t>2022年门票预约系统、</w:t>
      </w:r>
      <w:r>
        <w:rPr>
          <w:rFonts w:hint="eastAsia" w:ascii="宋体" w:hAnsi="宋体" w:eastAsia="宋体" w:cs="宋体"/>
          <w:bCs/>
          <w:color w:val="auto"/>
          <w:sz w:val="24"/>
          <w:szCs w:val="24"/>
          <w:u w:val="none"/>
        </w:rPr>
        <w:t>陂安南等云托管</w:t>
      </w:r>
      <w:r>
        <w:rPr>
          <w:rFonts w:hint="eastAsia" w:ascii="宋体" w:hAnsi="宋体" w:cs="宋体"/>
          <w:bCs/>
          <w:color w:val="auto"/>
          <w:sz w:val="24"/>
          <w:szCs w:val="24"/>
          <w:u w:val="none"/>
          <w:lang w:val="en-US" w:eastAsia="zh-CN"/>
        </w:rPr>
        <w:t>项目</w:t>
      </w:r>
    </w:p>
    <w:p>
      <w:pPr>
        <w:spacing w:line="336" w:lineRule="auto"/>
        <w:ind w:firstLine="480" w:firstLineChars="200"/>
        <w:rPr>
          <w:bCs/>
          <w:color w:val="auto"/>
          <w:sz w:val="24"/>
        </w:rPr>
      </w:pPr>
      <w:r>
        <w:rPr>
          <w:bCs/>
          <w:color w:val="auto"/>
          <w:sz w:val="24"/>
        </w:rPr>
        <w:t>三、谈判内容：</w:t>
      </w:r>
    </w:p>
    <w:tbl>
      <w:tblPr>
        <w:tblStyle w:val="28"/>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5124"/>
        <w:gridCol w:w="2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336" w:lineRule="auto"/>
              <w:jc w:val="center"/>
              <w:rPr>
                <w:rFonts w:ascii="宋体" w:hAnsi="宋体" w:cs="宋体"/>
                <w:color w:val="auto"/>
                <w:sz w:val="24"/>
              </w:rPr>
            </w:pPr>
            <w:r>
              <w:rPr>
                <w:rFonts w:hint="eastAsia" w:ascii="宋体" w:hAnsi="宋体" w:cs="宋体"/>
                <w:color w:val="auto"/>
                <w:sz w:val="24"/>
              </w:rPr>
              <w:t>序号</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336" w:lineRule="auto"/>
              <w:jc w:val="center"/>
              <w:rPr>
                <w:rFonts w:ascii="宋体" w:hAnsi="宋体" w:cs="宋体"/>
                <w:color w:val="auto"/>
                <w:sz w:val="24"/>
              </w:rPr>
            </w:pPr>
            <w:r>
              <w:rPr>
                <w:rFonts w:hint="eastAsia" w:ascii="宋体" w:hAnsi="宋体" w:cs="宋体"/>
                <w:color w:val="auto"/>
                <w:sz w:val="24"/>
              </w:rPr>
              <w:t>服务名称</w:t>
            </w:r>
          </w:p>
        </w:tc>
        <w:tc>
          <w:tcPr>
            <w:tcW w:w="2246" w:type="dxa"/>
            <w:tcBorders>
              <w:top w:val="single" w:color="000000" w:sz="4" w:space="0"/>
              <w:left w:val="nil"/>
              <w:bottom w:val="single" w:color="000000" w:sz="4" w:space="0"/>
              <w:right w:val="single" w:color="000000" w:sz="4" w:space="0"/>
            </w:tcBorders>
            <w:vAlign w:val="center"/>
          </w:tcPr>
          <w:p>
            <w:pPr>
              <w:shd w:val="clear" w:color="auto" w:fill="FFFFFF"/>
              <w:spacing w:line="336" w:lineRule="auto"/>
              <w:jc w:val="center"/>
              <w:rPr>
                <w:rFonts w:ascii="宋体" w:hAnsi="宋体" w:cs="宋体"/>
                <w:color w:val="auto"/>
                <w:sz w:val="24"/>
              </w:rPr>
            </w:pPr>
            <w:r>
              <w:rPr>
                <w:rFonts w:hint="eastAsia" w:ascii="宋体" w:hAnsi="宋体" w:cs="宋体"/>
                <w:color w:val="auto"/>
                <w:sz w:val="24"/>
              </w:rPr>
              <w:t>数  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336" w:lineRule="auto"/>
              <w:jc w:val="center"/>
              <w:rPr>
                <w:rFonts w:ascii="宋体" w:hAnsi="宋体" w:cs="宋体"/>
                <w:color w:val="auto"/>
                <w:sz w:val="24"/>
              </w:rPr>
            </w:pPr>
            <w:r>
              <w:rPr>
                <w:rFonts w:hint="eastAsia" w:ascii="宋体" w:hAnsi="宋体" w:cs="宋体"/>
                <w:color w:val="auto"/>
                <w:sz w:val="24"/>
              </w:rPr>
              <w:t>1</w:t>
            </w:r>
          </w:p>
        </w:tc>
        <w:tc>
          <w:tcPr>
            <w:tcW w:w="5124" w:type="dxa"/>
            <w:tcBorders>
              <w:top w:val="single" w:color="000000" w:sz="4" w:space="0"/>
              <w:left w:val="nil"/>
              <w:right w:val="single" w:color="000000" w:sz="4" w:space="0"/>
            </w:tcBorders>
            <w:vAlign w:val="center"/>
          </w:tcPr>
          <w:p>
            <w:pPr>
              <w:shd w:val="clear" w:color="auto" w:fill="FFFFFF"/>
              <w:spacing w:line="336" w:lineRule="auto"/>
              <w:jc w:val="center"/>
              <w:rPr>
                <w:rFonts w:ascii="宋体" w:hAnsi="宋体" w:cs="宋体"/>
                <w:color w:val="auto"/>
                <w:sz w:val="24"/>
              </w:rPr>
            </w:pPr>
            <w:r>
              <w:rPr>
                <w:rFonts w:hint="eastAsia" w:ascii="宋体" w:hAnsi="宋体" w:eastAsia="宋体" w:cs="宋体"/>
                <w:i w:val="0"/>
                <w:iCs w:val="0"/>
                <w:snapToGrid w:val="0"/>
                <w:color w:val="auto"/>
                <w:kern w:val="0"/>
                <w:sz w:val="24"/>
                <w:szCs w:val="24"/>
                <w:u w:val="none"/>
                <w:lang w:val="en-US" w:eastAsia="zh-CN" w:bidi="ar"/>
              </w:rPr>
              <w:t>入口负载</w:t>
            </w:r>
          </w:p>
        </w:tc>
        <w:tc>
          <w:tcPr>
            <w:tcW w:w="2246" w:type="dxa"/>
            <w:tcBorders>
              <w:top w:val="single" w:color="000000" w:sz="4" w:space="0"/>
              <w:left w:val="nil"/>
              <w:right w:val="single" w:color="000000" w:sz="4" w:space="0"/>
            </w:tcBorders>
            <w:vAlign w:val="center"/>
          </w:tcPr>
          <w:p>
            <w:pPr>
              <w:spacing w:line="336"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1台/年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336" w:lineRule="auto"/>
              <w:jc w:val="center"/>
              <w:rPr>
                <w:rFonts w:ascii="宋体" w:hAnsi="宋体" w:cs="宋体"/>
                <w:color w:val="auto"/>
                <w:sz w:val="24"/>
              </w:rPr>
            </w:pPr>
            <w:r>
              <w:rPr>
                <w:rFonts w:hint="eastAsia" w:ascii="宋体" w:hAnsi="宋体" w:cs="宋体"/>
                <w:color w:val="auto"/>
                <w:sz w:val="24"/>
              </w:rPr>
              <w:t>2</w:t>
            </w:r>
          </w:p>
        </w:tc>
        <w:tc>
          <w:tcPr>
            <w:tcW w:w="5124" w:type="dxa"/>
            <w:tcBorders>
              <w:top w:val="single" w:color="000000" w:sz="4" w:space="0"/>
              <w:left w:val="nil"/>
              <w:right w:val="single" w:color="000000" w:sz="4" w:space="0"/>
            </w:tcBorders>
            <w:vAlign w:val="center"/>
          </w:tcPr>
          <w:p>
            <w:pPr>
              <w:shd w:val="clear" w:color="auto" w:fill="FFFFFF"/>
              <w:spacing w:line="336" w:lineRule="auto"/>
              <w:jc w:val="center"/>
              <w:rPr>
                <w:rFonts w:ascii="宋体" w:hAnsi="宋体" w:cs="宋体"/>
                <w:color w:val="auto"/>
                <w:sz w:val="24"/>
              </w:rPr>
            </w:pPr>
            <w:r>
              <w:rPr>
                <w:rFonts w:hint="eastAsia" w:ascii="宋体" w:hAnsi="宋体" w:eastAsia="宋体" w:cs="宋体"/>
                <w:i w:val="0"/>
                <w:iCs w:val="0"/>
                <w:snapToGrid w:val="0"/>
                <w:color w:val="auto"/>
                <w:kern w:val="0"/>
                <w:sz w:val="24"/>
                <w:szCs w:val="24"/>
                <w:u w:val="none"/>
                <w:lang w:val="en-US" w:eastAsia="zh-CN" w:bidi="ar"/>
              </w:rPr>
              <w:t>应用节点1</w:t>
            </w:r>
          </w:p>
        </w:tc>
        <w:tc>
          <w:tcPr>
            <w:tcW w:w="2246" w:type="dxa"/>
            <w:tcBorders>
              <w:top w:val="single" w:color="000000" w:sz="4" w:space="0"/>
              <w:left w:val="nil"/>
              <w:right w:val="single" w:color="000000" w:sz="4" w:space="0"/>
            </w:tcBorders>
            <w:vAlign w:val="center"/>
          </w:tcPr>
          <w:p>
            <w:pPr>
              <w:spacing w:line="336" w:lineRule="auto"/>
              <w:jc w:val="center"/>
              <w:rPr>
                <w:rFonts w:ascii="宋体" w:hAnsi="宋体" w:cs="宋体"/>
                <w:color w:val="auto"/>
                <w:sz w:val="24"/>
              </w:rPr>
            </w:pPr>
            <w:r>
              <w:rPr>
                <w:rFonts w:hint="eastAsia" w:ascii="宋体" w:hAnsi="宋体" w:cs="宋体"/>
                <w:color w:val="auto"/>
                <w:sz w:val="24"/>
                <w:lang w:val="en-US" w:eastAsia="zh-CN"/>
              </w:rPr>
              <w:t>1台/年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336" w:lineRule="auto"/>
              <w:jc w:val="center"/>
              <w:rPr>
                <w:rFonts w:ascii="宋体" w:hAnsi="宋体" w:cs="宋体"/>
                <w:color w:val="auto"/>
                <w:sz w:val="24"/>
              </w:rPr>
            </w:pPr>
            <w:r>
              <w:rPr>
                <w:rFonts w:hint="eastAsia" w:ascii="宋体" w:hAnsi="宋体" w:cs="宋体"/>
                <w:color w:val="auto"/>
                <w:sz w:val="24"/>
              </w:rPr>
              <w:t>3</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336" w:lineRule="auto"/>
              <w:jc w:val="center"/>
              <w:rPr>
                <w:rFonts w:ascii="宋体" w:hAnsi="宋体" w:cs="宋体"/>
                <w:color w:val="auto"/>
                <w:sz w:val="24"/>
              </w:rPr>
            </w:pPr>
            <w:r>
              <w:rPr>
                <w:rFonts w:hint="eastAsia" w:ascii="宋体" w:hAnsi="宋体" w:eastAsia="宋体" w:cs="宋体"/>
                <w:i w:val="0"/>
                <w:iCs w:val="0"/>
                <w:snapToGrid w:val="0"/>
                <w:color w:val="auto"/>
                <w:kern w:val="0"/>
                <w:sz w:val="24"/>
                <w:szCs w:val="24"/>
                <w:u w:val="none"/>
                <w:lang w:val="en-US" w:eastAsia="zh-CN" w:bidi="ar"/>
              </w:rPr>
              <w:t>应用节点2</w:t>
            </w:r>
          </w:p>
        </w:tc>
        <w:tc>
          <w:tcPr>
            <w:tcW w:w="2246" w:type="dxa"/>
            <w:tcBorders>
              <w:top w:val="single" w:color="000000" w:sz="4" w:space="0"/>
              <w:left w:val="nil"/>
              <w:bottom w:val="single" w:color="000000" w:sz="4" w:space="0"/>
              <w:right w:val="single" w:color="000000" w:sz="4" w:space="0"/>
            </w:tcBorders>
            <w:vAlign w:val="center"/>
          </w:tcPr>
          <w:p>
            <w:pPr>
              <w:spacing w:line="336" w:lineRule="auto"/>
              <w:jc w:val="center"/>
              <w:rPr>
                <w:rFonts w:ascii="宋体" w:hAnsi="宋体" w:cs="宋体"/>
                <w:color w:val="auto"/>
                <w:sz w:val="24"/>
              </w:rPr>
            </w:pPr>
            <w:r>
              <w:rPr>
                <w:rFonts w:hint="eastAsia" w:ascii="宋体" w:hAnsi="宋体" w:cs="宋体"/>
                <w:color w:val="auto"/>
                <w:sz w:val="24"/>
                <w:lang w:val="en-US" w:eastAsia="zh-CN"/>
              </w:rPr>
              <w:t>1台/年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336" w:lineRule="auto"/>
              <w:jc w:val="center"/>
              <w:rPr>
                <w:rFonts w:ascii="宋体" w:hAnsi="宋体" w:cs="宋体"/>
                <w:color w:val="auto"/>
                <w:sz w:val="24"/>
              </w:rPr>
            </w:pPr>
            <w:r>
              <w:rPr>
                <w:rFonts w:hint="eastAsia" w:ascii="宋体" w:hAnsi="宋体" w:cs="宋体"/>
                <w:color w:val="auto"/>
                <w:sz w:val="24"/>
              </w:rPr>
              <w:t>4</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336" w:lineRule="auto"/>
              <w:jc w:val="center"/>
              <w:rPr>
                <w:rFonts w:ascii="宋体" w:hAnsi="宋体" w:cs="宋体"/>
                <w:color w:val="auto"/>
                <w:sz w:val="24"/>
              </w:rPr>
            </w:pPr>
            <w:r>
              <w:rPr>
                <w:rFonts w:hint="eastAsia" w:ascii="宋体" w:hAnsi="宋体" w:eastAsia="宋体" w:cs="宋体"/>
                <w:i w:val="0"/>
                <w:iCs w:val="0"/>
                <w:snapToGrid w:val="0"/>
                <w:color w:val="auto"/>
                <w:kern w:val="0"/>
                <w:sz w:val="24"/>
                <w:szCs w:val="24"/>
                <w:u w:val="none"/>
                <w:lang w:val="en-US" w:eastAsia="zh-CN" w:bidi="ar"/>
              </w:rPr>
              <w:t>数据库主</w:t>
            </w:r>
          </w:p>
        </w:tc>
        <w:tc>
          <w:tcPr>
            <w:tcW w:w="2246" w:type="dxa"/>
            <w:tcBorders>
              <w:top w:val="single" w:color="000000" w:sz="4" w:space="0"/>
              <w:left w:val="nil"/>
              <w:bottom w:val="single" w:color="000000" w:sz="4" w:space="0"/>
              <w:right w:val="single" w:color="000000" w:sz="4" w:space="0"/>
            </w:tcBorders>
            <w:vAlign w:val="center"/>
          </w:tcPr>
          <w:p>
            <w:pPr>
              <w:spacing w:line="336" w:lineRule="auto"/>
              <w:jc w:val="center"/>
              <w:rPr>
                <w:rFonts w:ascii="宋体" w:hAnsi="宋体" w:cs="宋体"/>
                <w:color w:val="auto"/>
                <w:sz w:val="24"/>
              </w:rPr>
            </w:pPr>
            <w:r>
              <w:rPr>
                <w:rFonts w:hint="eastAsia" w:ascii="宋体" w:hAnsi="宋体" w:cs="宋体"/>
                <w:color w:val="auto"/>
                <w:sz w:val="24"/>
                <w:lang w:val="en-US" w:eastAsia="zh-CN"/>
              </w:rPr>
              <w:t>1台/年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336" w:lineRule="auto"/>
              <w:jc w:val="center"/>
              <w:rPr>
                <w:rFonts w:ascii="宋体" w:hAnsi="宋体" w:cs="宋体"/>
                <w:color w:val="auto"/>
                <w:sz w:val="24"/>
              </w:rPr>
            </w:pPr>
            <w:r>
              <w:rPr>
                <w:rFonts w:hint="eastAsia" w:ascii="宋体" w:hAnsi="宋体" w:cs="宋体"/>
                <w:color w:val="auto"/>
                <w:sz w:val="24"/>
              </w:rPr>
              <w:t>5</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336" w:lineRule="auto"/>
              <w:jc w:val="center"/>
              <w:rPr>
                <w:rFonts w:ascii="宋体" w:hAnsi="宋体" w:cs="宋体"/>
                <w:color w:val="auto"/>
                <w:sz w:val="24"/>
              </w:rPr>
            </w:pPr>
            <w:r>
              <w:rPr>
                <w:rFonts w:hint="eastAsia" w:ascii="宋体" w:hAnsi="宋体" w:eastAsia="宋体" w:cs="宋体"/>
                <w:i w:val="0"/>
                <w:iCs w:val="0"/>
                <w:snapToGrid w:val="0"/>
                <w:color w:val="auto"/>
                <w:kern w:val="0"/>
                <w:sz w:val="24"/>
                <w:szCs w:val="24"/>
                <w:u w:val="none"/>
                <w:lang w:val="en-US" w:eastAsia="zh-CN" w:bidi="ar"/>
              </w:rPr>
              <w:t>数据库从</w:t>
            </w:r>
          </w:p>
        </w:tc>
        <w:tc>
          <w:tcPr>
            <w:tcW w:w="2246" w:type="dxa"/>
            <w:tcBorders>
              <w:top w:val="single" w:color="000000" w:sz="4" w:space="0"/>
              <w:left w:val="nil"/>
              <w:bottom w:val="single" w:color="000000" w:sz="4" w:space="0"/>
              <w:right w:val="single" w:color="000000" w:sz="4" w:space="0"/>
            </w:tcBorders>
            <w:vAlign w:val="center"/>
          </w:tcPr>
          <w:p>
            <w:pPr>
              <w:spacing w:line="336" w:lineRule="auto"/>
              <w:jc w:val="center"/>
              <w:rPr>
                <w:rFonts w:ascii="宋体" w:hAnsi="宋体" w:cs="宋体"/>
                <w:color w:val="auto"/>
                <w:sz w:val="24"/>
              </w:rPr>
            </w:pPr>
            <w:r>
              <w:rPr>
                <w:rFonts w:hint="eastAsia" w:ascii="宋体" w:hAnsi="宋体" w:cs="宋体"/>
                <w:color w:val="auto"/>
                <w:sz w:val="24"/>
                <w:lang w:val="en-US" w:eastAsia="zh-CN"/>
              </w:rPr>
              <w:t>1台/年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336" w:lineRule="auto"/>
              <w:jc w:val="center"/>
              <w:rPr>
                <w:rFonts w:ascii="宋体" w:hAnsi="宋体" w:cs="宋体"/>
                <w:color w:val="auto"/>
                <w:sz w:val="24"/>
              </w:rPr>
            </w:pPr>
            <w:r>
              <w:rPr>
                <w:rFonts w:hint="eastAsia" w:ascii="宋体" w:hAnsi="宋体" w:cs="宋体"/>
                <w:color w:val="auto"/>
                <w:sz w:val="24"/>
              </w:rPr>
              <w:t>6</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336" w:lineRule="auto"/>
              <w:jc w:val="center"/>
              <w:rPr>
                <w:rFonts w:ascii="宋体" w:hAnsi="宋体" w:cs="宋体"/>
                <w:color w:val="auto"/>
                <w:sz w:val="24"/>
              </w:rPr>
            </w:pPr>
            <w:r>
              <w:rPr>
                <w:rFonts w:hint="eastAsia" w:ascii="宋体" w:hAnsi="宋体" w:cs="宋体"/>
                <w:i w:val="0"/>
                <w:iCs w:val="0"/>
                <w:snapToGrid w:val="0"/>
                <w:color w:val="auto"/>
                <w:kern w:val="0"/>
                <w:sz w:val="24"/>
                <w:szCs w:val="24"/>
                <w:u w:val="none"/>
                <w:lang w:val="en-US" w:eastAsia="zh-CN" w:bidi="ar"/>
              </w:rPr>
              <w:t>VR</w:t>
            </w:r>
            <w:r>
              <w:rPr>
                <w:rFonts w:hint="eastAsia" w:ascii="宋体" w:hAnsi="宋体" w:eastAsia="宋体" w:cs="宋体"/>
                <w:i w:val="0"/>
                <w:iCs w:val="0"/>
                <w:snapToGrid w:val="0"/>
                <w:color w:val="auto"/>
                <w:kern w:val="0"/>
                <w:sz w:val="24"/>
                <w:szCs w:val="24"/>
                <w:u w:val="none"/>
                <w:lang w:val="en-US" w:eastAsia="zh-CN" w:bidi="ar"/>
              </w:rPr>
              <w:t>全景服务</w:t>
            </w:r>
          </w:p>
        </w:tc>
        <w:tc>
          <w:tcPr>
            <w:tcW w:w="2246" w:type="dxa"/>
            <w:tcBorders>
              <w:top w:val="single" w:color="000000" w:sz="4" w:space="0"/>
              <w:left w:val="nil"/>
              <w:bottom w:val="single" w:color="000000" w:sz="4" w:space="0"/>
              <w:right w:val="single" w:color="000000" w:sz="4" w:space="0"/>
            </w:tcBorders>
            <w:vAlign w:val="center"/>
          </w:tcPr>
          <w:p>
            <w:pPr>
              <w:spacing w:line="336" w:lineRule="auto"/>
              <w:jc w:val="center"/>
              <w:rPr>
                <w:rFonts w:ascii="宋体" w:hAnsi="宋体" w:cs="宋体"/>
                <w:color w:val="auto"/>
                <w:sz w:val="24"/>
              </w:rPr>
            </w:pPr>
            <w:r>
              <w:rPr>
                <w:rFonts w:hint="eastAsia" w:ascii="宋体" w:hAnsi="宋体" w:cs="宋体"/>
                <w:color w:val="auto"/>
                <w:sz w:val="24"/>
                <w:lang w:val="en-US" w:eastAsia="zh-CN"/>
              </w:rPr>
              <w:t>1台/年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336"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7</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336" w:lineRule="auto"/>
              <w:jc w:val="center"/>
              <w:rPr>
                <w:rFonts w:ascii="宋体" w:hAnsi="宋体" w:cs="宋体"/>
                <w:color w:val="auto"/>
                <w:sz w:val="24"/>
              </w:rPr>
            </w:pPr>
            <w:r>
              <w:rPr>
                <w:rFonts w:hint="eastAsia" w:ascii="宋体" w:hAnsi="宋体" w:cs="宋体"/>
                <w:i w:val="0"/>
                <w:iCs w:val="0"/>
                <w:snapToGrid w:val="0"/>
                <w:color w:val="auto"/>
                <w:kern w:val="0"/>
                <w:sz w:val="24"/>
                <w:szCs w:val="24"/>
                <w:u w:val="none"/>
                <w:lang w:val="en-US" w:eastAsia="zh-CN" w:bidi="ar"/>
              </w:rPr>
              <w:t>语音导览</w:t>
            </w:r>
            <w:r>
              <w:rPr>
                <w:rFonts w:hint="eastAsia" w:ascii="宋体" w:hAnsi="宋体" w:eastAsia="宋体" w:cs="宋体"/>
                <w:i w:val="0"/>
                <w:iCs w:val="0"/>
                <w:snapToGrid w:val="0"/>
                <w:color w:val="auto"/>
                <w:kern w:val="0"/>
                <w:sz w:val="24"/>
                <w:szCs w:val="24"/>
                <w:u w:val="none"/>
                <w:lang w:val="en-US" w:eastAsia="zh-CN" w:bidi="ar"/>
              </w:rPr>
              <w:t>系统</w:t>
            </w:r>
          </w:p>
        </w:tc>
        <w:tc>
          <w:tcPr>
            <w:tcW w:w="2246" w:type="dxa"/>
            <w:tcBorders>
              <w:top w:val="single" w:color="000000" w:sz="4" w:space="0"/>
              <w:left w:val="nil"/>
              <w:bottom w:val="single" w:color="000000" w:sz="4" w:space="0"/>
              <w:right w:val="single" w:color="000000" w:sz="4" w:space="0"/>
            </w:tcBorders>
            <w:vAlign w:val="center"/>
          </w:tcPr>
          <w:p>
            <w:pPr>
              <w:spacing w:line="336" w:lineRule="auto"/>
              <w:jc w:val="center"/>
              <w:rPr>
                <w:rFonts w:ascii="宋体" w:hAnsi="宋体" w:cs="宋体"/>
                <w:color w:val="auto"/>
                <w:sz w:val="24"/>
              </w:rPr>
            </w:pPr>
            <w:r>
              <w:rPr>
                <w:rFonts w:hint="eastAsia" w:ascii="宋体" w:hAnsi="宋体" w:cs="宋体"/>
                <w:color w:val="auto"/>
                <w:sz w:val="24"/>
                <w:lang w:val="en-US" w:eastAsia="zh-CN"/>
              </w:rPr>
              <w:t>1台/年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336"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8</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336" w:lineRule="auto"/>
              <w:jc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百物展云服务系统</w:t>
            </w:r>
          </w:p>
        </w:tc>
        <w:tc>
          <w:tcPr>
            <w:tcW w:w="2246" w:type="dxa"/>
            <w:tcBorders>
              <w:top w:val="single" w:color="000000" w:sz="4" w:space="0"/>
              <w:left w:val="nil"/>
              <w:bottom w:val="single" w:color="000000" w:sz="4" w:space="0"/>
              <w:right w:val="single" w:color="000000" w:sz="4" w:space="0"/>
            </w:tcBorders>
            <w:vAlign w:val="center"/>
          </w:tcPr>
          <w:p>
            <w:pPr>
              <w:spacing w:line="336" w:lineRule="auto"/>
              <w:jc w:val="center"/>
              <w:rPr>
                <w:rFonts w:ascii="宋体" w:hAnsi="宋体" w:cs="宋体"/>
                <w:color w:val="auto"/>
                <w:sz w:val="24"/>
              </w:rPr>
            </w:pPr>
            <w:r>
              <w:rPr>
                <w:rFonts w:hint="eastAsia" w:ascii="宋体" w:hAnsi="宋体" w:cs="宋体"/>
                <w:color w:val="auto"/>
                <w:sz w:val="24"/>
                <w:lang w:val="en-US" w:eastAsia="zh-CN"/>
              </w:rPr>
              <w:t>1台/年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336"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9</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336" w:lineRule="auto"/>
              <w:jc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访问域名</w:t>
            </w:r>
          </w:p>
        </w:tc>
        <w:tc>
          <w:tcPr>
            <w:tcW w:w="2246" w:type="dxa"/>
            <w:tcBorders>
              <w:top w:val="single" w:color="000000" w:sz="4" w:space="0"/>
              <w:left w:val="nil"/>
              <w:bottom w:val="single" w:color="000000" w:sz="4" w:space="0"/>
              <w:right w:val="single" w:color="000000" w:sz="4" w:space="0"/>
            </w:tcBorders>
            <w:vAlign w:val="center"/>
          </w:tcPr>
          <w:p>
            <w:pPr>
              <w:spacing w:line="336" w:lineRule="auto"/>
              <w:jc w:val="center"/>
              <w:rPr>
                <w:rFonts w:ascii="宋体" w:hAnsi="宋体" w:cs="宋体"/>
                <w:color w:val="auto"/>
                <w:sz w:val="24"/>
              </w:rPr>
            </w:pPr>
            <w:r>
              <w:rPr>
                <w:rFonts w:hint="eastAsia" w:ascii="宋体" w:hAnsi="宋体" w:cs="宋体"/>
                <w:color w:val="auto"/>
                <w:sz w:val="24"/>
                <w:lang w:val="en-US" w:eastAsia="zh-CN"/>
              </w:rPr>
              <w:t>1个/年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336"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10</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336" w:lineRule="auto"/>
              <w:jc w:val="center"/>
              <w:rPr>
                <w:rFonts w:hint="default" w:ascii="宋体" w:hAnsi="宋体" w:eastAsia="宋体" w:cs="宋体"/>
                <w:i w:val="0"/>
                <w:iCs w:val="0"/>
                <w:snapToGrid w:val="0"/>
                <w:color w:val="auto"/>
                <w:kern w:val="0"/>
                <w:sz w:val="22"/>
                <w:szCs w:val="22"/>
                <w:u w:val="none"/>
                <w:lang w:val="en-US" w:eastAsia="zh-CN" w:bidi="ar"/>
              </w:rPr>
            </w:pPr>
            <w:r>
              <w:rPr>
                <w:rFonts w:hint="eastAsia" w:ascii="宋体" w:hAnsi="宋体" w:cs="宋体"/>
                <w:i w:val="0"/>
                <w:iCs w:val="0"/>
                <w:snapToGrid w:val="0"/>
                <w:color w:val="auto"/>
                <w:kern w:val="0"/>
                <w:sz w:val="22"/>
                <w:szCs w:val="22"/>
                <w:u w:val="none"/>
                <w:lang w:val="en-US" w:eastAsia="zh-CN" w:bidi="ar"/>
              </w:rPr>
              <w:t>互联网ip</w:t>
            </w:r>
          </w:p>
        </w:tc>
        <w:tc>
          <w:tcPr>
            <w:tcW w:w="2246" w:type="dxa"/>
            <w:tcBorders>
              <w:top w:val="single" w:color="000000" w:sz="4" w:space="0"/>
              <w:left w:val="nil"/>
              <w:bottom w:val="single" w:color="000000" w:sz="4" w:space="0"/>
              <w:right w:val="single" w:color="000000" w:sz="4" w:space="0"/>
            </w:tcBorders>
            <w:vAlign w:val="center"/>
          </w:tcPr>
          <w:p>
            <w:pPr>
              <w:spacing w:line="336"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2个/年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336"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11</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336" w:lineRule="auto"/>
              <w:jc w:val="center"/>
              <w:rPr>
                <w:rFonts w:hint="eastAsia"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证书</w:t>
            </w:r>
          </w:p>
        </w:tc>
        <w:tc>
          <w:tcPr>
            <w:tcW w:w="2246" w:type="dxa"/>
            <w:tcBorders>
              <w:top w:val="single" w:color="000000" w:sz="4" w:space="0"/>
              <w:left w:val="nil"/>
              <w:bottom w:val="single" w:color="000000" w:sz="4" w:space="0"/>
              <w:right w:val="single" w:color="000000" w:sz="4" w:space="0"/>
            </w:tcBorders>
            <w:vAlign w:val="center"/>
          </w:tcPr>
          <w:p>
            <w:pPr>
              <w:spacing w:line="336" w:lineRule="auto"/>
              <w:jc w:val="center"/>
              <w:rPr>
                <w:rFonts w:ascii="宋体" w:hAnsi="宋体" w:cs="宋体"/>
                <w:color w:val="auto"/>
                <w:sz w:val="24"/>
              </w:rPr>
            </w:pPr>
            <w:r>
              <w:rPr>
                <w:rFonts w:hint="eastAsia" w:ascii="宋体" w:hAnsi="宋体" w:cs="宋体"/>
                <w:color w:val="auto"/>
                <w:sz w:val="24"/>
                <w:lang w:val="en-US" w:eastAsia="zh-CN"/>
              </w:rPr>
              <w:t>1个/年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336"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12</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336" w:lineRule="auto"/>
              <w:jc w:val="center"/>
              <w:rPr>
                <w:rFonts w:hint="default" w:ascii="宋体" w:hAnsi="宋体" w:eastAsia="宋体" w:cs="宋体"/>
                <w:i w:val="0"/>
                <w:iCs w:val="0"/>
                <w:snapToGrid w:val="0"/>
                <w:color w:val="auto"/>
                <w:kern w:val="0"/>
                <w:sz w:val="22"/>
                <w:szCs w:val="22"/>
                <w:u w:val="none"/>
                <w:lang w:val="en-US" w:eastAsia="zh-CN" w:bidi="ar"/>
              </w:rPr>
            </w:pPr>
            <w:r>
              <w:rPr>
                <w:rFonts w:hint="eastAsia" w:ascii="宋体" w:hAnsi="宋体" w:cs="宋体"/>
                <w:i w:val="0"/>
                <w:iCs w:val="0"/>
                <w:snapToGrid w:val="0"/>
                <w:color w:val="auto"/>
                <w:kern w:val="0"/>
                <w:sz w:val="22"/>
                <w:szCs w:val="22"/>
                <w:u w:val="none"/>
                <w:lang w:val="en-US" w:eastAsia="zh-CN" w:bidi="ar"/>
              </w:rPr>
              <w:t>网络安全防护</w:t>
            </w:r>
          </w:p>
        </w:tc>
        <w:tc>
          <w:tcPr>
            <w:tcW w:w="2246" w:type="dxa"/>
            <w:tcBorders>
              <w:top w:val="single" w:color="000000" w:sz="4" w:space="0"/>
              <w:left w:val="nil"/>
              <w:bottom w:val="single" w:color="000000" w:sz="4" w:space="0"/>
              <w:right w:val="single" w:color="000000" w:sz="4" w:space="0"/>
            </w:tcBorders>
            <w:vAlign w:val="center"/>
          </w:tcPr>
          <w:p>
            <w:pPr>
              <w:spacing w:line="336"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1项/年</w:t>
            </w:r>
          </w:p>
        </w:tc>
      </w:tr>
    </w:tbl>
    <w:p>
      <w:pPr>
        <w:spacing w:line="336" w:lineRule="auto"/>
        <w:ind w:firstLine="480" w:firstLineChars="0"/>
        <w:rPr>
          <w:rFonts w:hint="eastAsia" w:cs="宋体"/>
          <w:bCs w:val="0"/>
          <w:color w:val="auto"/>
          <w:sz w:val="24"/>
        </w:rPr>
      </w:pPr>
    </w:p>
    <w:p>
      <w:pPr>
        <w:pStyle w:val="2"/>
        <w:rPr>
          <w:rFonts w:hint="eastAsia"/>
          <w:color w:val="auto"/>
        </w:rPr>
      </w:pPr>
    </w:p>
    <w:p>
      <w:pPr>
        <w:spacing w:line="336" w:lineRule="auto"/>
        <w:ind w:firstLine="480" w:firstLineChars="0"/>
        <w:rPr>
          <w:rFonts w:hint="eastAsia" w:cs="宋体"/>
          <w:bCs w:val="0"/>
          <w:color w:val="auto"/>
          <w:sz w:val="24"/>
        </w:rPr>
      </w:pPr>
      <w:r>
        <w:rPr>
          <w:rFonts w:hint="eastAsia" w:cs="宋体"/>
          <w:bCs w:val="0"/>
          <w:color w:val="auto"/>
          <w:sz w:val="24"/>
        </w:rPr>
        <w:t>四、采购预算：</w:t>
      </w:r>
      <w:r>
        <w:rPr>
          <w:rFonts w:hint="eastAsia"/>
          <w:color w:val="auto"/>
          <w:sz w:val="24"/>
          <w:lang w:val="en-US" w:eastAsia="zh-CN"/>
        </w:rPr>
        <w:t>198212.4</w:t>
      </w:r>
      <w:r>
        <w:rPr>
          <w:rFonts w:hint="eastAsia" w:cs="宋体"/>
          <w:bCs w:val="0"/>
          <w:color w:val="auto"/>
          <w:sz w:val="24"/>
        </w:rPr>
        <w:t>元</w:t>
      </w:r>
    </w:p>
    <w:p>
      <w:pPr>
        <w:spacing w:line="336" w:lineRule="auto"/>
        <w:ind w:firstLine="480" w:firstLineChars="0"/>
        <w:rPr>
          <w:rFonts w:hint="eastAsia" w:cs="宋体"/>
          <w:color w:val="auto"/>
          <w:sz w:val="24"/>
        </w:rPr>
      </w:pPr>
      <w:r>
        <w:rPr>
          <w:rFonts w:hint="eastAsia" w:cs="宋体"/>
          <w:bCs w:val="0"/>
          <w:color w:val="auto"/>
          <w:sz w:val="24"/>
        </w:rPr>
        <w:t>五、供应商资格条件</w:t>
      </w:r>
      <w:r>
        <w:rPr>
          <w:rFonts w:hint="eastAsia" w:cs="宋体"/>
          <w:color w:val="auto"/>
          <w:sz w:val="24"/>
        </w:rPr>
        <w:t>：详见《供应商须知前附表》。</w:t>
      </w:r>
    </w:p>
    <w:p>
      <w:pPr>
        <w:spacing w:line="336" w:lineRule="auto"/>
        <w:ind w:firstLine="480"/>
        <w:outlineLvl w:val="9"/>
        <w:rPr>
          <w:rFonts w:hint="eastAsia" w:cs="宋体"/>
          <w:color w:val="auto"/>
          <w:sz w:val="24"/>
        </w:rPr>
      </w:pPr>
      <w:r>
        <w:rPr>
          <w:rFonts w:hint="eastAsia" w:cs="宋体"/>
          <w:color w:val="auto"/>
          <w:sz w:val="24"/>
        </w:rPr>
        <w:t>六、竞争性谈判文件的获得</w:t>
      </w:r>
    </w:p>
    <w:p>
      <w:pPr>
        <w:spacing w:line="336" w:lineRule="auto"/>
        <w:ind w:firstLine="480"/>
        <w:rPr>
          <w:color w:val="auto"/>
          <w:sz w:val="24"/>
        </w:rPr>
      </w:pPr>
      <w:r>
        <w:rPr>
          <w:rFonts w:hint="eastAsia" w:cs="宋体"/>
          <w:color w:val="auto"/>
          <w:sz w:val="24"/>
        </w:rPr>
        <w:t>（一）获取时间：</w:t>
      </w:r>
      <w:r>
        <w:rPr>
          <w:rFonts w:hint="eastAsia"/>
          <w:color w:val="auto"/>
          <w:sz w:val="24"/>
          <w:lang w:eastAsia="zh-CN"/>
        </w:rPr>
        <w:t>2022</w:t>
      </w:r>
      <w:r>
        <w:rPr>
          <w:rFonts w:hint="eastAsia" w:cs="宋体"/>
          <w:color w:val="auto"/>
          <w:sz w:val="24"/>
        </w:rPr>
        <w:t>年</w:t>
      </w:r>
      <w:r>
        <w:rPr>
          <w:rFonts w:hint="eastAsia"/>
          <w:color w:val="auto"/>
          <w:sz w:val="24"/>
          <w:lang w:val="en-US" w:eastAsia="zh-CN"/>
        </w:rPr>
        <w:t>4</w:t>
      </w:r>
      <w:r>
        <w:rPr>
          <w:rFonts w:hint="eastAsia" w:cs="宋体"/>
          <w:color w:val="auto"/>
          <w:sz w:val="24"/>
        </w:rPr>
        <w:t>月</w:t>
      </w:r>
      <w:r>
        <w:rPr>
          <w:rFonts w:hint="eastAsia"/>
          <w:color w:val="auto"/>
          <w:sz w:val="24"/>
          <w:lang w:val="en-US" w:eastAsia="zh-CN"/>
        </w:rPr>
        <w:t>12</w:t>
      </w:r>
      <w:r>
        <w:rPr>
          <w:rFonts w:hint="eastAsia" w:cs="宋体"/>
          <w:color w:val="auto"/>
          <w:sz w:val="24"/>
        </w:rPr>
        <w:t>日（工作时间）。</w:t>
      </w:r>
    </w:p>
    <w:p>
      <w:pPr>
        <w:spacing w:line="336" w:lineRule="auto"/>
        <w:ind w:firstLine="480"/>
        <w:rPr>
          <w:color w:val="auto"/>
          <w:sz w:val="24"/>
        </w:rPr>
      </w:pPr>
      <w:r>
        <w:rPr>
          <w:rFonts w:hint="eastAsia" w:cs="宋体"/>
          <w:color w:val="auto"/>
          <w:sz w:val="24"/>
        </w:rPr>
        <w:t>（二）领取方式：湖北省博物馆官网上获取。</w:t>
      </w:r>
    </w:p>
    <w:p>
      <w:pPr>
        <w:spacing w:line="336" w:lineRule="auto"/>
        <w:ind w:firstLine="480"/>
        <w:rPr>
          <w:color w:val="auto"/>
          <w:sz w:val="24"/>
        </w:rPr>
      </w:pPr>
      <w:r>
        <w:rPr>
          <w:rFonts w:hint="eastAsia" w:cs="宋体"/>
          <w:color w:val="auto"/>
          <w:sz w:val="24"/>
        </w:rPr>
        <w:t>七、递交响应文件截止时间和谈判时间：详见《供应商须知前附表》。</w:t>
      </w:r>
    </w:p>
    <w:p>
      <w:pPr>
        <w:spacing w:line="336" w:lineRule="auto"/>
        <w:ind w:firstLine="480"/>
        <w:rPr>
          <w:color w:val="auto"/>
          <w:sz w:val="24"/>
        </w:rPr>
      </w:pPr>
      <w:r>
        <w:rPr>
          <w:rFonts w:hint="eastAsia" w:cs="宋体"/>
          <w:color w:val="auto"/>
          <w:sz w:val="24"/>
        </w:rPr>
        <w:t>八、响应文件送达地点：详见《供应商须知前附表》。</w:t>
      </w:r>
    </w:p>
    <w:p>
      <w:pPr>
        <w:spacing w:line="336" w:lineRule="auto"/>
        <w:ind w:firstLine="480" w:firstLineChars="200"/>
        <w:jc w:val="left"/>
        <w:rPr>
          <w:color w:val="auto"/>
          <w:sz w:val="24"/>
        </w:rPr>
      </w:pPr>
      <w:r>
        <w:rPr>
          <w:rFonts w:hint="eastAsia" w:cs="宋体"/>
          <w:color w:val="auto"/>
          <w:sz w:val="24"/>
        </w:rPr>
        <w:t>九、联系方式：详见《供应商须知前附表》。</w:t>
      </w:r>
    </w:p>
    <w:p>
      <w:pPr>
        <w:spacing w:line="440" w:lineRule="exact"/>
        <w:jc w:val="left"/>
        <w:rPr>
          <w:color w:val="auto"/>
          <w:sz w:val="24"/>
        </w:rPr>
      </w:pPr>
      <w:r>
        <w:rPr>
          <w:rFonts w:hint="eastAsia" w:ascii="宋体" w:hAnsi="宋体" w:cs="宋体"/>
          <w:color w:val="auto"/>
          <w:kern w:val="0"/>
          <w:sz w:val="24"/>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pPr>
        <w:spacing w:line="240" w:lineRule="auto"/>
        <w:ind w:firstLine="0" w:firstLineChars="0"/>
        <w:jc w:val="center"/>
        <w:outlineLvl w:val="9"/>
        <w:rPr>
          <w:color w:val="auto"/>
          <w:sz w:val="24"/>
        </w:rPr>
      </w:pPr>
      <w:r>
        <w:rPr>
          <w:rFonts w:hint="eastAsia"/>
          <w:color w:val="auto"/>
          <w:sz w:val="24"/>
          <w:lang w:val="en-US" w:eastAsia="zh-CN"/>
        </w:rPr>
        <w:t xml:space="preserve">                                          </w:t>
      </w:r>
      <w:r>
        <w:rPr>
          <w:rFonts w:hint="eastAsia"/>
          <w:color w:val="auto"/>
          <w:sz w:val="24"/>
          <w:lang w:eastAsia="zh-CN"/>
        </w:rPr>
        <w:t>2022</w:t>
      </w:r>
      <w:r>
        <w:rPr>
          <w:color w:val="auto"/>
          <w:sz w:val="24"/>
        </w:rPr>
        <w:t>年</w:t>
      </w:r>
      <w:r>
        <w:rPr>
          <w:rFonts w:hint="eastAsia"/>
          <w:color w:val="auto"/>
          <w:sz w:val="24"/>
          <w:lang w:val="en-US" w:eastAsia="zh-CN"/>
        </w:rPr>
        <w:t>4</w:t>
      </w:r>
      <w:r>
        <w:rPr>
          <w:color w:val="auto"/>
          <w:sz w:val="24"/>
        </w:rPr>
        <w:t>月</w:t>
      </w:r>
      <w:r>
        <w:rPr>
          <w:rFonts w:hint="eastAsia"/>
          <w:color w:val="auto"/>
          <w:sz w:val="24"/>
          <w:lang w:val="en-US" w:eastAsia="zh-CN"/>
        </w:rPr>
        <w:t>11</w:t>
      </w:r>
      <w:r>
        <w:rPr>
          <w:color w:val="auto"/>
          <w:sz w:val="24"/>
        </w:rPr>
        <w:t>日</w:t>
      </w:r>
    </w:p>
    <w:p>
      <w:pPr>
        <w:widowControl/>
        <w:jc w:val="left"/>
        <w:rPr>
          <w:color w:val="auto"/>
          <w:sz w:val="24"/>
        </w:rPr>
      </w:pPr>
      <w:r>
        <w:rPr>
          <w:color w:val="auto"/>
          <w:sz w:val="24"/>
        </w:rPr>
        <w:br w:type="page"/>
      </w:r>
    </w:p>
    <w:p>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p>
    <w:p>
      <w:pPr>
        <w:jc w:val="center"/>
        <w:rPr>
          <w:color w:val="auto"/>
          <w:szCs w:val="28"/>
        </w:rPr>
      </w:pPr>
      <w:r>
        <w:rPr>
          <w:rFonts w:hint="eastAsia"/>
          <w:color w:val="auto"/>
          <w:szCs w:val="28"/>
        </w:rPr>
        <w:t>一、供应商</w:t>
      </w:r>
      <w:r>
        <w:rPr>
          <w:color w:val="auto"/>
          <w:szCs w:val="28"/>
        </w:rPr>
        <w:t>须知前附表</w:t>
      </w:r>
    </w:p>
    <w:tbl>
      <w:tblPr>
        <w:tblStyle w:val="28"/>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spacing w:line="440" w:lineRule="exact"/>
              <w:rPr>
                <w:bCs/>
                <w:color w:val="auto"/>
                <w:kern w:val="0"/>
                <w:sz w:val="24"/>
              </w:rPr>
            </w:pPr>
            <w:r>
              <w:rPr>
                <w:rFonts w:hint="eastAsia"/>
                <w:bCs/>
                <w:color w:val="auto"/>
                <w:sz w:val="24"/>
              </w:rPr>
              <w:t>湖北省博物馆</w:t>
            </w:r>
            <w:r>
              <w:rPr>
                <w:rFonts w:hint="eastAsia"/>
                <w:bCs/>
                <w:color w:val="auto"/>
                <w:sz w:val="24"/>
                <w:lang w:val="en-US" w:eastAsia="zh-CN"/>
              </w:rPr>
              <w:t>2022年门票预约系统、</w:t>
            </w:r>
            <w:r>
              <w:rPr>
                <w:rFonts w:hint="eastAsia" w:ascii="宋体" w:hAnsi="宋体" w:eastAsia="宋体" w:cs="宋体"/>
                <w:bCs/>
                <w:color w:val="auto"/>
                <w:sz w:val="24"/>
                <w:szCs w:val="24"/>
                <w:u w:val="none"/>
              </w:rPr>
              <w:t>陂安南等云托管</w:t>
            </w:r>
            <w:r>
              <w:rPr>
                <w:rFonts w:hint="eastAsia" w:ascii="宋体" w:hAnsi="宋体" w:cs="宋体"/>
                <w:bCs/>
                <w:color w:val="auto"/>
                <w:sz w:val="24"/>
                <w:szCs w:val="24"/>
                <w:u w:val="none"/>
                <w:lang w:val="en-US"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bCs/>
                <w:color w:val="auto"/>
                <w:kern w:val="0"/>
                <w:sz w:val="24"/>
              </w:rPr>
            </w:pPr>
            <w:r>
              <w:rPr>
                <w:rFonts w:hint="eastAsia"/>
                <w:bCs/>
                <w:color w:val="auto"/>
                <w:sz w:val="24"/>
                <w:lang w:val="en-US" w:eastAsia="zh-CN"/>
              </w:rPr>
              <w:t>2022年门票预约系统、</w:t>
            </w:r>
            <w:r>
              <w:rPr>
                <w:rFonts w:hint="eastAsia" w:ascii="宋体" w:hAnsi="宋体" w:eastAsia="宋体" w:cs="宋体"/>
                <w:bCs/>
                <w:color w:val="auto"/>
                <w:sz w:val="24"/>
                <w:szCs w:val="24"/>
                <w:u w:val="none"/>
              </w:rPr>
              <w:t>陂安南等云托管</w:t>
            </w:r>
            <w:r>
              <w:rPr>
                <w:rFonts w:hint="eastAsia" w:ascii="宋体" w:hAnsi="宋体" w:cs="宋体"/>
                <w:bCs/>
                <w:color w:val="auto"/>
                <w:sz w:val="24"/>
                <w:szCs w:val="24"/>
                <w:u w:val="none"/>
                <w:lang w:val="en-US"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hint="eastAsia" w:cs="宋体"/>
                <w:color w:val="auto"/>
                <w:kern w:val="0"/>
                <w:sz w:val="24"/>
                <w:lang w:val="en-US" w:eastAsia="zh-CN"/>
              </w:rPr>
              <w:t>198212.4</w:t>
            </w:r>
            <w:r>
              <w:rPr>
                <w:rFonts w:hint="eastAsia" w:cs="宋体"/>
                <w:color w:val="auto"/>
                <w:kern w:val="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color w:val="auto"/>
                <w:kern w:val="0"/>
                <w:sz w:val="24"/>
              </w:rPr>
            </w:pPr>
            <w:r>
              <w:rPr>
                <w:rFonts w:hint="eastAsia" w:cs="宋体"/>
                <w:color w:val="auto"/>
                <w:kern w:val="0"/>
                <w:sz w:val="24"/>
              </w:rPr>
              <w:t>联系人：</w:t>
            </w:r>
            <w:r>
              <w:rPr>
                <w:rFonts w:hint="eastAsia" w:cs="宋体"/>
                <w:color w:val="auto"/>
                <w:kern w:val="0"/>
                <w:sz w:val="24"/>
                <w:lang w:eastAsia="zh-CN"/>
              </w:rPr>
              <w:t>杨理胜</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rFonts w:hint="default" w:eastAsia="宋体"/>
                <w:color w:val="auto"/>
                <w:kern w:val="0"/>
                <w:sz w:val="24"/>
                <w:lang w:val="en-US" w:eastAsia="zh-CN"/>
              </w:rPr>
            </w:pPr>
            <w:r>
              <w:rPr>
                <w:rFonts w:hint="eastAsia" w:cs="宋体"/>
                <w:color w:val="auto"/>
                <w:kern w:val="0"/>
                <w:sz w:val="24"/>
              </w:rPr>
              <w:t>联系方式：</w:t>
            </w:r>
            <w:r>
              <w:rPr>
                <w:rFonts w:hint="eastAsia" w:cs="宋体"/>
                <w:color w:val="auto"/>
                <w:kern w:val="0"/>
                <w:sz w:val="24"/>
                <w:lang w:val="en-US" w:eastAsia="zh-CN"/>
              </w:rPr>
              <w:t>027-86793565</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rPr>
                <w:rFonts w:hint="default" w:eastAsia="宋体"/>
                <w:color w:val="auto"/>
                <w:kern w:val="0"/>
                <w:sz w:val="24"/>
                <w:lang w:val="en-US" w:eastAsia="zh-CN"/>
              </w:rPr>
            </w:pPr>
            <w:r>
              <w:rPr>
                <w:rFonts w:hint="eastAsia"/>
                <w:bCs/>
                <w:color w:val="auto"/>
                <w:sz w:val="24"/>
                <w:lang w:val="en-US" w:eastAsia="zh-CN"/>
              </w:rPr>
              <w:t>具有云服务资质或云服务授权资质，并提供相关资质文件。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lang w:val="en-US" w:eastAsia="zh-CN"/>
              </w:rPr>
              <w:t>竞争性谈判</w:t>
            </w:r>
            <w:r>
              <w:rPr>
                <w:rFonts w:hint="eastAsia" w:cs="宋体"/>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hint="eastAsia" w:ascii="Times New Roman" w:hAnsi="Times New Roman" w:cs="Times New Roman"/>
                <w:color w:val="auto"/>
                <w:sz w:val="24"/>
                <w:szCs w:val="24"/>
                <w:lang w:val="en-US" w:eastAsia="zh-CN"/>
              </w:rPr>
              <w:t>2022</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4</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15</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hint="eastAsia" w:ascii="Times New Roman" w:hAnsi="Times New Roman" w:cs="Times New Roman"/>
                <w:color w:val="auto"/>
                <w:sz w:val="24"/>
                <w:szCs w:val="24"/>
                <w:lang w:val="en-US" w:eastAsia="zh-CN"/>
              </w:rPr>
              <w:t>2022</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4</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15</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bookmarkStart w:id="0" w:name="_GoBack"/>
            <w:bookmarkEnd w:id="0"/>
            <w:r>
              <w:rPr>
                <w:rFonts w:hint="eastAsia" w:ascii="Times New Roman" w:hAnsi="Times New Roman" w:cs="宋体"/>
                <w:color w:val="auto"/>
                <w:sz w:val="24"/>
                <w:szCs w:val="24"/>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eastAsia="仿宋_GB2312"/>
          <w:bCs/>
          <w:color w:val="auto"/>
          <w:sz w:val="24"/>
        </w:rPr>
      </w:pPr>
      <w:r>
        <w:rPr>
          <w:rFonts w:hint="eastAsia" w:cs="宋体"/>
          <w:color w:val="auto"/>
          <w:sz w:val="30"/>
          <w:szCs w:val="30"/>
        </w:rPr>
        <w:t>二、供应商须知</w:t>
      </w:r>
    </w:p>
    <w:p>
      <w:pPr>
        <w:spacing w:line="440" w:lineRule="exact"/>
        <w:rPr>
          <w:rFonts w:eastAsia="黑体"/>
          <w:bCs/>
          <w:color w:val="auto"/>
          <w:sz w:val="24"/>
        </w:rPr>
      </w:pP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240" w:lineRule="auto"/>
        <w:outlineLvl w:val="9"/>
        <w:rPr>
          <w:color w:val="auto"/>
        </w:rPr>
      </w:pPr>
    </w:p>
    <w:p>
      <w:pPr>
        <w:spacing w:line="440" w:lineRule="exact"/>
        <w:ind w:left="420" w:hanging="420"/>
        <w:outlineLvl w:val="9"/>
        <w:rPr>
          <w:rFonts w:eastAsia="黑体"/>
          <w:bCs/>
          <w:color w:val="auto"/>
          <w:sz w:val="24"/>
        </w:rPr>
      </w:pPr>
      <w:r>
        <w:rPr>
          <w:rFonts w:eastAsia="黑体"/>
          <w:bCs/>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398"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rFonts w:eastAsia="黑体"/>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十一、付款方式</w:t>
      </w:r>
    </w:p>
    <w:p>
      <w:pPr>
        <w:spacing w:line="440" w:lineRule="exact"/>
        <w:ind w:left="363" w:leftChars="1" w:hanging="360" w:hangingChars="150"/>
        <w:rPr>
          <w:rFonts w:hint="eastAsia" w:eastAsia="黑体"/>
          <w:color w:val="auto"/>
          <w:sz w:val="24"/>
          <w:lang w:eastAsia="zh-CN"/>
        </w:rPr>
      </w:pPr>
      <w:r>
        <w:rPr>
          <w:color w:val="auto"/>
          <w:sz w:val="24"/>
        </w:rPr>
        <w:t>3</w:t>
      </w:r>
      <w:r>
        <w:rPr>
          <w:rFonts w:hint="eastAsia"/>
          <w:color w:val="auto"/>
          <w:sz w:val="24"/>
        </w:rPr>
        <w:t>2</w:t>
      </w:r>
      <w:r>
        <w:rPr>
          <w:color w:val="auto"/>
          <w:sz w:val="24"/>
        </w:rPr>
        <w:t xml:space="preserve">. </w:t>
      </w:r>
      <w:r>
        <w:rPr>
          <w:rFonts w:hint="eastAsia"/>
          <w:color w:val="auto"/>
          <w:sz w:val="24"/>
          <w:lang w:eastAsia="zh-CN"/>
        </w:rPr>
        <w:t>合同签订后，供应商开通相关服务功能，经采购人验收合格后，供应商提供发票，采购人在</w:t>
      </w:r>
      <w:r>
        <w:rPr>
          <w:rFonts w:hint="eastAsia"/>
          <w:color w:val="auto"/>
          <w:sz w:val="24"/>
          <w:lang w:val="en-US" w:eastAsia="zh-CN"/>
        </w:rPr>
        <w:t>20个工作日之内支付合同款，采购人</w:t>
      </w:r>
      <w:r>
        <w:rPr>
          <w:rFonts w:hint="eastAsia" w:cs="宋体"/>
          <w:color w:val="auto"/>
          <w:sz w:val="24"/>
        </w:rPr>
        <w:t>报省财政厅办理相应金额的支付手续</w:t>
      </w:r>
      <w:r>
        <w:rPr>
          <w:rFonts w:hint="eastAsia" w:cs="宋体"/>
          <w:color w:val="auto"/>
          <w:sz w:val="24"/>
          <w:lang w:eastAsia="zh-CN"/>
        </w:rPr>
        <w:t>，视同履行支付责任</w:t>
      </w:r>
      <w:r>
        <w:rPr>
          <w:rFonts w:hint="eastAsia" w:cs="宋体"/>
          <w:color w:val="auto"/>
          <w:sz w:val="24"/>
        </w:rPr>
        <w:t>。</w:t>
      </w:r>
    </w:p>
    <w:p>
      <w:pPr>
        <w:numPr>
          <w:ilvl w:val="0"/>
          <w:numId w:val="0"/>
        </w:numPr>
        <w:spacing w:line="440" w:lineRule="exact"/>
        <w:rPr>
          <w:rFonts w:hint="eastAsia" w:eastAsia="黑体"/>
          <w:color w:val="auto"/>
          <w:sz w:val="24"/>
          <w:lang w:eastAsia="zh-CN"/>
        </w:rPr>
      </w:pPr>
    </w:p>
    <w:p>
      <w:pPr>
        <w:spacing w:line="440" w:lineRule="exact"/>
        <w:rPr>
          <w:rFonts w:eastAsia="黑体"/>
          <w:color w:val="auto"/>
          <w:sz w:val="24"/>
        </w:rPr>
      </w:pPr>
      <w:r>
        <w:rPr>
          <w:rFonts w:hint="eastAsia" w:eastAsia="黑体" w:cs="黑体"/>
          <w:color w:val="auto"/>
          <w:sz w:val="24"/>
        </w:rPr>
        <w:t>十</w:t>
      </w:r>
      <w:r>
        <w:rPr>
          <w:rFonts w:hint="eastAsia" w:eastAsia="黑体" w:cs="黑体"/>
          <w:color w:val="auto"/>
          <w:sz w:val="24"/>
          <w:lang w:eastAsia="zh-CN"/>
        </w:rPr>
        <w:t>三</w:t>
      </w:r>
      <w:r>
        <w:rPr>
          <w:rFonts w:hint="eastAsia" w:eastAsia="黑体" w:cs="黑体"/>
          <w:color w:val="auto"/>
          <w:sz w:val="24"/>
        </w:rPr>
        <w:t>、适用法律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10" w:type="default"/>
          <w:pgSz w:w="11906" w:h="16838"/>
          <w:pgMar w:top="1440" w:right="1800" w:bottom="1440" w:left="1800" w:header="851" w:footer="992" w:gutter="0"/>
          <w:cols w:space="425" w:num="1"/>
          <w:docGrid w:type="lines" w:linePitch="312" w:charSpace="0"/>
        </w:sectPr>
      </w:pPr>
    </w:p>
    <w:p>
      <w:pPr>
        <w:adjustRightInd w:val="0"/>
        <w:snapToGrid w:val="0"/>
        <w:spacing w:line="240" w:lineRule="auto"/>
        <w:ind w:left="-146" w:leftChars="-52" w:right="-196" w:rightChars="-70" w:firstLine="1"/>
        <w:jc w:val="center"/>
        <w:outlineLvl w:val="0"/>
        <w:rPr>
          <w:b/>
          <w:color w:val="auto"/>
          <w:sz w:val="36"/>
          <w:szCs w:val="36"/>
        </w:rPr>
      </w:pPr>
      <w:r>
        <w:rPr>
          <w:b/>
          <w:color w:val="auto"/>
          <w:sz w:val="36"/>
          <w:szCs w:val="36"/>
        </w:rPr>
        <w:t>第三章</w:t>
      </w:r>
      <w:r>
        <w:rPr>
          <w:rFonts w:hint="default"/>
          <w:b/>
          <w:color w:val="auto"/>
          <w:sz w:val="36"/>
          <w:szCs w:val="36"/>
        </w:rPr>
        <w:t xml:space="preserve">  </w:t>
      </w:r>
      <w:r>
        <w:rPr>
          <w:b/>
          <w:color w:val="auto"/>
          <w:sz w:val="36"/>
          <w:szCs w:val="36"/>
        </w:rPr>
        <w:t>采购货物（服务）技术规格、参数及要求</w:t>
      </w:r>
    </w:p>
    <w:p>
      <w:pPr>
        <w:spacing w:before="0" w:after="0" w:line="440" w:lineRule="exact"/>
        <w:jc w:val="left"/>
        <w:outlineLvl w:val="9"/>
        <w:rPr>
          <w:rFonts w:hint="eastAsia" w:ascii="Times New Roman" w:hAnsi="Times New Roman" w:eastAsia="黑体" w:cs="黑体"/>
          <w:color w:val="auto"/>
          <w:sz w:val="24"/>
        </w:rPr>
      </w:pPr>
      <w:r>
        <w:rPr>
          <w:rFonts w:hint="eastAsia" w:ascii="Times New Roman" w:hAnsi="Times New Roman" w:eastAsia="黑体" w:cs="黑体"/>
          <w:color w:val="auto"/>
          <w:sz w:val="24"/>
        </w:rPr>
        <w:t>一、采购货物具体技术参数及要求</w:t>
      </w:r>
    </w:p>
    <w:tbl>
      <w:tblPr>
        <w:tblStyle w:val="28"/>
        <w:tblW w:w="8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1214"/>
        <w:gridCol w:w="845"/>
        <w:gridCol w:w="3791"/>
        <w:gridCol w:w="1309"/>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411" w:type="dxa"/>
            <w:shd w:val="clear" w:color="auto" w:fill="D6DCE5"/>
            <w:vAlign w:val="center"/>
          </w:tcPr>
          <w:p>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序号</w:t>
            </w:r>
          </w:p>
        </w:tc>
        <w:tc>
          <w:tcPr>
            <w:tcW w:w="1214" w:type="dxa"/>
            <w:shd w:val="clear" w:color="auto" w:fill="D6DCE5"/>
            <w:vAlign w:val="center"/>
          </w:tcPr>
          <w:p>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货物名称</w:t>
            </w:r>
          </w:p>
        </w:tc>
        <w:tc>
          <w:tcPr>
            <w:tcW w:w="845" w:type="dxa"/>
            <w:shd w:val="clear" w:color="auto" w:fill="D6DCE5"/>
            <w:vAlign w:val="center"/>
          </w:tcPr>
          <w:p>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采购</w:t>
            </w:r>
          </w:p>
          <w:p>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数量</w:t>
            </w:r>
          </w:p>
        </w:tc>
        <w:tc>
          <w:tcPr>
            <w:tcW w:w="3791" w:type="dxa"/>
            <w:shd w:val="clear" w:color="auto" w:fill="D6DCE5"/>
            <w:vAlign w:val="center"/>
          </w:tcPr>
          <w:p>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参数或指标需求</w:t>
            </w:r>
          </w:p>
        </w:tc>
        <w:tc>
          <w:tcPr>
            <w:tcW w:w="1309" w:type="dxa"/>
            <w:shd w:val="clear" w:color="auto" w:fill="D6DCE5"/>
            <w:vAlign w:val="center"/>
          </w:tcPr>
          <w:p>
            <w:pPr>
              <w:jc w:val="center"/>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报价</w:t>
            </w:r>
          </w:p>
          <w:p>
            <w:pPr>
              <w:jc w:val="center"/>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限价</w:t>
            </w:r>
          </w:p>
        </w:tc>
        <w:tc>
          <w:tcPr>
            <w:tcW w:w="1171" w:type="dxa"/>
            <w:shd w:val="clear" w:color="auto" w:fill="D6DCE5"/>
            <w:vAlign w:val="center"/>
          </w:tcPr>
          <w:p>
            <w:pPr>
              <w:jc w:val="center"/>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11" w:type="dxa"/>
            <w:vAlign w:val="center"/>
          </w:tcPr>
          <w:p>
            <w:pPr>
              <w:jc w:val="center"/>
              <w:rPr>
                <w:rFonts w:hint="eastAsia" w:asciiTheme="minorEastAsia" w:hAnsiTheme="minorEastAsia" w:eastAsiaTheme="minorEastAsia" w:cstheme="minorEastAsia"/>
                <w:caps/>
                <w:color w:val="auto"/>
                <w:sz w:val="18"/>
                <w:szCs w:val="18"/>
              </w:rPr>
            </w:pPr>
            <w:r>
              <w:rPr>
                <w:rFonts w:hint="eastAsia" w:asciiTheme="minorEastAsia" w:hAnsiTheme="minorEastAsia" w:eastAsiaTheme="minorEastAsia" w:cstheme="minorEastAsia"/>
                <w:caps/>
                <w:color w:val="auto"/>
                <w:sz w:val="18"/>
                <w:szCs w:val="18"/>
              </w:rPr>
              <w:t>1</w:t>
            </w:r>
          </w:p>
        </w:tc>
        <w:tc>
          <w:tcPr>
            <w:tcW w:w="1214" w:type="dxa"/>
            <w:vAlign w:val="center"/>
          </w:tcPr>
          <w:p>
            <w:pPr>
              <w:jc w:val="center"/>
              <w:rPr>
                <w:rFonts w:hint="eastAsia" w:asciiTheme="minorEastAsia" w:hAnsiTheme="minorEastAsia" w:eastAsiaTheme="minorEastAsia" w:cstheme="minorEastAsia"/>
                <w:caps/>
                <w:color w:val="auto"/>
                <w:sz w:val="18"/>
                <w:szCs w:val="18"/>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入口负载</w:t>
            </w:r>
          </w:p>
        </w:tc>
        <w:tc>
          <w:tcPr>
            <w:tcW w:w="845" w:type="dxa"/>
            <w:vAlign w:val="center"/>
          </w:tcPr>
          <w:p>
            <w:pPr>
              <w:jc w:val="center"/>
              <w:rPr>
                <w:rFonts w:hint="eastAsia" w:asciiTheme="minorEastAsia" w:hAnsiTheme="minorEastAsia" w:eastAsiaTheme="minorEastAsia" w:cstheme="minorEastAsia"/>
                <w:caps/>
                <w:color w:val="auto"/>
                <w:sz w:val="18"/>
                <w:szCs w:val="18"/>
                <w:lang w:val="en-US" w:eastAsia="zh-CN"/>
              </w:rPr>
            </w:pPr>
            <w:r>
              <w:rPr>
                <w:rFonts w:hint="eastAsia" w:asciiTheme="minorEastAsia" w:hAnsiTheme="minorEastAsia" w:eastAsiaTheme="minorEastAsia" w:cstheme="minorEastAsia"/>
                <w:caps/>
                <w:color w:val="auto"/>
                <w:sz w:val="18"/>
                <w:szCs w:val="18"/>
                <w:lang w:val="en-US" w:eastAsia="zh-CN"/>
              </w:rPr>
              <w:t>1台/年</w:t>
            </w:r>
          </w:p>
        </w:tc>
        <w:tc>
          <w:tcPr>
            <w:tcW w:w="3791" w:type="dxa"/>
            <w:vAlign w:val="center"/>
          </w:tcPr>
          <w:p>
            <w:pPr>
              <w:jc w:val="center"/>
              <w:rPr>
                <w:rFonts w:hint="eastAsia" w:asciiTheme="minorEastAsia" w:hAnsiTheme="minorEastAsia" w:eastAsiaTheme="minorEastAsia" w:cstheme="minorEastAsia"/>
                <w:caps/>
                <w:color w:val="auto"/>
                <w:sz w:val="18"/>
                <w:szCs w:val="18"/>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8核、16G、系统盘通用型SSD 50G、数据盘通用型SSD 200G、独享45Mb、操作系统</w:t>
            </w:r>
          </w:p>
        </w:tc>
        <w:tc>
          <w:tcPr>
            <w:tcW w:w="1309" w:type="dxa"/>
            <w:vAlign w:val="center"/>
          </w:tcPr>
          <w:p>
            <w:pPr>
              <w:jc w:val="center"/>
              <w:rPr>
                <w:rFonts w:hint="default"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32888.8元</w:t>
            </w:r>
          </w:p>
        </w:tc>
        <w:tc>
          <w:tcPr>
            <w:tcW w:w="1171" w:type="dxa"/>
            <w:vAlign w:val="center"/>
          </w:tcPr>
          <w:p>
            <w:pPr>
              <w:jc w:val="center"/>
              <w:rPr>
                <w:rFonts w:hint="default" w:asciiTheme="minorEastAsia" w:hAnsiTheme="minorEastAsia" w:eastAsiaTheme="minorEastAsia" w:cstheme="minorEastAsia"/>
                <w:i w:val="0"/>
                <w:iCs w:val="0"/>
                <w:snapToGrid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411" w:type="dxa"/>
            <w:vAlign w:val="center"/>
          </w:tcPr>
          <w:p>
            <w:pPr>
              <w:jc w:val="center"/>
              <w:rPr>
                <w:rFonts w:hint="eastAsia" w:asciiTheme="minorEastAsia" w:hAnsiTheme="minorEastAsia" w:eastAsiaTheme="minorEastAsia" w:cstheme="minorEastAsia"/>
                <w:caps/>
                <w:color w:val="auto"/>
                <w:sz w:val="18"/>
                <w:szCs w:val="18"/>
              </w:rPr>
            </w:pPr>
            <w:r>
              <w:rPr>
                <w:rFonts w:hint="eastAsia" w:asciiTheme="minorEastAsia" w:hAnsiTheme="minorEastAsia" w:eastAsiaTheme="minorEastAsia" w:cstheme="minorEastAsia"/>
                <w:caps/>
                <w:color w:val="auto"/>
                <w:sz w:val="18"/>
                <w:szCs w:val="18"/>
              </w:rPr>
              <w:t>2</w:t>
            </w:r>
          </w:p>
        </w:tc>
        <w:tc>
          <w:tcPr>
            <w:tcW w:w="1214"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应用节点1</w:t>
            </w:r>
          </w:p>
        </w:tc>
        <w:tc>
          <w:tcPr>
            <w:tcW w:w="845" w:type="dxa"/>
            <w:vAlign w:val="center"/>
          </w:tcPr>
          <w:p>
            <w:pPr>
              <w:jc w:val="center"/>
              <w:rPr>
                <w:rFonts w:hint="eastAsia" w:asciiTheme="minorEastAsia" w:hAnsiTheme="minorEastAsia" w:eastAsiaTheme="minorEastAsia" w:cstheme="minorEastAsia"/>
                <w:caps/>
                <w:color w:val="auto"/>
                <w:sz w:val="18"/>
                <w:szCs w:val="18"/>
              </w:rPr>
            </w:pPr>
            <w:r>
              <w:rPr>
                <w:rFonts w:hint="eastAsia" w:asciiTheme="minorEastAsia" w:hAnsiTheme="minorEastAsia" w:eastAsiaTheme="minorEastAsia" w:cstheme="minorEastAsia"/>
                <w:caps/>
                <w:color w:val="auto"/>
                <w:sz w:val="18"/>
                <w:szCs w:val="18"/>
                <w:lang w:val="en-US" w:eastAsia="zh-CN"/>
              </w:rPr>
              <w:t>1台/年</w:t>
            </w:r>
          </w:p>
        </w:tc>
        <w:tc>
          <w:tcPr>
            <w:tcW w:w="3791" w:type="dxa"/>
            <w:vAlign w:val="center"/>
          </w:tcPr>
          <w:p>
            <w:pPr>
              <w:jc w:val="center"/>
              <w:rPr>
                <w:rFonts w:hint="eastAsia" w:asciiTheme="minorEastAsia" w:hAnsiTheme="minorEastAsia" w:eastAsiaTheme="minorEastAsia" w:cstheme="minorEastAsia"/>
                <w:caps/>
                <w:color w:val="auto"/>
                <w:sz w:val="18"/>
                <w:szCs w:val="18"/>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8核、32G、系统盘通用型SSD 50G、数据盘超高IO 300、独享1Mb、操作系统</w:t>
            </w:r>
          </w:p>
        </w:tc>
        <w:tc>
          <w:tcPr>
            <w:tcW w:w="1309" w:type="dxa"/>
            <w:vAlign w:val="center"/>
          </w:tcPr>
          <w:p>
            <w:pPr>
              <w:jc w:val="center"/>
              <w:rPr>
                <w:rFonts w:hint="default"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12121.12元</w:t>
            </w:r>
          </w:p>
        </w:tc>
        <w:tc>
          <w:tcPr>
            <w:tcW w:w="1171" w:type="dxa"/>
            <w:vAlign w:val="center"/>
          </w:tcPr>
          <w:p>
            <w:pPr>
              <w:jc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11" w:type="dxa"/>
            <w:vAlign w:val="center"/>
          </w:tcPr>
          <w:p>
            <w:pPr>
              <w:jc w:val="center"/>
              <w:rPr>
                <w:rFonts w:hint="eastAsia" w:asciiTheme="minorEastAsia" w:hAnsiTheme="minorEastAsia" w:eastAsiaTheme="minorEastAsia" w:cstheme="minorEastAsia"/>
                <w:caps/>
                <w:color w:val="auto"/>
                <w:sz w:val="18"/>
                <w:szCs w:val="18"/>
              </w:rPr>
            </w:pPr>
            <w:r>
              <w:rPr>
                <w:rFonts w:hint="eastAsia" w:asciiTheme="minorEastAsia" w:hAnsiTheme="minorEastAsia" w:eastAsiaTheme="minorEastAsia" w:cstheme="minorEastAsia"/>
                <w:caps/>
                <w:color w:val="auto"/>
                <w:sz w:val="18"/>
                <w:szCs w:val="18"/>
              </w:rPr>
              <w:t>3</w:t>
            </w:r>
          </w:p>
        </w:tc>
        <w:tc>
          <w:tcPr>
            <w:tcW w:w="1214" w:type="dxa"/>
            <w:vAlign w:val="center"/>
          </w:tcPr>
          <w:p>
            <w:pPr>
              <w:ind w:left="240" w:hanging="180" w:hangingChars="100"/>
              <w:jc w:val="center"/>
              <w:rPr>
                <w:rFonts w:hint="eastAsia" w:asciiTheme="minorEastAsia" w:hAnsiTheme="minorEastAsia" w:eastAsiaTheme="minorEastAsia" w:cstheme="minorEastAsia"/>
                <w:caps/>
                <w:color w:val="auto"/>
                <w:sz w:val="18"/>
                <w:szCs w:val="18"/>
                <w:lang w:val="en-US" w:eastAsia="zh-CN"/>
              </w:rPr>
            </w:pPr>
            <w:r>
              <w:rPr>
                <w:rFonts w:hint="eastAsia" w:asciiTheme="minorEastAsia" w:hAnsiTheme="minorEastAsia" w:eastAsiaTheme="minorEastAsia" w:cstheme="minorEastAsia"/>
                <w:caps/>
                <w:color w:val="auto"/>
                <w:sz w:val="18"/>
                <w:szCs w:val="18"/>
                <w:lang w:eastAsia="zh-CN"/>
              </w:rPr>
              <w:t>应用节点</w:t>
            </w:r>
            <w:r>
              <w:rPr>
                <w:rFonts w:hint="eastAsia" w:asciiTheme="minorEastAsia" w:hAnsiTheme="minorEastAsia" w:eastAsiaTheme="minorEastAsia" w:cstheme="minorEastAsia"/>
                <w:caps/>
                <w:color w:val="auto"/>
                <w:sz w:val="18"/>
                <w:szCs w:val="18"/>
                <w:lang w:val="en-US" w:eastAsia="zh-CN"/>
              </w:rPr>
              <w:t>2</w:t>
            </w:r>
          </w:p>
        </w:tc>
        <w:tc>
          <w:tcPr>
            <w:tcW w:w="845" w:type="dxa"/>
            <w:vAlign w:val="center"/>
          </w:tcPr>
          <w:p>
            <w:pPr>
              <w:jc w:val="center"/>
              <w:rPr>
                <w:rFonts w:hint="eastAsia" w:asciiTheme="minorEastAsia" w:hAnsiTheme="minorEastAsia" w:eastAsiaTheme="minorEastAsia" w:cstheme="minorEastAsia"/>
                <w:caps/>
                <w:color w:val="auto"/>
                <w:sz w:val="18"/>
                <w:szCs w:val="18"/>
              </w:rPr>
            </w:pPr>
            <w:r>
              <w:rPr>
                <w:rFonts w:hint="eastAsia" w:asciiTheme="minorEastAsia" w:hAnsiTheme="minorEastAsia" w:eastAsiaTheme="minorEastAsia" w:cstheme="minorEastAsia"/>
                <w:caps/>
                <w:color w:val="auto"/>
                <w:sz w:val="18"/>
                <w:szCs w:val="18"/>
                <w:lang w:val="en-US" w:eastAsia="zh-CN"/>
              </w:rPr>
              <w:t>1台/年</w:t>
            </w:r>
          </w:p>
        </w:tc>
        <w:tc>
          <w:tcPr>
            <w:tcW w:w="3791" w:type="dxa"/>
            <w:vAlign w:val="center"/>
          </w:tcPr>
          <w:p>
            <w:pPr>
              <w:jc w:val="center"/>
              <w:rPr>
                <w:rFonts w:hint="eastAsia" w:asciiTheme="minorEastAsia" w:hAnsiTheme="minorEastAsia" w:eastAsiaTheme="minorEastAsia" w:cstheme="minorEastAsia"/>
                <w:caps/>
                <w:color w:val="auto"/>
                <w:sz w:val="18"/>
                <w:szCs w:val="18"/>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8核、32G、系统盘通用型SSD 50G、数据盘超高IO 300G、独享1Mb、操作系统</w:t>
            </w:r>
          </w:p>
        </w:tc>
        <w:tc>
          <w:tcPr>
            <w:tcW w:w="1309" w:type="dxa"/>
            <w:vAlign w:val="center"/>
          </w:tcPr>
          <w:p>
            <w:pPr>
              <w:jc w:val="center"/>
              <w:rPr>
                <w:rFonts w:hint="default"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12121.12元</w:t>
            </w:r>
          </w:p>
        </w:tc>
        <w:tc>
          <w:tcPr>
            <w:tcW w:w="1171" w:type="dxa"/>
            <w:vAlign w:val="center"/>
          </w:tcPr>
          <w:p>
            <w:pPr>
              <w:jc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11" w:type="dxa"/>
            <w:vAlign w:val="center"/>
          </w:tcPr>
          <w:p>
            <w:pPr>
              <w:jc w:val="center"/>
              <w:rPr>
                <w:rFonts w:hint="eastAsia" w:asciiTheme="minorEastAsia" w:hAnsiTheme="minorEastAsia" w:eastAsiaTheme="minorEastAsia" w:cstheme="minorEastAsia"/>
                <w:caps/>
                <w:color w:val="auto"/>
                <w:sz w:val="18"/>
                <w:szCs w:val="18"/>
              </w:rPr>
            </w:pPr>
            <w:r>
              <w:rPr>
                <w:rFonts w:hint="eastAsia" w:asciiTheme="minorEastAsia" w:hAnsiTheme="minorEastAsia" w:eastAsiaTheme="minorEastAsia" w:cstheme="minorEastAsia"/>
                <w:caps/>
                <w:color w:val="auto"/>
                <w:sz w:val="18"/>
                <w:szCs w:val="18"/>
              </w:rPr>
              <w:t>4</w:t>
            </w:r>
          </w:p>
        </w:tc>
        <w:tc>
          <w:tcPr>
            <w:tcW w:w="1214" w:type="dxa"/>
            <w:vAlign w:val="center"/>
          </w:tcPr>
          <w:p>
            <w:pPr>
              <w:ind w:left="240" w:hanging="180" w:hangingChars="100"/>
              <w:jc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数据库主</w:t>
            </w:r>
          </w:p>
        </w:tc>
        <w:tc>
          <w:tcPr>
            <w:tcW w:w="845" w:type="dxa"/>
            <w:vAlign w:val="center"/>
          </w:tcPr>
          <w:p>
            <w:pPr>
              <w:ind w:left="240" w:hanging="180" w:hangingChars="100"/>
              <w:jc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caps/>
                <w:color w:val="auto"/>
                <w:sz w:val="18"/>
                <w:szCs w:val="18"/>
                <w:lang w:val="en-US" w:eastAsia="zh-CN"/>
              </w:rPr>
              <w:t>1台/年</w:t>
            </w:r>
          </w:p>
        </w:tc>
        <w:tc>
          <w:tcPr>
            <w:tcW w:w="3791" w:type="dxa"/>
            <w:vAlign w:val="center"/>
          </w:tcPr>
          <w:p>
            <w:pPr>
              <w:ind w:left="240" w:hanging="180" w:hangingChars="100"/>
              <w:jc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8核、32G、系统盘通用型SSD 50G、数据盘超高IO 500G、独享1Mb、操作系统</w:t>
            </w:r>
          </w:p>
        </w:tc>
        <w:tc>
          <w:tcPr>
            <w:tcW w:w="1309" w:type="dxa"/>
            <w:vAlign w:val="center"/>
          </w:tcPr>
          <w:p>
            <w:pPr>
              <w:ind w:left="240" w:hanging="180" w:hangingChars="100"/>
              <w:jc w:val="center"/>
              <w:rPr>
                <w:rFonts w:hint="default"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14121.12元</w:t>
            </w:r>
          </w:p>
        </w:tc>
        <w:tc>
          <w:tcPr>
            <w:tcW w:w="1171" w:type="dxa"/>
            <w:vAlign w:val="center"/>
          </w:tcPr>
          <w:p>
            <w:pPr>
              <w:ind w:left="240" w:hanging="180" w:hangingChars="100"/>
              <w:jc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11" w:type="dxa"/>
            <w:vAlign w:val="center"/>
          </w:tcPr>
          <w:p>
            <w:pPr>
              <w:jc w:val="center"/>
              <w:rPr>
                <w:rFonts w:hint="eastAsia" w:asciiTheme="minorEastAsia" w:hAnsiTheme="minorEastAsia" w:eastAsiaTheme="minorEastAsia" w:cstheme="minorEastAsia"/>
                <w:caps/>
                <w:color w:val="auto"/>
                <w:sz w:val="18"/>
                <w:szCs w:val="18"/>
              </w:rPr>
            </w:pPr>
            <w:r>
              <w:rPr>
                <w:rFonts w:hint="eastAsia" w:asciiTheme="minorEastAsia" w:hAnsiTheme="minorEastAsia" w:eastAsiaTheme="minorEastAsia" w:cstheme="minorEastAsia"/>
                <w:caps/>
                <w:color w:val="auto"/>
                <w:sz w:val="18"/>
                <w:szCs w:val="18"/>
              </w:rPr>
              <w:t>5</w:t>
            </w:r>
          </w:p>
        </w:tc>
        <w:tc>
          <w:tcPr>
            <w:tcW w:w="1214" w:type="dxa"/>
            <w:vAlign w:val="center"/>
          </w:tcPr>
          <w:p>
            <w:pPr>
              <w:ind w:left="240" w:hanging="180" w:hangingChars="100"/>
              <w:jc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数据库从</w:t>
            </w:r>
          </w:p>
        </w:tc>
        <w:tc>
          <w:tcPr>
            <w:tcW w:w="845" w:type="dxa"/>
            <w:vAlign w:val="center"/>
          </w:tcPr>
          <w:p>
            <w:pPr>
              <w:ind w:left="240" w:hanging="180" w:hangingChars="100"/>
              <w:jc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caps/>
                <w:color w:val="auto"/>
                <w:sz w:val="18"/>
                <w:szCs w:val="18"/>
                <w:lang w:val="en-US" w:eastAsia="zh-CN"/>
              </w:rPr>
              <w:t>1台/年</w:t>
            </w:r>
          </w:p>
        </w:tc>
        <w:tc>
          <w:tcPr>
            <w:tcW w:w="3791" w:type="dxa"/>
            <w:vAlign w:val="center"/>
          </w:tcPr>
          <w:p>
            <w:pPr>
              <w:ind w:left="240" w:hanging="180" w:hangingChars="100"/>
              <w:jc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8核、32G、系统盘 通用型SSD 50G、数据盘 超高IO 500G、独享1Mb、操作系统</w:t>
            </w:r>
          </w:p>
        </w:tc>
        <w:tc>
          <w:tcPr>
            <w:tcW w:w="1309" w:type="dxa"/>
            <w:vAlign w:val="center"/>
          </w:tcPr>
          <w:p>
            <w:pPr>
              <w:ind w:left="240" w:hanging="180" w:hangingChars="100"/>
              <w:jc w:val="center"/>
              <w:rPr>
                <w:rFonts w:hint="default"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14121.12元</w:t>
            </w:r>
          </w:p>
        </w:tc>
        <w:tc>
          <w:tcPr>
            <w:tcW w:w="1171" w:type="dxa"/>
            <w:vAlign w:val="center"/>
          </w:tcPr>
          <w:p>
            <w:pPr>
              <w:ind w:left="240" w:hanging="180" w:hangingChars="100"/>
              <w:jc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11" w:type="dxa"/>
            <w:vAlign w:val="center"/>
          </w:tcPr>
          <w:p>
            <w:pPr>
              <w:jc w:val="center"/>
              <w:rPr>
                <w:rFonts w:hint="eastAsia" w:asciiTheme="minorEastAsia" w:hAnsiTheme="minorEastAsia" w:eastAsiaTheme="minorEastAsia" w:cstheme="minorEastAsia"/>
                <w:caps/>
                <w:color w:val="auto"/>
                <w:sz w:val="18"/>
                <w:szCs w:val="18"/>
                <w:lang w:val="en-US" w:eastAsia="zh-CN"/>
              </w:rPr>
            </w:pPr>
            <w:r>
              <w:rPr>
                <w:rFonts w:hint="eastAsia" w:asciiTheme="minorEastAsia" w:hAnsiTheme="minorEastAsia" w:eastAsiaTheme="minorEastAsia" w:cstheme="minorEastAsia"/>
                <w:caps/>
                <w:color w:val="auto"/>
                <w:sz w:val="18"/>
                <w:szCs w:val="18"/>
                <w:lang w:val="en-US" w:eastAsia="zh-CN"/>
              </w:rPr>
              <w:t>6</w:t>
            </w:r>
          </w:p>
        </w:tc>
        <w:tc>
          <w:tcPr>
            <w:tcW w:w="1214" w:type="dxa"/>
            <w:vAlign w:val="center"/>
          </w:tcPr>
          <w:p>
            <w:pPr>
              <w:ind w:left="180" w:leftChars="0" w:hanging="180" w:hangingChars="100"/>
              <w:jc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color w:val="auto"/>
                <w:sz w:val="18"/>
                <w:szCs w:val="18"/>
                <w:highlight w:val="none"/>
                <w:u w:val="none"/>
                <w:lang w:val="en-US" w:eastAsia="zh-CN"/>
              </w:rPr>
              <w:t>VR全景导览</w:t>
            </w:r>
          </w:p>
        </w:tc>
        <w:tc>
          <w:tcPr>
            <w:tcW w:w="845" w:type="dxa"/>
            <w:vAlign w:val="center"/>
          </w:tcPr>
          <w:p>
            <w:pPr>
              <w:ind w:left="180" w:leftChars="0" w:hanging="180" w:hangingChars="100"/>
              <w:jc w:val="center"/>
              <w:rPr>
                <w:rFonts w:hint="eastAsia" w:asciiTheme="minorEastAsia" w:hAnsiTheme="minorEastAsia" w:eastAsiaTheme="minorEastAsia" w:cstheme="minorEastAsia"/>
                <w:caps/>
                <w:color w:val="auto"/>
                <w:sz w:val="18"/>
                <w:szCs w:val="18"/>
                <w:lang w:val="en-US" w:eastAsia="zh-CN"/>
              </w:rPr>
            </w:pPr>
            <w:r>
              <w:rPr>
                <w:rFonts w:hint="eastAsia" w:asciiTheme="minorEastAsia" w:hAnsiTheme="minorEastAsia" w:eastAsiaTheme="minorEastAsia" w:cstheme="minorEastAsia"/>
                <w:caps/>
                <w:color w:val="auto"/>
                <w:sz w:val="18"/>
                <w:szCs w:val="18"/>
                <w:lang w:val="en-US" w:eastAsia="zh-CN"/>
              </w:rPr>
              <w:t>1台/年</w:t>
            </w:r>
          </w:p>
        </w:tc>
        <w:tc>
          <w:tcPr>
            <w:tcW w:w="3791" w:type="dxa"/>
            <w:vAlign w:val="center"/>
          </w:tcPr>
          <w:p>
            <w:pPr>
              <w:ind w:left="180" w:leftChars="0" w:hanging="180" w:hangingChars="100"/>
              <w:jc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 xml:space="preserve">数据盘通用型SSD 60G </w:t>
            </w:r>
          </w:p>
        </w:tc>
        <w:tc>
          <w:tcPr>
            <w:tcW w:w="1309" w:type="dxa"/>
            <w:vAlign w:val="center"/>
          </w:tcPr>
          <w:p>
            <w:pPr>
              <w:ind w:left="240" w:hanging="180" w:hangingChars="100"/>
              <w:jc w:val="center"/>
              <w:rPr>
                <w:rFonts w:hint="default"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360元</w:t>
            </w:r>
          </w:p>
        </w:tc>
        <w:tc>
          <w:tcPr>
            <w:tcW w:w="1171" w:type="dxa"/>
            <w:vAlign w:val="center"/>
          </w:tcPr>
          <w:p>
            <w:pPr>
              <w:ind w:left="240" w:hanging="180" w:hangingChars="100"/>
              <w:jc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11" w:type="dxa"/>
            <w:vAlign w:val="center"/>
          </w:tcPr>
          <w:p>
            <w:pPr>
              <w:jc w:val="center"/>
              <w:rPr>
                <w:rFonts w:hint="default" w:asciiTheme="minorEastAsia" w:hAnsiTheme="minorEastAsia" w:eastAsiaTheme="minorEastAsia" w:cstheme="minorEastAsia"/>
                <w:caps/>
                <w:color w:val="auto"/>
                <w:sz w:val="18"/>
                <w:szCs w:val="18"/>
                <w:lang w:val="en-US" w:eastAsia="zh-CN"/>
              </w:rPr>
            </w:pPr>
            <w:r>
              <w:rPr>
                <w:rFonts w:hint="eastAsia" w:asciiTheme="minorEastAsia" w:hAnsiTheme="minorEastAsia" w:eastAsiaTheme="minorEastAsia" w:cstheme="minorEastAsia"/>
                <w:caps/>
                <w:color w:val="auto"/>
                <w:sz w:val="18"/>
                <w:szCs w:val="18"/>
                <w:lang w:val="en-US" w:eastAsia="zh-CN"/>
              </w:rPr>
              <w:t>7</w:t>
            </w:r>
          </w:p>
        </w:tc>
        <w:tc>
          <w:tcPr>
            <w:tcW w:w="1214" w:type="dxa"/>
            <w:vAlign w:val="center"/>
          </w:tcPr>
          <w:p>
            <w:pPr>
              <w:ind w:left="180" w:leftChars="0" w:hanging="180" w:hangingChars="100"/>
              <w:jc w:val="center"/>
              <w:rPr>
                <w:rFonts w:hint="eastAsia" w:asciiTheme="minorEastAsia" w:hAnsiTheme="minorEastAsia" w:eastAsiaTheme="minorEastAsia" w:cstheme="minorEastAsia"/>
                <w:i w:val="0"/>
                <w:iCs w:val="0"/>
                <w:color w:val="auto"/>
                <w:sz w:val="18"/>
                <w:szCs w:val="18"/>
                <w:highlight w:val="none"/>
                <w:u w:val="none"/>
                <w:lang w:val="en-US" w:eastAsia="zh-CN"/>
              </w:rPr>
            </w:pPr>
            <w:r>
              <w:rPr>
                <w:rFonts w:hint="eastAsia" w:asciiTheme="minorEastAsia" w:hAnsiTheme="minorEastAsia" w:eastAsiaTheme="minorEastAsia" w:cstheme="minorEastAsia"/>
                <w:i w:val="0"/>
                <w:iCs w:val="0"/>
                <w:color w:val="auto"/>
                <w:sz w:val="18"/>
                <w:szCs w:val="18"/>
                <w:highlight w:val="none"/>
                <w:u w:val="none"/>
                <w:lang w:val="en-US" w:eastAsia="zh-CN"/>
              </w:rPr>
              <w:t>语音导览系统</w:t>
            </w:r>
          </w:p>
        </w:tc>
        <w:tc>
          <w:tcPr>
            <w:tcW w:w="845" w:type="dxa"/>
            <w:vAlign w:val="center"/>
          </w:tcPr>
          <w:p>
            <w:pPr>
              <w:ind w:left="180" w:leftChars="0" w:hanging="180" w:hangingChars="100"/>
              <w:jc w:val="center"/>
              <w:rPr>
                <w:rFonts w:hint="eastAsia" w:asciiTheme="minorEastAsia" w:hAnsiTheme="minorEastAsia" w:eastAsiaTheme="minorEastAsia" w:cstheme="minorEastAsia"/>
                <w:caps/>
                <w:color w:val="auto"/>
                <w:sz w:val="18"/>
                <w:szCs w:val="18"/>
                <w:lang w:val="en-US" w:eastAsia="zh-CN"/>
              </w:rPr>
            </w:pPr>
            <w:r>
              <w:rPr>
                <w:rFonts w:hint="eastAsia" w:asciiTheme="minorEastAsia" w:hAnsiTheme="minorEastAsia" w:eastAsiaTheme="minorEastAsia" w:cstheme="minorEastAsia"/>
                <w:caps/>
                <w:color w:val="auto"/>
                <w:sz w:val="18"/>
                <w:szCs w:val="18"/>
                <w:lang w:val="en-US" w:eastAsia="zh-CN"/>
              </w:rPr>
              <w:t>1台/年</w:t>
            </w:r>
          </w:p>
        </w:tc>
        <w:tc>
          <w:tcPr>
            <w:tcW w:w="3791" w:type="dxa"/>
            <w:vAlign w:val="center"/>
          </w:tcPr>
          <w:p>
            <w:pPr>
              <w:ind w:left="180" w:leftChars="0" w:hanging="180" w:hangingChars="100"/>
              <w:jc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color w:val="auto"/>
                <w:sz w:val="18"/>
                <w:szCs w:val="18"/>
                <w:highlight w:val="none"/>
                <w:u w:val="none"/>
                <w:lang w:val="en-US" w:eastAsia="zh-CN"/>
              </w:rPr>
              <w:t>数据盘通用型SSD 10G</w:t>
            </w:r>
          </w:p>
        </w:tc>
        <w:tc>
          <w:tcPr>
            <w:tcW w:w="1309" w:type="dxa"/>
            <w:vAlign w:val="center"/>
          </w:tcPr>
          <w:p>
            <w:pPr>
              <w:ind w:left="240" w:hanging="180" w:hangingChars="100"/>
              <w:jc w:val="center"/>
              <w:rPr>
                <w:rFonts w:hint="default"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60元</w:t>
            </w:r>
          </w:p>
        </w:tc>
        <w:tc>
          <w:tcPr>
            <w:tcW w:w="1171" w:type="dxa"/>
            <w:vAlign w:val="center"/>
          </w:tcPr>
          <w:p>
            <w:pPr>
              <w:ind w:left="240" w:hanging="180" w:hangingChars="100"/>
              <w:jc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11" w:type="dxa"/>
            <w:vAlign w:val="center"/>
          </w:tcPr>
          <w:p>
            <w:pPr>
              <w:jc w:val="center"/>
              <w:rPr>
                <w:rFonts w:hint="default" w:asciiTheme="minorEastAsia" w:hAnsiTheme="minorEastAsia" w:eastAsiaTheme="minorEastAsia" w:cstheme="minorEastAsia"/>
                <w:caps/>
                <w:color w:val="auto"/>
                <w:sz w:val="18"/>
                <w:szCs w:val="18"/>
                <w:lang w:val="en-US" w:eastAsia="zh-CN"/>
              </w:rPr>
            </w:pPr>
            <w:r>
              <w:rPr>
                <w:rFonts w:hint="eastAsia" w:asciiTheme="minorEastAsia" w:hAnsiTheme="minorEastAsia" w:eastAsiaTheme="minorEastAsia" w:cstheme="minorEastAsia"/>
                <w:caps/>
                <w:color w:val="auto"/>
                <w:sz w:val="18"/>
                <w:szCs w:val="18"/>
                <w:lang w:val="en-US" w:eastAsia="zh-CN"/>
              </w:rPr>
              <w:t>8</w:t>
            </w:r>
          </w:p>
        </w:tc>
        <w:tc>
          <w:tcPr>
            <w:tcW w:w="1214" w:type="dxa"/>
            <w:vAlign w:val="center"/>
          </w:tcPr>
          <w:p>
            <w:pPr>
              <w:ind w:left="240" w:hanging="180" w:hangingChars="100"/>
              <w:jc w:val="center"/>
              <w:rPr>
                <w:rFonts w:hint="eastAsia" w:asciiTheme="minorEastAsia" w:hAnsiTheme="minorEastAsia" w:eastAsiaTheme="minorEastAsia" w:cstheme="minorEastAsia"/>
                <w:i w:val="0"/>
                <w:iCs w:val="0"/>
                <w:color w:val="auto"/>
                <w:sz w:val="18"/>
                <w:szCs w:val="18"/>
                <w:highlight w:val="none"/>
                <w:u w:val="none"/>
                <w:lang w:val="en-US" w:eastAsia="zh-CN"/>
              </w:rPr>
            </w:pPr>
            <w:r>
              <w:rPr>
                <w:rFonts w:hint="eastAsia" w:asciiTheme="minorEastAsia" w:hAnsiTheme="minorEastAsia" w:eastAsiaTheme="minorEastAsia" w:cstheme="minorEastAsia"/>
                <w:i w:val="0"/>
                <w:iCs w:val="0"/>
                <w:color w:val="auto"/>
                <w:sz w:val="18"/>
                <w:szCs w:val="18"/>
                <w:highlight w:val="none"/>
                <w:u w:val="none"/>
                <w:lang w:val="en-US" w:eastAsia="zh-CN"/>
              </w:rPr>
              <w:t>百物展云</w:t>
            </w:r>
          </w:p>
          <w:p>
            <w:pPr>
              <w:ind w:left="180" w:leftChars="0" w:hanging="180" w:hangingChars="100"/>
              <w:jc w:val="center"/>
              <w:rPr>
                <w:rFonts w:hint="eastAsia" w:asciiTheme="minorEastAsia" w:hAnsiTheme="minorEastAsia" w:eastAsiaTheme="minorEastAsia" w:cstheme="minorEastAsia"/>
                <w:i w:val="0"/>
                <w:iCs w:val="0"/>
                <w:color w:val="auto"/>
                <w:sz w:val="18"/>
                <w:szCs w:val="18"/>
                <w:highlight w:val="none"/>
                <w:u w:val="none"/>
                <w:lang w:val="en-US" w:eastAsia="zh-CN"/>
              </w:rPr>
            </w:pPr>
            <w:r>
              <w:rPr>
                <w:rFonts w:hint="eastAsia" w:asciiTheme="minorEastAsia" w:hAnsiTheme="minorEastAsia" w:eastAsiaTheme="minorEastAsia" w:cstheme="minorEastAsia"/>
                <w:i w:val="0"/>
                <w:iCs w:val="0"/>
                <w:color w:val="auto"/>
                <w:sz w:val="18"/>
                <w:szCs w:val="18"/>
                <w:highlight w:val="none"/>
                <w:u w:val="none"/>
                <w:lang w:val="en-US" w:eastAsia="zh-CN"/>
              </w:rPr>
              <w:t>服务系统</w:t>
            </w:r>
          </w:p>
        </w:tc>
        <w:tc>
          <w:tcPr>
            <w:tcW w:w="845" w:type="dxa"/>
            <w:vAlign w:val="center"/>
          </w:tcPr>
          <w:p>
            <w:pPr>
              <w:ind w:left="180" w:leftChars="0" w:hanging="180" w:hangingChars="100"/>
              <w:jc w:val="center"/>
              <w:rPr>
                <w:rFonts w:hint="eastAsia" w:asciiTheme="minorEastAsia" w:hAnsiTheme="minorEastAsia" w:eastAsiaTheme="minorEastAsia" w:cstheme="minorEastAsia"/>
                <w:caps/>
                <w:color w:val="auto"/>
                <w:sz w:val="18"/>
                <w:szCs w:val="18"/>
                <w:lang w:val="en-US" w:eastAsia="zh-CN"/>
              </w:rPr>
            </w:pPr>
            <w:r>
              <w:rPr>
                <w:rFonts w:hint="eastAsia" w:asciiTheme="minorEastAsia" w:hAnsiTheme="minorEastAsia" w:eastAsiaTheme="minorEastAsia" w:cstheme="minorEastAsia"/>
                <w:caps/>
                <w:color w:val="auto"/>
                <w:sz w:val="18"/>
                <w:szCs w:val="18"/>
                <w:lang w:val="en-US" w:eastAsia="zh-CN"/>
              </w:rPr>
              <w:t>1台/年</w:t>
            </w:r>
          </w:p>
        </w:tc>
        <w:tc>
          <w:tcPr>
            <w:tcW w:w="3791" w:type="dxa"/>
            <w:vAlign w:val="center"/>
          </w:tcPr>
          <w:p>
            <w:pPr>
              <w:ind w:left="180" w:leftChars="0" w:hanging="180" w:hangingChars="100"/>
              <w:jc w:val="center"/>
              <w:rPr>
                <w:rFonts w:hint="eastAsia" w:asciiTheme="minorEastAsia" w:hAnsiTheme="minorEastAsia" w:eastAsiaTheme="minorEastAsia" w:cstheme="minorEastAsia"/>
                <w:i w:val="0"/>
                <w:iCs w:val="0"/>
                <w:color w:val="auto"/>
                <w:sz w:val="18"/>
                <w:szCs w:val="18"/>
                <w:highlight w:val="none"/>
                <w:u w:val="none"/>
                <w:lang w:val="en-US" w:eastAsia="zh-CN"/>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8核、32G、系统盘通用型SSD 50G 数据盘通用型SSD 150G、独享10Mb、操作系统</w:t>
            </w:r>
          </w:p>
        </w:tc>
        <w:tc>
          <w:tcPr>
            <w:tcW w:w="1309" w:type="dxa"/>
            <w:vAlign w:val="center"/>
          </w:tcPr>
          <w:p>
            <w:pPr>
              <w:ind w:left="240" w:hanging="180" w:hangingChars="100"/>
              <w:jc w:val="center"/>
              <w:rPr>
                <w:rFonts w:hint="default"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13957.12元</w:t>
            </w:r>
          </w:p>
        </w:tc>
        <w:tc>
          <w:tcPr>
            <w:tcW w:w="1171" w:type="dxa"/>
            <w:vAlign w:val="center"/>
          </w:tcPr>
          <w:p>
            <w:pPr>
              <w:ind w:left="240" w:hanging="180" w:hangingChars="100"/>
              <w:jc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411" w:type="dxa"/>
            <w:vAlign w:val="center"/>
          </w:tcPr>
          <w:p>
            <w:pPr>
              <w:jc w:val="center"/>
              <w:rPr>
                <w:rFonts w:hint="eastAsia" w:asciiTheme="minorEastAsia" w:hAnsiTheme="minorEastAsia" w:eastAsiaTheme="minorEastAsia" w:cstheme="minorEastAsia"/>
                <w:caps/>
                <w:color w:val="auto"/>
                <w:sz w:val="18"/>
                <w:szCs w:val="18"/>
                <w:lang w:eastAsia="zh-CN"/>
              </w:rPr>
            </w:pPr>
            <w:r>
              <w:rPr>
                <w:rFonts w:hint="eastAsia" w:asciiTheme="minorEastAsia" w:hAnsiTheme="minorEastAsia" w:eastAsiaTheme="minorEastAsia" w:cstheme="minorEastAsia"/>
                <w:caps/>
                <w:color w:val="auto"/>
                <w:sz w:val="18"/>
                <w:szCs w:val="18"/>
                <w:lang w:val="en-US" w:eastAsia="zh-CN"/>
              </w:rPr>
              <w:t>9</w:t>
            </w:r>
          </w:p>
        </w:tc>
        <w:tc>
          <w:tcPr>
            <w:tcW w:w="1214" w:type="dxa"/>
            <w:vAlign w:val="center"/>
          </w:tcPr>
          <w:p>
            <w:pPr>
              <w:ind w:left="240" w:hanging="180" w:hangingChars="100"/>
              <w:jc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访问域名</w:t>
            </w:r>
          </w:p>
        </w:tc>
        <w:tc>
          <w:tcPr>
            <w:tcW w:w="845" w:type="dxa"/>
            <w:vAlign w:val="center"/>
          </w:tcPr>
          <w:p>
            <w:pPr>
              <w:ind w:left="240" w:hanging="180" w:hangingChars="100"/>
              <w:jc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1个/年</w:t>
            </w:r>
          </w:p>
        </w:tc>
        <w:tc>
          <w:tcPr>
            <w:tcW w:w="3791" w:type="dxa"/>
            <w:vAlign w:val="center"/>
          </w:tcPr>
          <w:p>
            <w:pPr>
              <w:ind w:left="240" w:hanging="180" w:hangingChars="100"/>
              <w:jc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访问域名，完成空间备案。</w:t>
            </w:r>
          </w:p>
        </w:tc>
        <w:tc>
          <w:tcPr>
            <w:tcW w:w="1309" w:type="dxa"/>
            <w:vAlign w:val="center"/>
          </w:tcPr>
          <w:p>
            <w:pPr>
              <w:ind w:left="240" w:hanging="180" w:hangingChars="100"/>
              <w:jc w:val="center"/>
              <w:rPr>
                <w:rFonts w:hint="default"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62元</w:t>
            </w:r>
          </w:p>
        </w:tc>
        <w:tc>
          <w:tcPr>
            <w:tcW w:w="1171" w:type="dxa"/>
            <w:vAlign w:val="center"/>
          </w:tcPr>
          <w:p>
            <w:pPr>
              <w:ind w:left="240" w:hanging="180" w:hangingChars="100"/>
              <w:jc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411" w:type="dxa"/>
            <w:vAlign w:val="center"/>
          </w:tcPr>
          <w:p>
            <w:pPr>
              <w:jc w:val="center"/>
              <w:rPr>
                <w:rFonts w:hint="default" w:asciiTheme="minorEastAsia" w:hAnsiTheme="minorEastAsia" w:eastAsiaTheme="minorEastAsia" w:cstheme="minorEastAsia"/>
                <w:caps/>
                <w:color w:val="auto"/>
                <w:sz w:val="18"/>
                <w:szCs w:val="18"/>
                <w:lang w:val="en-US" w:eastAsia="zh-CN"/>
              </w:rPr>
            </w:pPr>
            <w:r>
              <w:rPr>
                <w:rFonts w:hint="eastAsia" w:asciiTheme="minorEastAsia" w:hAnsiTheme="minorEastAsia" w:eastAsiaTheme="minorEastAsia" w:cstheme="minorEastAsia"/>
                <w:caps/>
                <w:color w:val="auto"/>
                <w:sz w:val="18"/>
                <w:szCs w:val="18"/>
                <w:lang w:val="en-US" w:eastAsia="zh-CN"/>
              </w:rPr>
              <w:t>10</w:t>
            </w:r>
          </w:p>
        </w:tc>
        <w:tc>
          <w:tcPr>
            <w:tcW w:w="1214" w:type="dxa"/>
            <w:vAlign w:val="center"/>
          </w:tcPr>
          <w:p>
            <w:pPr>
              <w:ind w:left="240" w:hanging="180" w:hangingChars="100"/>
              <w:jc w:val="center"/>
              <w:rPr>
                <w:rFonts w:hint="default"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互联网ip</w:t>
            </w:r>
          </w:p>
        </w:tc>
        <w:tc>
          <w:tcPr>
            <w:tcW w:w="845" w:type="dxa"/>
            <w:vAlign w:val="center"/>
          </w:tcPr>
          <w:p>
            <w:pPr>
              <w:ind w:left="240" w:hanging="180" w:hangingChars="100"/>
              <w:jc w:val="center"/>
              <w:rPr>
                <w:rFonts w:hint="default"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2个/年</w:t>
            </w:r>
          </w:p>
        </w:tc>
        <w:tc>
          <w:tcPr>
            <w:tcW w:w="3791" w:type="dxa"/>
            <w:vAlign w:val="center"/>
          </w:tcPr>
          <w:p>
            <w:pPr>
              <w:ind w:left="240" w:hanging="180" w:hangingChars="100"/>
              <w:jc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w:t>
            </w:r>
          </w:p>
        </w:tc>
        <w:tc>
          <w:tcPr>
            <w:tcW w:w="1309" w:type="dxa"/>
            <w:vAlign w:val="center"/>
          </w:tcPr>
          <w:p>
            <w:pPr>
              <w:ind w:left="240" w:hanging="180" w:hangingChars="100"/>
              <w:jc w:val="center"/>
              <w:rPr>
                <w:rFonts w:hint="default"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640元</w:t>
            </w:r>
          </w:p>
        </w:tc>
        <w:tc>
          <w:tcPr>
            <w:tcW w:w="1171" w:type="dxa"/>
            <w:vAlign w:val="center"/>
          </w:tcPr>
          <w:p>
            <w:pPr>
              <w:ind w:left="240" w:hanging="180" w:hangingChars="100"/>
              <w:jc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411" w:type="dxa"/>
            <w:vAlign w:val="center"/>
          </w:tcPr>
          <w:p>
            <w:pPr>
              <w:jc w:val="center"/>
              <w:rPr>
                <w:rFonts w:hint="default" w:asciiTheme="minorEastAsia" w:hAnsiTheme="minorEastAsia" w:eastAsiaTheme="minorEastAsia" w:cstheme="minorEastAsia"/>
                <w:caps/>
                <w:color w:val="auto"/>
                <w:sz w:val="18"/>
                <w:szCs w:val="18"/>
                <w:lang w:val="en-US" w:eastAsia="zh-CN"/>
              </w:rPr>
            </w:pPr>
            <w:r>
              <w:rPr>
                <w:rFonts w:hint="eastAsia" w:asciiTheme="minorEastAsia" w:hAnsiTheme="minorEastAsia" w:eastAsiaTheme="minorEastAsia" w:cstheme="minorEastAsia"/>
                <w:caps/>
                <w:color w:val="auto"/>
                <w:sz w:val="18"/>
                <w:szCs w:val="18"/>
                <w:lang w:val="en-US" w:eastAsia="zh-CN"/>
              </w:rPr>
              <w:t>11</w:t>
            </w:r>
          </w:p>
        </w:tc>
        <w:tc>
          <w:tcPr>
            <w:tcW w:w="1214" w:type="dxa"/>
            <w:vAlign w:val="center"/>
          </w:tcPr>
          <w:p>
            <w:pPr>
              <w:ind w:left="240" w:hanging="180" w:hangingChars="100"/>
              <w:jc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证书</w:t>
            </w:r>
          </w:p>
        </w:tc>
        <w:tc>
          <w:tcPr>
            <w:tcW w:w="845" w:type="dxa"/>
            <w:vAlign w:val="center"/>
          </w:tcPr>
          <w:p>
            <w:pPr>
              <w:ind w:left="240" w:hanging="180" w:hangingChars="100"/>
              <w:jc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1个/年</w:t>
            </w:r>
          </w:p>
        </w:tc>
        <w:tc>
          <w:tcPr>
            <w:tcW w:w="3791" w:type="dxa"/>
            <w:vAlign w:val="center"/>
          </w:tcPr>
          <w:p>
            <w:pPr>
              <w:ind w:left="240" w:hanging="180" w:hangingChars="100"/>
              <w:jc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w:t>
            </w:r>
          </w:p>
        </w:tc>
        <w:tc>
          <w:tcPr>
            <w:tcW w:w="1309" w:type="dxa"/>
            <w:vAlign w:val="center"/>
          </w:tcPr>
          <w:p>
            <w:pPr>
              <w:ind w:left="240" w:hanging="180" w:hangingChars="100"/>
              <w:jc w:val="center"/>
              <w:rPr>
                <w:rFonts w:hint="default"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1660元</w:t>
            </w:r>
          </w:p>
        </w:tc>
        <w:tc>
          <w:tcPr>
            <w:tcW w:w="1171" w:type="dxa"/>
            <w:vAlign w:val="center"/>
          </w:tcPr>
          <w:p>
            <w:pPr>
              <w:ind w:left="240" w:hanging="180" w:hangingChars="100"/>
              <w:jc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11" w:type="dxa"/>
            <w:vAlign w:val="center"/>
          </w:tcPr>
          <w:p>
            <w:pPr>
              <w:jc w:val="center"/>
              <w:rPr>
                <w:rFonts w:hint="default" w:asciiTheme="minorEastAsia" w:hAnsiTheme="minorEastAsia" w:eastAsiaTheme="minorEastAsia" w:cstheme="minorEastAsia"/>
                <w:caps/>
                <w:color w:val="auto"/>
                <w:sz w:val="18"/>
                <w:szCs w:val="18"/>
                <w:lang w:val="en-US" w:eastAsia="zh-CN"/>
              </w:rPr>
            </w:pPr>
            <w:r>
              <w:rPr>
                <w:rFonts w:hint="eastAsia" w:asciiTheme="minorEastAsia" w:hAnsiTheme="minorEastAsia" w:eastAsiaTheme="minorEastAsia" w:cstheme="minorEastAsia"/>
                <w:caps/>
                <w:color w:val="auto"/>
                <w:sz w:val="18"/>
                <w:szCs w:val="18"/>
                <w:lang w:val="en-US" w:eastAsia="zh-CN"/>
              </w:rPr>
              <w:t>12</w:t>
            </w:r>
          </w:p>
        </w:tc>
        <w:tc>
          <w:tcPr>
            <w:tcW w:w="1214" w:type="dxa"/>
            <w:vAlign w:val="center"/>
          </w:tcPr>
          <w:p>
            <w:pPr>
              <w:ind w:left="180" w:leftChars="0" w:hanging="180" w:hangingChars="100"/>
              <w:jc w:val="center"/>
              <w:rPr>
                <w:rFonts w:hint="default"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网络安全防护</w:t>
            </w:r>
          </w:p>
        </w:tc>
        <w:tc>
          <w:tcPr>
            <w:tcW w:w="845" w:type="dxa"/>
            <w:vAlign w:val="center"/>
          </w:tcPr>
          <w:p>
            <w:pPr>
              <w:ind w:left="180" w:leftChars="0" w:hanging="180" w:hangingChars="100"/>
              <w:jc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1项/年</w:t>
            </w:r>
          </w:p>
        </w:tc>
        <w:tc>
          <w:tcPr>
            <w:tcW w:w="3791" w:type="dxa"/>
            <w:vAlign w:val="center"/>
          </w:tcPr>
          <w:p>
            <w:pPr>
              <w:ind w:left="180" w:leftChars="0" w:hanging="180" w:hangingChars="100"/>
              <w:jc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堡垒机、网络防火墙、入侵检测、入侵防御。</w:t>
            </w:r>
          </w:p>
        </w:tc>
        <w:tc>
          <w:tcPr>
            <w:tcW w:w="1309" w:type="dxa"/>
            <w:vAlign w:val="center"/>
          </w:tcPr>
          <w:p>
            <w:pPr>
              <w:ind w:left="240" w:hanging="180" w:hangingChars="100"/>
              <w:jc w:val="center"/>
              <w:rPr>
                <w:rFonts w:hint="default"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96100元</w:t>
            </w:r>
          </w:p>
        </w:tc>
        <w:tc>
          <w:tcPr>
            <w:tcW w:w="1171" w:type="dxa"/>
            <w:vAlign w:val="center"/>
          </w:tcPr>
          <w:p>
            <w:pPr>
              <w:ind w:left="240" w:hanging="180" w:hangingChars="100"/>
              <w:jc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261" w:type="dxa"/>
            <w:gridSpan w:val="4"/>
            <w:vAlign w:val="center"/>
          </w:tcPr>
          <w:p>
            <w:pPr>
              <w:ind w:left="240" w:hanging="180" w:hangingChars="100"/>
              <w:jc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总计</w:t>
            </w:r>
          </w:p>
        </w:tc>
        <w:tc>
          <w:tcPr>
            <w:tcW w:w="1309" w:type="dxa"/>
            <w:vAlign w:val="center"/>
          </w:tcPr>
          <w:p>
            <w:pPr>
              <w:ind w:left="240" w:hanging="180" w:hangingChars="100"/>
              <w:jc w:val="center"/>
              <w:rPr>
                <w:rFonts w:hint="default"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198212.4元</w:t>
            </w:r>
          </w:p>
        </w:tc>
        <w:tc>
          <w:tcPr>
            <w:tcW w:w="1171" w:type="dxa"/>
            <w:vAlign w:val="center"/>
          </w:tcPr>
          <w:p>
            <w:pPr>
              <w:ind w:left="240" w:hanging="180" w:hangingChars="100"/>
              <w:jc w:val="center"/>
              <w:rPr>
                <w:rFonts w:hint="default" w:asciiTheme="minorEastAsia" w:hAnsiTheme="minorEastAsia" w:eastAsiaTheme="minorEastAsia" w:cstheme="minorEastAsia"/>
                <w:i w:val="0"/>
                <w:iCs w:val="0"/>
                <w:snapToGrid w:val="0"/>
                <w:color w:val="auto"/>
                <w:kern w:val="0"/>
                <w:sz w:val="18"/>
                <w:szCs w:val="18"/>
                <w:u w:val="none"/>
                <w:lang w:val="en-US" w:eastAsia="zh-CN" w:bidi="ar"/>
              </w:rPr>
            </w:pPr>
          </w:p>
        </w:tc>
      </w:tr>
    </w:tbl>
    <w:p>
      <w:pPr>
        <w:pStyle w:val="2"/>
        <w:pageBreakBefore w:val="0"/>
        <w:kinsoku/>
        <w:wordWrap/>
        <w:overflowPunct/>
        <w:topLinePunct w:val="0"/>
        <w:bidi w:val="0"/>
        <w:spacing w:line="360" w:lineRule="auto"/>
        <w:jc w:val="left"/>
        <w:textAlignment w:val="auto"/>
        <w:rPr>
          <w:rFonts w:hint="eastAsia" w:ascii="宋体" w:hAnsi="宋体" w:eastAsia="宋体" w:cs="宋体"/>
          <w:b/>
          <w:bCs/>
          <w:color w:val="auto"/>
          <w:kern w:val="0"/>
          <w:sz w:val="28"/>
          <w:szCs w:val="28"/>
          <w:highlight w:val="none"/>
          <w:lang w:val="en-US" w:eastAsia="zh-CN" w:bidi="ar-SA"/>
        </w:rPr>
      </w:pPr>
    </w:p>
    <w:p>
      <w:pPr>
        <w:pStyle w:val="2"/>
        <w:pageBreakBefore w:val="0"/>
        <w:kinsoku/>
        <w:wordWrap/>
        <w:overflowPunct/>
        <w:topLinePunct w:val="0"/>
        <w:bidi w:val="0"/>
        <w:spacing w:line="360" w:lineRule="auto"/>
        <w:jc w:val="left"/>
        <w:textAlignment w:val="auto"/>
        <w:rPr>
          <w:rFonts w:hint="eastAsia" w:ascii="宋体" w:hAnsi="宋体" w:eastAsia="宋体" w:cs="宋体"/>
          <w:b/>
          <w:bCs/>
          <w:color w:val="auto"/>
          <w:kern w:val="0"/>
          <w:sz w:val="28"/>
          <w:szCs w:val="28"/>
          <w:highlight w:val="none"/>
          <w:lang w:val="en-US" w:eastAsia="zh-CN" w:bidi="ar-SA"/>
        </w:rPr>
      </w:pPr>
    </w:p>
    <w:p>
      <w:pPr>
        <w:pStyle w:val="2"/>
        <w:pageBreakBefore w:val="0"/>
        <w:kinsoku/>
        <w:wordWrap/>
        <w:overflowPunct/>
        <w:topLinePunct w:val="0"/>
        <w:bidi w:val="0"/>
        <w:spacing w:line="360" w:lineRule="auto"/>
        <w:jc w:val="left"/>
        <w:textAlignment w:val="auto"/>
        <w:rPr>
          <w:rFonts w:hint="eastAsia" w:ascii="宋体" w:hAnsi="宋体" w:eastAsia="宋体" w:cs="宋体"/>
          <w:b/>
          <w:bCs/>
          <w:color w:val="auto"/>
          <w:kern w:val="0"/>
          <w:sz w:val="28"/>
          <w:szCs w:val="28"/>
          <w:highlight w:val="none"/>
          <w:lang w:val="en-US" w:eastAsia="zh-CN" w:bidi="ar-SA"/>
        </w:rPr>
      </w:pPr>
    </w:p>
    <w:p>
      <w:pPr>
        <w:pStyle w:val="2"/>
        <w:pageBreakBefore w:val="0"/>
        <w:kinsoku/>
        <w:wordWrap/>
        <w:overflowPunct/>
        <w:topLinePunct w:val="0"/>
        <w:bidi w:val="0"/>
        <w:spacing w:line="360"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8"/>
          <w:szCs w:val="28"/>
          <w:highlight w:val="none"/>
          <w:lang w:val="en-US" w:eastAsia="zh-CN" w:bidi="ar-SA"/>
        </w:rPr>
        <w:t>1、门票预约系统云托管服务</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湖北省博物馆票务系统是具备大量网络并发和网络资源需求的应用服务，需要完善的基础支撑。本次云数据中心服务设计，旨在充分保证湖北省博物馆票务系统的稳定运行和安全访问，从而为观众提供便捷、泛在化的网络服务入口，使观众能够方便地进行博物馆在线预约、免费预约博物馆门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1.1云数据服务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根据本项目湖北省博物馆的建设需求，将利用云平台服务，为系统云数据中心提供可靠的云计算、云存储和运行环境资源支持。具体来讲，是将湖北省博物馆票务系统搭载云平台运行。由此，湖北省博物馆票务系统数据信息以及系统投入使用后产生大量的服务数据都将存储在云计算平台，有力推动博物馆预约服务信息和参观管理信息的公开、共享。</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通过云平台统一的支撑平台和接口系统，利用云平台完善的托管服务，实现与湖北省博物馆其他公共服务机构的资源互联互通；并借助云平台成熟的信息安全服务能力，确保系统数据信息安全，观众参观信息和博物馆内部信息不外泄。</w:t>
      </w:r>
    </w:p>
    <w:p>
      <w:pPr>
        <w:pStyle w:val="8"/>
        <w:keepNext/>
        <w:keepLines/>
        <w:pageBreakBefore w:val="0"/>
        <w:widowControl/>
        <w:numPr>
          <w:ilvl w:val="5"/>
          <w:numId w:val="0"/>
        </w:numPr>
        <w:tabs>
          <w:tab w:val="clear" w:pos="432"/>
        </w:tabs>
        <w:kinsoku/>
        <w:wordWrap/>
        <w:overflowPunct/>
        <w:topLinePunct w:val="0"/>
        <w:autoSpaceDE/>
        <w:autoSpaceDN/>
        <w:bidi w:val="0"/>
        <w:adjustRightInd/>
        <w:snapToGrid w:val="0"/>
        <w:spacing w:before="0" w:after="0" w:line="360" w:lineRule="auto"/>
        <w:ind w:left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1.2资源服务</w:t>
      </w:r>
    </w:p>
    <w:p>
      <w:pPr>
        <w:pStyle w:val="109"/>
        <w:pageBreakBefore w:val="0"/>
        <w:kinsoku/>
        <w:wordWrap/>
        <w:overflowPunct/>
        <w:topLinePunct w:val="0"/>
        <w:bidi w:val="0"/>
        <w:spacing w:before="0"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云主机是高性能高稳定的企业级云虚拟服务器，它由CPU、内存、镜像、网络、云硬盘组成，可随时获取、弹性可扩展，同时结合企业级专业防御系统，以及分布式存储的数据多副本保存等能力，打造高效、可靠、安全的计算环境，确保服务持久稳定运行。</w:t>
      </w:r>
    </w:p>
    <w:p>
      <w:pPr>
        <w:pStyle w:val="109"/>
        <w:pageBreakBefore w:val="0"/>
        <w:kinsoku/>
        <w:wordWrap/>
        <w:overflowPunct/>
        <w:topLinePunct w:val="0"/>
        <w:bidi w:val="0"/>
        <w:spacing w:before="0"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主要功能：</w:t>
      </w:r>
    </w:p>
    <w:p>
      <w:pPr>
        <w:pStyle w:val="109"/>
        <w:pageBreakBefore w:val="0"/>
        <w:numPr>
          <w:ilvl w:val="0"/>
          <w:numId w:val="3"/>
        </w:numPr>
        <w:kinsoku/>
        <w:wordWrap/>
        <w:overflowPunct/>
        <w:topLinePunct w:val="0"/>
        <w:bidi w:val="0"/>
        <w:spacing w:before="0" w:line="360" w:lineRule="auto"/>
        <w:ind w:left="840" w:hanging="42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专属镜像服务：专属技术专家协助制作私有镜像，保证轻松一键上云；</w:t>
      </w:r>
    </w:p>
    <w:p>
      <w:pPr>
        <w:pStyle w:val="109"/>
        <w:pageBreakBefore w:val="0"/>
        <w:numPr>
          <w:ilvl w:val="0"/>
          <w:numId w:val="3"/>
        </w:numPr>
        <w:kinsoku/>
        <w:wordWrap/>
        <w:overflowPunct/>
        <w:topLinePunct w:val="0"/>
        <w:bidi w:val="0"/>
        <w:spacing w:before="0" w:line="360" w:lineRule="auto"/>
        <w:ind w:left="840" w:hanging="42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备份与恢复：随时备份云主机与云硬盘，快速恢复业务；</w:t>
      </w:r>
    </w:p>
    <w:p>
      <w:pPr>
        <w:pStyle w:val="109"/>
        <w:pageBreakBefore w:val="0"/>
        <w:numPr>
          <w:ilvl w:val="0"/>
          <w:numId w:val="3"/>
        </w:numPr>
        <w:kinsoku/>
        <w:wordWrap/>
        <w:overflowPunct/>
        <w:topLinePunct w:val="0"/>
        <w:bidi w:val="0"/>
        <w:spacing w:before="0" w:line="360" w:lineRule="auto"/>
        <w:ind w:left="840" w:hanging="42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灵活调整配置：按需调整VPC、云主机、云硬盘；</w:t>
      </w:r>
    </w:p>
    <w:p>
      <w:pPr>
        <w:pStyle w:val="109"/>
        <w:pageBreakBefore w:val="0"/>
        <w:numPr>
          <w:ilvl w:val="0"/>
          <w:numId w:val="3"/>
        </w:numPr>
        <w:kinsoku/>
        <w:wordWrap/>
        <w:overflowPunct/>
        <w:topLinePunct w:val="0"/>
        <w:bidi w:val="0"/>
        <w:spacing w:before="0" w:line="360" w:lineRule="auto"/>
        <w:ind w:left="840" w:hanging="42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告警触发：支持用户自定义多种指标告警。</w:t>
      </w:r>
    </w:p>
    <w:p>
      <w:pPr>
        <w:pStyle w:val="109"/>
        <w:pageBreakBefore w:val="0"/>
        <w:kinsoku/>
        <w:wordWrap/>
        <w:overflowPunct/>
        <w:topLinePunct w:val="0"/>
        <w:bidi w:val="0"/>
        <w:spacing w:before="0"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云存储是一种基于分布式架构的，提供安全可靠，可弹性扩展，具备极高性能的虚拟块存储设备。使用方式与传统服务器一样。支持通过在线操作，将创建的云存储硬盘挂载到任意云主机。</w:t>
      </w:r>
    </w:p>
    <w:p>
      <w:pPr>
        <w:pStyle w:val="109"/>
        <w:pageBreakBefore w:val="0"/>
        <w:kinsoku/>
        <w:wordWrap/>
        <w:overflowPunct/>
        <w:topLinePunct w:val="0"/>
        <w:bidi w:val="0"/>
        <w:spacing w:before="0"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设计特点：</w:t>
      </w:r>
    </w:p>
    <w:p>
      <w:pPr>
        <w:pStyle w:val="109"/>
        <w:pageBreakBefore w:val="0"/>
        <w:numPr>
          <w:ilvl w:val="0"/>
          <w:numId w:val="4"/>
        </w:numPr>
        <w:kinsoku/>
        <w:wordWrap/>
        <w:overflowPunct/>
        <w:topLinePunct w:val="0"/>
        <w:bidi w:val="0"/>
        <w:spacing w:before="0" w:line="360" w:lineRule="auto"/>
        <w:ind w:left="840" w:hanging="42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灵活部署：随时随地创建、挂载、扩容，按需使用，使用方式灵活多变；</w:t>
      </w:r>
    </w:p>
    <w:p>
      <w:pPr>
        <w:pStyle w:val="109"/>
        <w:pageBreakBefore w:val="0"/>
        <w:numPr>
          <w:ilvl w:val="0"/>
          <w:numId w:val="4"/>
        </w:numPr>
        <w:kinsoku/>
        <w:wordWrap/>
        <w:overflowPunct/>
        <w:topLinePunct w:val="0"/>
        <w:bidi w:val="0"/>
        <w:spacing w:before="0" w:line="360" w:lineRule="auto"/>
        <w:ind w:left="840" w:hanging="42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安全稳定：分布式多副本，一份数据，多份副本，保证数据安全性。快照备份恢复支持随时随地恢复备份。</w:t>
      </w:r>
    </w:p>
    <w:p>
      <w:pPr>
        <w:pStyle w:val="109"/>
        <w:pageBreakBefore w:val="0"/>
        <w:kinsoku/>
        <w:wordWrap/>
        <w:overflowPunct/>
        <w:topLinePunct w:val="0"/>
        <w:bidi w:val="0"/>
        <w:spacing w:before="0"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主要功能：</w:t>
      </w:r>
    </w:p>
    <w:p>
      <w:pPr>
        <w:pStyle w:val="109"/>
        <w:pageBreakBefore w:val="0"/>
        <w:numPr>
          <w:ilvl w:val="0"/>
          <w:numId w:val="5"/>
        </w:numPr>
        <w:kinsoku/>
        <w:wordWrap/>
        <w:overflowPunct/>
        <w:topLinePunct w:val="0"/>
        <w:bidi w:val="0"/>
        <w:spacing w:before="0" w:line="360" w:lineRule="auto"/>
        <w:ind w:left="840" w:hanging="42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多副本保存：分布式存储技术，多副本保存和条带化技术，提供可靠的块存储保障云主机稳定运行，保证数据的永不丢失；</w:t>
      </w:r>
    </w:p>
    <w:p>
      <w:pPr>
        <w:pStyle w:val="109"/>
        <w:pageBreakBefore w:val="0"/>
        <w:numPr>
          <w:ilvl w:val="0"/>
          <w:numId w:val="5"/>
        </w:numPr>
        <w:kinsoku/>
        <w:wordWrap/>
        <w:overflowPunct/>
        <w:topLinePunct w:val="0"/>
        <w:bidi w:val="0"/>
        <w:spacing w:before="0" w:line="360" w:lineRule="auto"/>
        <w:ind w:left="840" w:hanging="42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快照技术：支持快照备份与恢复，支持设置多还原点，用户可以按需随时恢复；</w:t>
      </w:r>
    </w:p>
    <w:p>
      <w:pPr>
        <w:pStyle w:val="109"/>
        <w:pageBreakBefore w:val="0"/>
        <w:numPr>
          <w:ilvl w:val="0"/>
          <w:numId w:val="5"/>
        </w:numPr>
        <w:kinsoku/>
        <w:wordWrap/>
        <w:overflowPunct/>
        <w:topLinePunct w:val="0"/>
        <w:bidi w:val="0"/>
        <w:spacing w:before="0" w:line="360" w:lineRule="auto"/>
        <w:ind w:left="840" w:hanging="42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弹性扩展：一台云主机支持挂载多块云存储硬盘，满足业务增长带来的扩容需求；</w:t>
      </w:r>
    </w:p>
    <w:p>
      <w:pPr>
        <w:pStyle w:val="109"/>
        <w:pageBreakBefore w:val="0"/>
        <w:numPr>
          <w:ilvl w:val="0"/>
          <w:numId w:val="5"/>
        </w:numPr>
        <w:kinsoku/>
        <w:wordWrap/>
        <w:overflowPunct/>
        <w:topLinePunct w:val="0"/>
        <w:bidi w:val="0"/>
        <w:spacing w:before="0" w:line="360" w:lineRule="auto"/>
        <w:ind w:left="840" w:hanging="42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独立存储：与弹性云服务器系统盘分离，免受系统盘影响，独立云存储硬盘可挂载至任意云主机。</w:t>
      </w:r>
    </w:p>
    <w:p>
      <w:pPr>
        <w:pStyle w:val="8"/>
        <w:keepNext/>
        <w:keepLines/>
        <w:pageBreakBefore w:val="0"/>
        <w:widowControl/>
        <w:numPr>
          <w:ilvl w:val="5"/>
          <w:numId w:val="0"/>
        </w:numPr>
        <w:tabs>
          <w:tab w:val="clear" w:pos="432"/>
        </w:tabs>
        <w:kinsoku/>
        <w:wordWrap/>
        <w:overflowPunct/>
        <w:topLinePunct w:val="0"/>
        <w:autoSpaceDE/>
        <w:autoSpaceDN/>
        <w:bidi w:val="0"/>
        <w:adjustRightInd/>
        <w:snapToGrid w:val="0"/>
        <w:spacing w:before="0" w:after="0" w:line="360" w:lineRule="auto"/>
        <w:ind w:left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1.3托管服务</w:t>
      </w:r>
    </w:p>
    <w:tbl>
      <w:tblPr>
        <w:tblStyle w:val="28"/>
        <w:tblW w:w="0" w:type="auto"/>
        <w:jc w:val="center"/>
        <w:tblLayout w:type="fixed"/>
        <w:tblCellMar>
          <w:top w:w="0" w:type="dxa"/>
          <w:left w:w="108" w:type="dxa"/>
          <w:bottom w:w="0" w:type="dxa"/>
          <w:right w:w="108" w:type="dxa"/>
        </w:tblCellMar>
      </w:tblPr>
      <w:tblGrid>
        <w:gridCol w:w="2183"/>
        <w:gridCol w:w="5987"/>
      </w:tblGrid>
      <w:tr>
        <w:tblPrEx>
          <w:tblCellMar>
            <w:top w:w="0" w:type="dxa"/>
            <w:left w:w="108" w:type="dxa"/>
            <w:bottom w:w="0" w:type="dxa"/>
            <w:right w:w="108" w:type="dxa"/>
          </w:tblCellMar>
        </w:tblPrEx>
        <w:trPr>
          <w:trHeight w:val="567" w:hRule="atLeast"/>
          <w:jc w:val="center"/>
        </w:trPr>
        <w:tc>
          <w:tcPr>
            <w:tcW w:w="2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服务项</w:t>
            </w:r>
          </w:p>
        </w:tc>
        <w:tc>
          <w:tcPr>
            <w:tcW w:w="5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说明</w:t>
            </w:r>
          </w:p>
        </w:tc>
      </w:tr>
      <w:tr>
        <w:tblPrEx>
          <w:tblCellMar>
            <w:top w:w="0" w:type="dxa"/>
            <w:left w:w="108" w:type="dxa"/>
            <w:bottom w:w="0" w:type="dxa"/>
            <w:right w:w="108" w:type="dxa"/>
          </w:tblCellMar>
        </w:tblPrEx>
        <w:trPr>
          <w:trHeight w:val="567" w:hRule="atLeast"/>
          <w:jc w:val="center"/>
        </w:trPr>
        <w:tc>
          <w:tcPr>
            <w:tcW w:w="2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虚拟化部署服务</w:t>
            </w:r>
          </w:p>
        </w:tc>
        <w:tc>
          <w:tcPr>
            <w:tcW w:w="5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部署新增应用系统到云平台</w:t>
            </w:r>
          </w:p>
        </w:tc>
      </w:tr>
      <w:tr>
        <w:tblPrEx>
          <w:tblCellMar>
            <w:top w:w="0" w:type="dxa"/>
            <w:left w:w="108" w:type="dxa"/>
            <w:bottom w:w="0" w:type="dxa"/>
            <w:right w:w="108" w:type="dxa"/>
          </w:tblCellMar>
        </w:tblPrEx>
        <w:trPr>
          <w:trHeight w:val="567" w:hRule="atLeast"/>
          <w:jc w:val="center"/>
        </w:trPr>
        <w:tc>
          <w:tcPr>
            <w:tcW w:w="2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运维监控服务</w:t>
            </w:r>
          </w:p>
        </w:tc>
        <w:tc>
          <w:tcPr>
            <w:tcW w:w="5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结合</w:t>
            </w:r>
            <w:r>
              <w:rPr>
                <w:rFonts w:hint="eastAsia" w:ascii="宋体" w:hAnsi="宋体" w:eastAsia="宋体" w:cs="宋体"/>
                <w:color w:val="auto"/>
                <w:kern w:val="0"/>
                <w:sz w:val="24"/>
                <w:szCs w:val="24"/>
                <w:highlight w:val="none"/>
                <w:lang w:val="en-US" w:eastAsia="zh-CN"/>
              </w:rPr>
              <w:t>博物馆</w:t>
            </w:r>
            <w:r>
              <w:rPr>
                <w:rFonts w:hint="eastAsia" w:ascii="宋体" w:hAnsi="宋体" w:eastAsia="宋体" w:cs="宋体"/>
                <w:color w:val="auto"/>
                <w:kern w:val="0"/>
                <w:sz w:val="24"/>
                <w:szCs w:val="24"/>
                <w:highlight w:val="none"/>
              </w:rPr>
              <w:t>实际的业务发展规划与IT系统结构现状，帮助</w:t>
            </w:r>
            <w:r>
              <w:rPr>
                <w:rFonts w:hint="eastAsia" w:ascii="宋体" w:hAnsi="宋体" w:eastAsia="宋体" w:cs="宋体"/>
                <w:color w:val="auto"/>
                <w:kern w:val="0"/>
                <w:sz w:val="24"/>
                <w:szCs w:val="24"/>
                <w:highlight w:val="none"/>
                <w:lang w:val="en-US" w:eastAsia="zh-CN"/>
              </w:rPr>
              <w:t>博物馆</w:t>
            </w:r>
            <w:r>
              <w:rPr>
                <w:rFonts w:hint="eastAsia" w:ascii="宋体" w:hAnsi="宋体" w:eastAsia="宋体" w:cs="宋体"/>
                <w:color w:val="auto"/>
                <w:kern w:val="0"/>
                <w:sz w:val="24"/>
                <w:szCs w:val="24"/>
                <w:highlight w:val="none"/>
              </w:rPr>
              <w:t>搭建以服务为导向的IT服务管理体系</w:t>
            </w:r>
          </w:p>
        </w:tc>
      </w:tr>
      <w:tr>
        <w:tblPrEx>
          <w:tblCellMar>
            <w:top w:w="0" w:type="dxa"/>
            <w:left w:w="108" w:type="dxa"/>
            <w:bottom w:w="0" w:type="dxa"/>
            <w:right w:w="108" w:type="dxa"/>
          </w:tblCellMar>
        </w:tblPrEx>
        <w:trPr>
          <w:trHeight w:val="567" w:hRule="atLeast"/>
          <w:jc w:val="center"/>
        </w:trPr>
        <w:tc>
          <w:tcPr>
            <w:tcW w:w="2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优化服务</w:t>
            </w:r>
          </w:p>
        </w:tc>
        <w:tc>
          <w:tcPr>
            <w:tcW w:w="5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为客户提供评估、规划和诊断服务，帮助客户提高系统运行效率</w:t>
            </w:r>
          </w:p>
        </w:tc>
      </w:tr>
      <w:tr>
        <w:tblPrEx>
          <w:tblCellMar>
            <w:top w:w="0" w:type="dxa"/>
            <w:left w:w="108" w:type="dxa"/>
            <w:bottom w:w="0" w:type="dxa"/>
            <w:right w:w="108" w:type="dxa"/>
          </w:tblCellMar>
        </w:tblPrEx>
        <w:trPr>
          <w:trHeight w:val="567" w:hRule="atLeast"/>
          <w:jc w:val="center"/>
        </w:trPr>
        <w:tc>
          <w:tcPr>
            <w:tcW w:w="2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项目管理服务</w:t>
            </w:r>
          </w:p>
        </w:tc>
        <w:tc>
          <w:tcPr>
            <w:tcW w:w="5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参与制订详细的服务工作进度计划；</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基于实施计划的服务过程管理文档撰写</w:t>
            </w:r>
          </w:p>
        </w:tc>
      </w:tr>
      <w:tr>
        <w:tblPrEx>
          <w:tblCellMar>
            <w:top w:w="0" w:type="dxa"/>
            <w:left w:w="108" w:type="dxa"/>
            <w:bottom w:w="0" w:type="dxa"/>
            <w:right w:w="108" w:type="dxa"/>
          </w:tblCellMar>
        </w:tblPrEx>
        <w:trPr>
          <w:trHeight w:val="567" w:hRule="atLeast"/>
          <w:jc w:val="center"/>
        </w:trPr>
        <w:tc>
          <w:tcPr>
            <w:tcW w:w="2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访问控制服务</w:t>
            </w:r>
          </w:p>
        </w:tc>
        <w:tc>
          <w:tcPr>
            <w:tcW w:w="5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支持根据ip和时间对用户进行访问控制</w:t>
            </w:r>
          </w:p>
        </w:tc>
      </w:tr>
      <w:tr>
        <w:tblPrEx>
          <w:tblCellMar>
            <w:top w:w="0" w:type="dxa"/>
            <w:left w:w="108" w:type="dxa"/>
            <w:bottom w:w="0" w:type="dxa"/>
            <w:right w:w="108" w:type="dxa"/>
          </w:tblCellMar>
        </w:tblPrEx>
        <w:trPr>
          <w:trHeight w:val="567" w:hRule="atLeast"/>
          <w:jc w:val="center"/>
        </w:trPr>
        <w:tc>
          <w:tcPr>
            <w:tcW w:w="2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网络架构支持服务</w:t>
            </w:r>
          </w:p>
        </w:tc>
        <w:tc>
          <w:tcPr>
            <w:tcW w:w="5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支持多种虚拟网络拓扑架构，包括vlan、vxlan、GRE等</w:t>
            </w:r>
          </w:p>
        </w:tc>
      </w:tr>
      <w:tr>
        <w:tblPrEx>
          <w:tblCellMar>
            <w:top w:w="0" w:type="dxa"/>
            <w:left w:w="108" w:type="dxa"/>
            <w:bottom w:w="0" w:type="dxa"/>
            <w:right w:w="108" w:type="dxa"/>
          </w:tblCellMar>
        </w:tblPrEx>
        <w:trPr>
          <w:trHeight w:val="567" w:hRule="atLeast"/>
          <w:jc w:val="center"/>
        </w:trPr>
        <w:tc>
          <w:tcPr>
            <w:tcW w:w="2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分布式路由器服务</w:t>
            </w:r>
          </w:p>
        </w:tc>
        <w:tc>
          <w:tcPr>
            <w:tcW w:w="5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支持分布式路由器，解决集中式路由器的性能瓶颈问题</w:t>
            </w:r>
          </w:p>
        </w:tc>
      </w:tr>
      <w:tr>
        <w:tblPrEx>
          <w:tblCellMar>
            <w:top w:w="0" w:type="dxa"/>
            <w:left w:w="108" w:type="dxa"/>
            <w:bottom w:w="0" w:type="dxa"/>
            <w:right w:w="108" w:type="dxa"/>
          </w:tblCellMar>
        </w:tblPrEx>
        <w:trPr>
          <w:trHeight w:val="567" w:hRule="atLeast"/>
          <w:jc w:val="center"/>
        </w:trPr>
        <w:tc>
          <w:tcPr>
            <w:tcW w:w="2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冷迁移服务</w:t>
            </w:r>
          </w:p>
        </w:tc>
        <w:tc>
          <w:tcPr>
            <w:tcW w:w="5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支持平台中的虚拟机关机后迁移</w:t>
            </w:r>
          </w:p>
        </w:tc>
      </w:tr>
      <w:tr>
        <w:tblPrEx>
          <w:tblCellMar>
            <w:top w:w="0" w:type="dxa"/>
            <w:left w:w="108" w:type="dxa"/>
            <w:bottom w:w="0" w:type="dxa"/>
            <w:right w:w="108" w:type="dxa"/>
          </w:tblCellMar>
        </w:tblPrEx>
        <w:trPr>
          <w:trHeight w:val="567" w:hRule="atLeast"/>
          <w:jc w:val="center"/>
        </w:trPr>
        <w:tc>
          <w:tcPr>
            <w:tcW w:w="2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热迁移服务</w:t>
            </w:r>
          </w:p>
        </w:tc>
        <w:tc>
          <w:tcPr>
            <w:tcW w:w="5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支持平台中的虚拟机运行时迁移</w:t>
            </w:r>
          </w:p>
        </w:tc>
      </w:tr>
      <w:tr>
        <w:tblPrEx>
          <w:tblCellMar>
            <w:top w:w="0" w:type="dxa"/>
            <w:left w:w="108" w:type="dxa"/>
            <w:bottom w:w="0" w:type="dxa"/>
            <w:right w:w="108" w:type="dxa"/>
          </w:tblCellMar>
        </w:tblPrEx>
        <w:trPr>
          <w:trHeight w:val="567" w:hRule="atLeast"/>
          <w:jc w:val="center"/>
        </w:trPr>
        <w:tc>
          <w:tcPr>
            <w:tcW w:w="2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策略动态迁移服务</w:t>
            </w:r>
          </w:p>
        </w:tc>
        <w:tc>
          <w:tcPr>
            <w:tcW w:w="5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支持虚拟机在动态迁移过程中的访问控制策略实时生效</w:t>
            </w:r>
          </w:p>
        </w:tc>
      </w:tr>
      <w:tr>
        <w:tblPrEx>
          <w:tblCellMar>
            <w:top w:w="0" w:type="dxa"/>
            <w:left w:w="108" w:type="dxa"/>
            <w:bottom w:w="0" w:type="dxa"/>
            <w:right w:w="108" w:type="dxa"/>
          </w:tblCellMar>
        </w:tblPrEx>
        <w:trPr>
          <w:trHeight w:val="567" w:hRule="atLeast"/>
          <w:jc w:val="center"/>
        </w:trPr>
        <w:tc>
          <w:tcPr>
            <w:tcW w:w="2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分布式存储服务</w:t>
            </w:r>
          </w:p>
        </w:tc>
        <w:tc>
          <w:tcPr>
            <w:tcW w:w="5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支持分布式存储，如ceph等，提高存储资源利用率，提供自动冗余备份</w:t>
            </w:r>
          </w:p>
        </w:tc>
      </w:tr>
      <w:tr>
        <w:tblPrEx>
          <w:tblCellMar>
            <w:top w:w="0" w:type="dxa"/>
            <w:left w:w="108" w:type="dxa"/>
            <w:bottom w:w="0" w:type="dxa"/>
            <w:right w:w="108" w:type="dxa"/>
          </w:tblCellMar>
        </w:tblPrEx>
        <w:trPr>
          <w:trHeight w:val="567" w:hRule="atLeast"/>
          <w:jc w:val="center"/>
        </w:trPr>
        <w:tc>
          <w:tcPr>
            <w:tcW w:w="2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物理资源监控服务</w:t>
            </w:r>
          </w:p>
        </w:tc>
        <w:tc>
          <w:tcPr>
            <w:tcW w:w="5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支持对监控云内物理服务器的CPU、内存的使用率，支持监控物理磁盘的使用率、IO读写字节数和IO读写率</w:t>
            </w:r>
          </w:p>
        </w:tc>
      </w:tr>
      <w:tr>
        <w:tblPrEx>
          <w:tblCellMar>
            <w:top w:w="0" w:type="dxa"/>
            <w:left w:w="108" w:type="dxa"/>
            <w:bottom w:w="0" w:type="dxa"/>
            <w:right w:w="108" w:type="dxa"/>
          </w:tblCellMar>
        </w:tblPrEx>
        <w:trPr>
          <w:trHeight w:val="567" w:hRule="atLeast"/>
          <w:jc w:val="center"/>
        </w:trPr>
        <w:tc>
          <w:tcPr>
            <w:tcW w:w="2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虚拟资源监控服务</w:t>
            </w:r>
          </w:p>
        </w:tc>
        <w:tc>
          <w:tcPr>
            <w:tcW w:w="5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支持对云内虚拟资源，包括虚拟机、虚拟网络、虚拟磁盘、虚拟磁盘、网络流量、租户级别的虚拟网络流量、虚拟机级别的虚拟网络流量进行监控</w:t>
            </w:r>
          </w:p>
        </w:tc>
      </w:tr>
      <w:tr>
        <w:tblPrEx>
          <w:tblCellMar>
            <w:top w:w="0" w:type="dxa"/>
            <w:left w:w="108" w:type="dxa"/>
            <w:bottom w:w="0" w:type="dxa"/>
            <w:right w:w="108" w:type="dxa"/>
          </w:tblCellMar>
        </w:tblPrEx>
        <w:trPr>
          <w:trHeight w:val="567" w:hRule="atLeast"/>
          <w:jc w:val="center"/>
        </w:trPr>
        <w:tc>
          <w:tcPr>
            <w:tcW w:w="2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自动告警服务</w:t>
            </w:r>
          </w:p>
        </w:tc>
        <w:tc>
          <w:tcPr>
            <w:tcW w:w="5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支持为CPU、内存、磁盘、网络流量等资源设定阈值，在资源消耗超过阈值时进行自动告警</w:t>
            </w:r>
          </w:p>
        </w:tc>
      </w:tr>
    </w:tbl>
    <w:p>
      <w:pPr>
        <w:pStyle w:val="8"/>
        <w:keepNext/>
        <w:keepLines/>
        <w:pageBreakBefore w:val="0"/>
        <w:widowControl/>
        <w:numPr>
          <w:ilvl w:val="5"/>
          <w:numId w:val="0"/>
        </w:numPr>
        <w:tabs>
          <w:tab w:val="clear" w:pos="432"/>
        </w:tabs>
        <w:kinsoku/>
        <w:wordWrap/>
        <w:overflowPunct/>
        <w:topLinePunct w:val="0"/>
        <w:autoSpaceDE/>
        <w:autoSpaceDN/>
        <w:bidi w:val="0"/>
        <w:adjustRightInd/>
        <w:snapToGrid w:val="0"/>
        <w:spacing w:before="0" w:after="0" w:line="360" w:lineRule="auto"/>
        <w:ind w:leftChars="0"/>
        <w:jc w:val="left"/>
        <w:textAlignment w:val="auto"/>
        <w:rPr>
          <w:rFonts w:hint="eastAsia" w:ascii="宋体" w:hAnsi="宋体" w:eastAsia="宋体" w:cs="宋体"/>
          <w:color w:val="auto"/>
          <w:kern w:val="0"/>
          <w:sz w:val="24"/>
          <w:szCs w:val="24"/>
          <w:highlight w:val="none"/>
          <w:lang w:val="en-US" w:eastAsia="zh-CN" w:bidi="ar-SA"/>
        </w:rPr>
      </w:pPr>
    </w:p>
    <w:p>
      <w:pPr>
        <w:pStyle w:val="8"/>
        <w:keepNext/>
        <w:keepLines/>
        <w:pageBreakBefore w:val="0"/>
        <w:widowControl/>
        <w:numPr>
          <w:ilvl w:val="5"/>
          <w:numId w:val="0"/>
        </w:numPr>
        <w:tabs>
          <w:tab w:val="clear" w:pos="432"/>
        </w:tabs>
        <w:kinsoku/>
        <w:wordWrap/>
        <w:overflowPunct/>
        <w:topLinePunct w:val="0"/>
        <w:autoSpaceDE/>
        <w:autoSpaceDN/>
        <w:bidi w:val="0"/>
        <w:adjustRightInd/>
        <w:snapToGrid w:val="0"/>
        <w:spacing w:before="0" w:after="0" w:line="360" w:lineRule="auto"/>
        <w:ind w:leftChars="0"/>
        <w:jc w:val="left"/>
        <w:textAlignment w:val="auto"/>
        <w:rPr>
          <w:rFonts w:hint="eastAsia" w:ascii="宋体" w:hAnsi="宋体" w:eastAsia="宋体" w:cs="宋体"/>
          <w:color w:val="auto"/>
          <w:kern w:val="0"/>
          <w:sz w:val="24"/>
          <w:szCs w:val="24"/>
          <w:highlight w:val="none"/>
          <w:lang w:val="en-US" w:eastAsia="zh-CN" w:bidi="ar-SA"/>
        </w:rPr>
      </w:pPr>
    </w:p>
    <w:p>
      <w:pPr>
        <w:pStyle w:val="8"/>
        <w:keepNext/>
        <w:keepLines/>
        <w:pageBreakBefore w:val="0"/>
        <w:widowControl/>
        <w:numPr>
          <w:ilvl w:val="5"/>
          <w:numId w:val="0"/>
        </w:numPr>
        <w:tabs>
          <w:tab w:val="clear" w:pos="432"/>
        </w:tabs>
        <w:kinsoku/>
        <w:wordWrap/>
        <w:overflowPunct/>
        <w:topLinePunct w:val="0"/>
        <w:autoSpaceDE/>
        <w:autoSpaceDN/>
        <w:bidi w:val="0"/>
        <w:adjustRightInd/>
        <w:snapToGrid w:val="0"/>
        <w:spacing w:before="0" w:after="0" w:line="360" w:lineRule="auto"/>
        <w:ind w:left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1.4配置需求</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配置需求见上表《采购货物具体技术参数及要求》。</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宋体" w:hAnsi="宋体" w:eastAsia="宋体" w:cs="宋体"/>
          <w:snapToGrid w:val="0"/>
          <w:color w:val="auto"/>
          <w:kern w:val="0"/>
          <w:sz w:val="24"/>
          <w:szCs w:val="24"/>
          <w:highlight w:val="none"/>
          <w:lang w:val="en-US" w:eastAsia="zh-CN" w:bidi="ar-SA"/>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宋体" w:hAnsi="宋体" w:eastAsia="宋体" w:cs="宋体"/>
          <w:b/>
          <w:snapToGrid w:val="0"/>
          <w:color w:val="auto"/>
          <w:kern w:val="21"/>
          <w:sz w:val="24"/>
          <w:szCs w:val="21"/>
          <w:highlight w:val="none"/>
          <w:lang w:val="en-US" w:eastAsia="zh-CN" w:bidi="ar-SA"/>
        </w:rPr>
      </w:pPr>
      <w:r>
        <w:rPr>
          <w:rFonts w:hint="eastAsia" w:ascii="宋体" w:hAnsi="宋体" w:eastAsia="宋体" w:cs="宋体"/>
          <w:b/>
          <w:snapToGrid w:val="0"/>
          <w:color w:val="auto"/>
          <w:kern w:val="21"/>
          <w:sz w:val="28"/>
          <w:szCs w:val="28"/>
          <w:highlight w:val="none"/>
          <w:lang w:val="en-US" w:eastAsia="zh-CN" w:bidi="ar-SA"/>
        </w:rPr>
        <w:t>2、新馆展厅VR全景展示导览系统云托管服务</w:t>
      </w:r>
    </w:p>
    <w:p>
      <w:pPr>
        <w:pStyle w:val="2"/>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snapToGrid w:val="0"/>
          <w:color w:val="auto"/>
          <w:kern w:val="21"/>
          <w:sz w:val="24"/>
          <w:szCs w:val="21"/>
          <w:highlight w:val="none"/>
          <w:lang w:val="en-US" w:eastAsia="zh-CN" w:bidi="ar-SA"/>
        </w:rPr>
      </w:pPr>
      <w:r>
        <w:rPr>
          <w:rFonts w:hint="eastAsia" w:ascii="宋体" w:hAnsi="宋体" w:eastAsia="宋体" w:cs="宋体"/>
          <w:b w:val="0"/>
          <w:bCs/>
          <w:snapToGrid w:val="0"/>
          <w:color w:val="auto"/>
          <w:kern w:val="21"/>
          <w:sz w:val="24"/>
          <w:szCs w:val="21"/>
          <w:highlight w:val="none"/>
          <w:lang w:val="en-US" w:eastAsia="zh-CN" w:bidi="ar-SA"/>
        </w:rPr>
        <w:t>主要导览内容包括但不限于：新馆展厅（含曾侯乙展厅、曾世家、楚国八百年、梁庄王展厅、越王勾践展厅）720°全景虚拟线上拍摄制作，部分展品实景三维制作，实现展览在PC、移动平台（手机、平板、iPad等）上可根据用户意愿自主参观。暂需配置需求见上表</w:t>
      </w:r>
      <w:r>
        <w:rPr>
          <w:rFonts w:hint="eastAsia" w:hAnsi="宋体" w:cs="宋体"/>
          <w:b w:val="0"/>
          <w:bCs/>
          <w:snapToGrid w:val="0"/>
          <w:color w:val="auto"/>
          <w:kern w:val="21"/>
          <w:sz w:val="24"/>
          <w:szCs w:val="21"/>
          <w:highlight w:val="none"/>
          <w:lang w:val="en-US" w:eastAsia="zh-CN" w:bidi="ar-SA"/>
        </w:rPr>
        <w:t>《</w:t>
      </w:r>
      <w:r>
        <w:rPr>
          <w:rFonts w:hint="eastAsia" w:ascii="宋体" w:hAnsi="宋体" w:eastAsia="宋体" w:cs="宋体"/>
          <w:b w:val="0"/>
          <w:bCs/>
          <w:snapToGrid w:val="0"/>
          <w:color w:val="auto"/>
          <w:kern w:val="21"/>
          <w:sz w:val="24"/>
          <w:szCs w:val="21"/>
          <w:highlight w:val="none"/>
          <w:lang w:val="en-US" w:eastAsia="zh-CN" w:bidi="ar-SA"/>
        </w:rPr>
        <w:t>采购货物具体技术参数及要求</w:t>
      </w:r>
      <w:r>
        <w:rPr>
          <w:rFonts w:hint="eastAsia" w:hAnsi="宋体" w:cs="宋体"/>
          <w:b w:val="0"/>
          <w:bCs/>
          <w:snapToGrid w:val="0"/>
          <w:color w:val="auto"/>
          <w:kern w:val="21"/>
          <w:sz w:val="24"/>
          <w:szCs w:val="21"/>
          <w:highlight w:val="none"/>
          <w:lang w:val="en-US" w:eastAsia="zh-CN" w:bidi="ar-SA"/>
        </w:rPr>
        <w:t>》</w:t>
      </w:r>
      <w:r>
        <w:rPr>
          <w:rFonts w:hint="eastAsia" w:ascii="宋体" w:hAnsi="宋体" w:eastAsia="宋体" w:cs="宋体"/>
          <w:b w:val="0"/>
          <w:bCs/>
          <w:snapToGrid w:val="0"/>
          <w:color w:val="auto"/>
          <w:kern w:val="21"/>
          <w:sz w:val="24"/>
          <w:szCs w:val="21"/>
          <w:highlight w:val="none"/>
          <w:lang w:val="en-US" w:eastAsia="zh-CN" w:bidi="ar-SA"/>
        </w:rPr>
        <w:t>，后期加模型、视频还要扩展一定空间。</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
          <w:snapToGrid w:val="0"/>
          <w:color w:val="auto"/>
          <w:kern w:val="21"/>
          <w:sz w:val="24"/>
          <w:szCs w:val="21"/>
          <w:highlight w:val="none"/>
          <w:lang w:val="en-US" w:eastAsia="zh-CN" w:bidi="ar-SA"/>
        </w:rPr>
      </w:pPr>
      <w:r>
        <w:rPr>
          <w:rFonts w:hint="eastAsia" w:ascii="宋体" w:hAnsi="宋体" w:eastAsia="宋体" w:cs="宋体"/>
          <w:b/>
          <w:snapToGrid w:val="0"/>
          <w:color w:val="auto"/>
          <w:kern w:val="21"/>
          <w:sz w:val="28"/>
          <w:szCs w:val="28"/>
          <w:highlight w:val="none"/>
          <w:lang w:val="en-US" w:eastAsia="zh-CN" w:bidi="ar-SA"/>
        </w:rPr>
        <w:t>3、陂安南革命旧址语音导览系统云托管服务</w:t>
      </w:r>
    </w:p>
    <w:p>
      <w:pPr>
        <w:pStyle w:val="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val="0"/>
          <w:bCs/>
          <w:snapToGrid w:val="0"/>
          <w:color w:val="auto"/>
          <w:kern w:val="21"/>
          <w:sz w:val="24"/>
          <w:szCs w:val="21"/>
          <w:highlight w:val="none"/>
          <w:lang w:val="en-US" w:eastAsia="zh-CN" w:bidi="ar-SA"/>
        </w:rPr>
      </w:pPr>
      <w:r>
        <w:rPr>
          <w:rFonts w:hint="eastAsia" w:ascii="宋体" w:hAnsi="宋体" w:eastAsia="宋体" w:cs="宋体"/>
          <w:b w:val="0"/>
          <w:bCs/>
          <w:snapToGrid w:val="0"/>
          <w:color w:val="auto"/>
          <w:kern w:val="21"/>
          <w:sz w:val="24"/>
          <w:szCs w:val="21"/>
          <w:highlight w:val="none"/>
          <w:lang w:val="en-US" w:eastAsia="zh-CN" w:bidi="ar-SA"/>
        </w:rPr>
        <w:t>主要导览内容包括但不限于：</w:t>
      </w:r>
    </w:p>
    <w:p>
      <w:pPr>
        <w:pStyle w:val="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val="0"/>
          <w:bCs/>
          <w:snapToGrid w:val="0"/>
          <w:color w:val="auto"/>
          <w:kern w:val="21"/>
          <w:sz w:val="24"/>
          <w:szCs w:val="21"/>
          <w:highlight w:val="none"/>
          <w:lang w:val="en-US" w:eastAsia="zh-CN" w:bidi="ar-SA"/>
        </w:rPr>
      </w:pPr>
      <w:r>
        <w:rPr>
          <w:rFonts w:hint="eastAsia" w:ascii="宋体" w:hAnsi="宋体" w:eastAsia="宋体" w:cs="宋体"/>
          <w:b w:val="0"/>
          <w:bCs/>
          <w:snapToGrid w:val="0"/>
          <w:color w:val="auto"/>
          <w:kern w:val="21"/>
          <w:sz w:val="24"/>
          <w:szCs w:val="21"/>
          <w:highlight w:val="none"/>
          <w:lang w:val="en-US" w:eastAsia="zh-CN" w:bidi="ar-SA"/>
        </w:rPr>
        <w:t>1.陂安南革命史展览及旧址复原陈列的语音讲解。</w:t>
      </w:r>
    </w:p>
    <w:p>
      <w:pPr>
        <w:pStyle w:val="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val="0"/>
          <w:bCs/>
          <w:snapToGrid w:val="0"/>
          <w:color w:val="auto"/>
          <w:kern w:val="21"/>
          <w:sz w:val="24"/>
          <w:szCs w:val="21"/>
          <w:highlight w:val="none"/>
          <w:lang w:val="en-US" w:eastAsia="zh-CN" w:bidi="ar-SA"/>
        </w:rPr>
      </w:pPr>
      <w:r>
        <w:rPr>
          <w:rFonts w:hint="eastAsia" w:ascii="宋体" w:hAnsi="宋体" w:eastAsia="宋体" w:cs="宋体"/>
          <w:b w:val="0"/>
          <w:bCs/>
          <w:snapToGrid w:val="0"/>
          <w:color w:val="auto"/>
          <w:kern w:val="21"/>
          <w:sz w:val="24"/>
          <w:szCs w:val="21"/>
          <w:highlight w:val="none"/>
          <w:lang w:val="en-US" w:eastAsia="zh-CN" w:bidi="ar-SA"/>
        </w:rPr>
        <w:t>2.陂安南革命史展览辅助阅读材料，如烈士名录等展板未能全面展示的内容。</w:t>
      </w:r>
    </w:p>
    <w:p>
      <w:pPr>
        <w:pStyle w:val="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val="0"/>
          <w:bCs/>
          <w:snapToGrid w:val="0"/>
          <w:color w:val="auto"/>
          <w:kern w:val="21"/>
          <w:sz w:val="24"/>
          <w:szCs w:val="21"/>
          <w:highlight w:val="none"/>
          <w:lang w:val="en-US" w:eastAsia="zh-CN" w:bidi="ar-SA"/>
        </w:rPr>
      </w:pPr>
      <w:r>
        <w:rPr>
          <w:rFonts w:hint="eastAsia" w:ascii="宋体" w:hAnsi="宋体" w:eastAsia="宋体" w:cs="宋体"/>
          <w:b w:val="0"/>
          <w:bCs/>
          <w:snapToGrid w:val="0"/>
          <w:color w:val="auto"/>
          <w:kern w:val="21"/>
          <w:sz w:val="24"/>
          <w:szCs w:val="21"/>
          <w:highlight w:val="none"/>
          <w:lang w:val="en-US" w:eastAsia="zh-CN" w:bidi="ar-SA"/>
        </w:rPr>
        <w:t>3.扩红广场AR动画展示。</w:t>
      </w:r>
    </w:p>
    <w:p>
      <w:pPr>
        <w:pStyle w:val="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val="0"/>
          <w:bCs/>
          <w:snapToGrid w:val="0"/>
          <w:color w:val="auto"/>
          <w:kern w:val="21"/>
          <w:sz w:val="24"/>
          <w:szCs w:val="21"/>
          <w:highlight w:val="none"/>
          <w:lang w:val="en-US" w:eastAsia="zh-CN" w:bidi="ar-SA"/>
        </w:rPr>
      </w:pPr>
      <w:r>
        <w:rPr>
          <w:rFonts w:hint="eastAsia" w:ascii="宋体" w:hAnsi="宋体" w:eastAsia="宋体" w:cs="宋体"/>
          <w:b w:val="0"/>
          <w:bCs/>
          <w:snapToGrid w:val="0"/>
          <w:color w:val="auto"/>
          <w:kern w:val="21"/>
          <w:sz w:val="24"/>
          <w:szCs w:val="21"/>
          <w:highlight w:val="none"/>
          <w:lang w:val="en-US" w:eastAsia="zh-CN" w:bidi="ar-SA"/>
        </w:rPr>
        <w:t>配置需求见上表</w:t>
      </w:r>
      <w:r>
        <w:rPr>
          <w:rFonts w:hint="eastAsia" w:hAnsi="宋体" w:cs="宋体"/>
          <w:b w:val="0"/>
          <w:bCs/>
          <w:snapToGrid w:val="0"/>
          <w:color w:val="auto"/>
          <w:kern w:val="21"/>
          <w:sz w:val="24"/>
          <w:szCs w:val="21"/>
          <w:highlight w:val="none"/>
          <w:lang w:val="en-US" w:eastAsia="zh-CN" w:bidi="ar-SA"/>
        </w:rPr>
        <w:t>《</w:t>
      </w:r>
      <w:r>
        <w:rPr>
          <w:rFonts w:hint="eastAsia" w:ascii="宋体" w:hAnsi="宋体" w:eastAsia="宋体" w:cs="宋体"/>
          <w:b w:val="0"/>
          <w:bCs/>
          <w:snapToGrid w:val="0"/>
          <w:color w:val="auto"/>
          <w:kern w:val="21"/>
          <w:sz w:val="24"/>
          <w:szCs w:val="21"/>
          <w:highlight w:val="none"/>
          <w:lang w:val="en-US" w:eastAsia="zh-CN" w:bidi="ar-SA"/>
        </w:rPr>
        <w:t>采购货物具体技术参数及要求</w:t>
      </w:r>
      <w:r>
        <w:rPr>
          <w:rFonts w:hint="eastAsia" w:hAnsi="宋体" w:cs="宋体"/>
          <w:b w:val="0"/>
          <w:bCs/>
          <w:snapToGrid w:val="0"/>
          <w:color w:val="auto"/>
          <w:kern w:val="21"/>
          <w:sz w:val="24"/>
          <w:szCs w:val="21"/>
          <w:highlight w:val="none"/>
          <w:lang w:val="en-US" w:eastAsia="zh-CN" w:bidi="ar-SA"/>
        </w:rPr>
        <w:t>》</w:t>
      </w:r>
      <w:r>
        <w:rPr>
          <w:rFonts w:hint="eastAsia" w:ascii="宋体" w:hAnsi="宋体" w:eastAsia="宋体" w:cs="宋体"/>
          <w:b w:val="0"/>
          <w:bCs/>
          <w:snapToGrid w:val="0"/>
          <w:color w:val="auto"/>
          <w:kern w:val="21"/>
          <w:sz w:val="24"/>
          <w:szCs w:val="21"/>
          <w:highlight w:val="none"/>
          <w:lang w:val="en-US" w:eastAsia="zh-CN" w:bidi="ar-SA"/>
        </w:rPr>
        <w:t>。</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
          <w:snapToGrid w:val="0"/>
          <w:color w:val="auto"/>
          <w:kern w:val="21"/>
          <w:sz w:val="28"/>
          <w:szCs w:val="28"/>
          <w:highlight w:val="none"/>
          <w:lang w:val="en-US" w:eastAsia="zh-CN" w:bidi="ar-SA"/>
        </w:rPr>
      </w:pPr>
      <w:r>
        <w:rPr>
          <w:rFonts w:hint="eastAsia" w:hAnsi="宋体" w:cs="宋体"/>
          <w:b/>
          <w:snapToGrid w:val="0"/>
          <w:color w:val="auto"/>
          <w:kern w:val="21"/>
          <w:sz w:val="28"/>
          <w:szCs w:val="28"/>
          <w:highlight w:val="none"/>
          <w:lang w:val="en-US" w:eastAsia="zh-CN" w:bidi="ar-SA"/>
        </w:rPr>
        <w:t>4、</w:t>
      </w:r>
      <w:r>
        <w:rPr>
          <w:rFonts w:hint="eastAsia" w:ascii="宋体" w:hAnsi="宋体" w:eastAsia="宋体" w:cs="宋体"/>
          <w:b/>
          <w:snapToGrid w:val="0"/>
          <w:color w:val="auto"/>
          <w:kern w:val="21"/>
          <w:sz w:val="28"/>
          <w:szCs w:val="28"/>
          <w:highlight w:val="none"/>
          <w:lang w:val="en-US" w:eastAsia="zh-CN" w:bidi="ar-SA"/>
        </w:rPr>
        <w:t>长江文明百物展云托管服务</w:t>
      </w:r>
    </w:p>
    <w:p>
      <w:pPr>
        <w:pStyle w:val="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val="0"/>
          <w:bCs/>
          <w:snapToGrid w:val="0"/>
          <w:color w:val="auto"/>
          <w:kern w:val="21"/>
          <w:sz w:val="24"/>
          <w:szCs w:val="21"/>
          <w:highlight w:val="none"/>
          <w:lang w:val="en-US" w:eastAsia="zh-CN" w:bidi="ar-SA"/>
        </w:rPr>
      </w:pPr>
      <w:r>
        <w:rPr>
          <w:rFonts w:hint="eastAsia" w:ascii="宋体" w:hAnsi="宋体" w:eastAsia="宋体" w:cs="宋体"/>
          <w:b w:val="0"/>
          <w:bCs/>
          <w:snapToGrid w:val="0"/>
          <w:color w:val="auto"/>
          <w:kern w:val="21"/>
          <w:sz w:val="24"/>
          <w:szCs w:val="21"/>
          <w:highlight w:val="none"/>
          <w:lang w:val="en-US" w:eastAsia="zh-CN" w:bidi="ar-SA"/>
        </w:rPr>
        <w:t>配置需求见上表</w:t>
      </w:r>
      <w:r>
        <w:rPr>
          <w:rFonts w:hint="eastAsia" w:hAnsi="宋体" w:cs="宋体"/>
          <w:b w:val="0"/>
          <w:bCs/>
          <w:snapToGrid w:val="0"/>
          <w:color w:val="auto"/>
          <w:kern w:val="21"/>
          <w:sz w:val="24"/>
          <w:szCs w:val="21"/>
          <w:highlight w:val="none"/>
          <w:lang w:val="en-US" w:eastAsia="zh-CN" w:bidi="ar-SA"/>
        </w:rPr>
        <w:t>《</w:t>
      </w:r>
      <w:r>
        <w:rPr>
          <w:rFonts w:hint="eastAsia" w:ascii="宋体" w:hAnsi="宋体" w:eastAsia="宋体" w:cs="宋体"/>
          <w:b w:val="0"/>
          <w:bCs/>
          <w:snapToGrid w:val="0"/>
          <w:color w:val="auto"/>
          <w:kern w:val="21"/>
          <w:sz w:val="24"/>
          <w:szCs w:val="21"/>
          <w:highlight w:val="none"/>
          <w:lang w:val="en-US" w:eastAsia="zh-CN" w:bidi="ar-SA"/>
        </w:rPr>
        <w:t>采购货物具体技术参数及要求</w:t>
      </w:r>
      <w:r>
        <w:rPr>
          <w:rFonts w:hint="eastAsia" w:hAnsi="宋体" w:cs="宋体"/>
          <w:b w:val="0"/>
          <w:bCs/>
          <w:snapToGrid w:val="0"/>
          <w:color w:val="auto"/>
          <w:kern w:val="21"/>
          <w:sz w:val="24"/>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napToGrid w:val="0"/>
          <w:color w:val="auto"/>
          <w:kern w:val="21"/>
          <w:sz w:val="28"/>
          <w:szCs w:val="28"/>
          <w:highlight w:val="none"/>
          <w:lang w:val="en-US" w:eastAsia="zh-CN" w:bidi="ar-SA"/>
        </w:rPr>
      </w:pPr>
      <w:r>
        <w:rPr>
          <w:rFonts w:hint="eastAsia" w:ascii="宋体" w:hAnsi="宋体" w:cs="宋体"/>
          <w:b/>
          <w:snapToGrid w:val="0"/>
          <w:color w:val="auto"/>
          <w:kern w:val="21"/>
          <w:sz w:val="28"/>
          <w:szCs w:val="28"/>
          <w:highlight w:val="none"/>
          <w:lang w:val="en-US" w:eastAsia="zh-CN" w:bidi="ar-SA"/>
        </w:rPr>
        <w:t>5</w:t>
      </w:r>
      <w:r>
        <w:rPr>
          <w:rFonts w:hint="eastAsia" w:ascii="宋体" w:hAnsi="宋体" w:eastAsia="宋体" w:cs="宋体"/>
          <w:b/>
          <w:snapToGrid w:val="0"/>
          <w:color w:val="auto"/>
          <w:kern w:val="21"/>
          <w:sz w:val="28"/>
          <w:szCs w:val="28"/>
          <w:highlight w:val="none"/>
          <w:lang w:val="en-US" w:eastAsia="zh-CN" w:bidi="ar-SA"/>
        </w:rPr>
        <w:t>、绩效目标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微软雅黑"/>
          <w:i w:val="0"/>
          <w:iCs w:val="0"/>
          <w:color w:val="auto"/>
          <w:kern w:val="2"/>
          <w:sz w:val="24"/>
          <w:szCs w:val="24"/>
          <w:highlight w:val="none"/>
          <w:u w:val="none"/>
          <w:lang w:val="en-US" w:eastAsia="zh-CN" w:bidi="ar-SA"/>
        </w:rPr>
      </w:pPr>
      <w:r>
        <w:rPr>
          <w:rFonts w:hint="eastAsia" w:ascii="Times New Roman" w:cs="微软雅黑"/>
          <w:i w:val="0"/>
          <w:iCs w:val="0"/>
          <w:color w:val="auto"/>
          <w:kern w:val="2"/>
          <w:sz w:val="24"/>
          <w:szCs w:val="24"/>
          <w:highlight w:val="none"/>
          <w:u w:val="none"/>
          <w:lang w:val="en-US" w:eastAsia="zh-CN" w:bidi="ar-SA"/>
        </w:rPr>
        <w:t>1.</w:t>
      </w:r>
      <w:r>
        <w:rPr>
          <w:rFonts w:hint="eastAsia" w:ascii="Times New Roman" w:hAnsi="Times New Roman" w:eastAsia="宋体" w:cs="微软雅黑"/>
          <w:i w:val="0"/>
          <w:iCs w:val="0"/>
          <w:color w:val="auto"/>
          <w:kern w:val="2"/>
          <w:sz w:val="24"/>
          <w:szCs w:val="24"/>
          <w:highlight w:val="none"/>
          <w:u w:val="none"/>
          <w:lang w:val="en-US" w:eastAsia="zh-CN" w:bidi="ar-SA"/>
        </w:rPr>
        <w:t>湖北省博物馆票务系统是具备大量网络并发和网络资源需求的应用服务，需要完善的基础支撑。按照本次方案中的云数据中心服务设计来执行，该项目实施后可充分保证湖北省博物馆票务系统的稳定运行和安全访问，从而为观众提供便捷、泛在化的网络服务入口，使观众能够更方便和流畅地免费在线预约湖北省博物馆门票，提高观众门票预约服务的满意度，提高门票预约系统工作人员的管理效率和服务水平，保障更多观众顺利入馆增加我馆创收。</w:t>
      </w:r>
    </w:p>
    <w:p>
      <w:pPr>
        <w:pStyle w:val="2"/>
        <w:keepNext w:val="0"/>
        <w:keepLines w:val="0"/>
        <w:pageBreakBefore w:val="0"/>
        <w:widowControl w:val="0"/>
        <w:kinsoku/>
        <w:wordWrap/>
        <w:overflowPunct/>
        <w:topLinePunct w:val="0"/>
        <w:bidi w:val="0"/>
        <w:snapToGrid/>
        <w:spacing w:line="360" w:lineRule="auto"/>
        <w:textAlignment w:val="auto"/>
        <w:rPr>
          <w:rFonts w:hint="eastAsia" w:ascii="Times New Roman" w:hAnsi="Times New Roman" w:eastAsia="宋体" w:cs="微软雅黑"/>
          <w:i w:val="0"/>
          <w:iCs w:val="0"/>
          <w:color w:val="auto"/>
          <w:kern w:val="2"/>
          <w:sz w:val="24"/>
          <w:szCs w:val="24"/>
          <w:highlight w:val="none"/>
          <w:u w:val="none"/>
          <w:lang w:val="en-US" w:eastAsia="zh-CN" w:bidi="ar-SA"/>
        </w:rPr>
      </w:pPr>
      <w:r>
        <w:rPr>
          <w:rFonts w:hint="eastAsia" w:ascii="Times New Roman" w:cs="微软雅黑"/>
          <w:i w:val="0"/>
          <w:iCs w:val="0"/>
          <w:color w:val="auto"/>
          <w:kern w:val="2"/>
          <w:sz w:val="24"/>
          <w:szCs w:val="24"/>
          <w:highlight w:val="none"/>
          <w:u w:val="none"/>
          <w:lang w:val="en-US" w:eastAsia="zh-CN" w:bidi="ar-SA"/>
        </w:rPr>
        <w:t>2.</w:t>
      </w:r>
      <w:r>
        <w:rPr>
          <w:rFonts w:hint="eastAsia" w:ascii="Times New Roman" w:hAnsi="Times New Roman" w:eastAsia="宋体" w:cs="微软雅黑"/>
          <w:i w:val="0"/>
          <w:iCs w:val="0"/>
          <w:color w:val="auto"/>
          <w:kern w:val="2"/>
          <w:sz w:val="24"/>
          <w:szCs w:val="24"/>
          <w:highlight w:val="none"/>
          <w:u w:val="none"/>
          <w:lang w:val="en-US" w:eastAsia="zh-CN" w:bidi="ar-SA"/>
        </w:rPr>
        <w:t>在服务期内满足新馆展厅VR全景展示系统、陂安南革命旧址语音导览系统的存储需求（含后期扩展空间）。</w:t>
      </w:r>
    </w:p>
    <w:p>
      <w:pPr>
        <w:pStyle w:val="2"/>
        <w:keepNext w:val="0"/>
        <w:keepLines w:val="0"/>
        <w:pageBreakBefore w:val="0"/>
        <w:widowControl w:val="0"/>
        <w:kinsoku/>
        <w:wordWrap/>
        <w:overflowPunct/>
        <w:topLinePunct w:val="0"/>
        <w:bidi w:val="0"/>
        <w:snapToGrid/>
        <w:spacing w:line="360" w:lineRule="auto"/>
        <w:textAlignment w:val="auto"/>
        <w:rPr>
          <w:rFonts w:hint="eastAsia" w:ascii="Times New Roman" w:hAnsi="Times New Roman" w:eastAsia="宋体" w:cs="微软雅黑"/>
          <w:i w:val="0"/>
          <w:iCs w:val="0"/>
          <w:color w:val="auto"/>
          <w:kern w:val="2"/>
          <w:sz w:val="24"/>
          <w:szCs w:val="24"/>
          <w:highlight w:val="none"/>
          <w:u w:val="none"/>
          <w:lang w:val="en-US" w:eastAsia="zh-CN" w:bidi="ar-SA"/>
        </w:rPr>
      </w:pPr>
      <w:r>
        <w:rPr>
          <w:rFonts w:hint="eastAsia" w:ascii="Times New Roman" w:cs="微软雅黑"/>
          <w:i w:val="0"/>
          <w:iCs w:val="0"/>
          <w:color w:val="auto"/>
          <w:kern w:val="2"/>
          <w:sz w:val="24"/>
          <w:szCs w:val="24"/>
          <w:highlight w:val="none"/>
          <w:u w:val="none"/>
          <w:lang w:val="en-US" w:eastAsia="zh-CN" w:bidi="ar-SA"/>
        </w:rPr>
        <w:t>3.</w:t>
      </w:r>
      <w:r>
        <w:rPr>
          <w:rFonts w:hint="eastAsia" w:ascii="Times New Roman" w:hAnsi="Times New Roman" w:eastAsia="宋体" w:cs="微软雅黑"/>
          <w:i w:val="0"/>
          <w:iCs w:val="0"/>
          <w:color w:val="auto"/>
          <w:kern w:val="2"/>
          <w:sz w:val="24"/>
          <w:szCs w:val="24"/>
          <w:highlight w:val="none"/>
          <w:u w:val="none"/>
          <w:lang w:val="en-US" w:eastAsia="zh-CN" w:bidi="ar-SA"/>
        </w:rPr>
        <w:t>长江文明百物展云服务实施后能充分保证系统的稳定运行和安全访问。</w:t>
      </w:r>
    </w:p>
    <w:p>
      <w:pPr>
        <w:spacing w:line="440" w:lineRule="exact"/>
        <w:rPr>
          <w:rFonts w:hint="eastAsia" w:ascii="宋体" w:hAnsi="宋体"/>
          <w:color w:val="auto"/>
          <w:sz w:val="24"/>
          <w:szCs w:val="22"/>
        </w:rPr>
      </w:pPr>
    </w:p>
    <w:p>
      <w:pPr>
        <w:spacing w:line="440" w:lineRule="exact"/>
        <w:rPr>
          <w:rFonts w:hint="eastAsia" w:ascii="宋体" w:hAnsi="宋体"/>
          <w:color w:val="auto"/>
          <w:sz w:val="24"/>
          <w:szCs w:val="22"/>
        </w:rPr>
      </w:pPr>
    </w:p>
    <w:p>
      <w:pPr>
        <w:spacing w:line="440" w:lineRule="exact"/>
        <w:rPr>
          <w:rFonts w:hint="eastAsia" w:ascii="宋体" w:hAnsi="宋体"/>
          <w:color w:val="auto"/>
          <w:sz w:val="24"/>
          <w:szCs w:val="22"/>
        </w:rPr>
      </w:pPr>
    </w:p>
    <w:p>
      <w:pPr>
        <w:spacing w:line="440" w:lineRule="exact"/>
        <w:rPr>
          <w:rFonts w:hint="eastAsia" w:ascii="宋体" w:hAnsi="宋体"/>
          <w:color w:val="auto"/>
          <w:sz w:val="24"/>
          <w:szCs w:val="22"/>
        </w:rPr>
      </w:pPr>
    </w:p>
    <w:p>
      <w:p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2.1.1交货时间：合同签订之日起60个日历天内实施完毕。</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2.1.4验收要求：货物安装调试完毕，经采购人验收签字认可。</w:t>
      </w:r>
    </w:p>
    <w:p>
      <w:pPr>
        <w:spacing w:line="440" w:lineRule="exact"/>
        <w:rPr>
          <w:rFonts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spacing w:line="440" w:lineRule="exact"/>
        <w:ind w:left="240" w:hanging="240" w:hangingChars="100"/>
        <w:rPr>
          <w:rFonts w:hint="eastAsia" w:ascii="宋体" w:hAnsi="宋体"/>
          <w:color w:val="auto"/>
          <w:sz w:val="24"/>
          <w:szCs w:val="22"/>
        </w:rPr>
      </w:pPr>
      <w:r>
        <w:rPr>
          <w:rFonts w:hint="eastAsia" w:ascii="宋体" w:hAnsi="宋体"/>
          <w:color w:val="auto"/>
          <w:sz w:val="24"/>
          <w:szCs w:val="22"/>
        </w:rPr>
        <w:t>2.1.7付款方式：本项目无预付款。经验收合格后，支付全款。（货物、服务类可付全款；工程类项目需支付3%质保金，质保期满后无息退还）</w:t>
      </w:r>
    </w:p>
    <w:p>
      <w:pPr>
        <w:spacing w:line="440" w:lineRule="exact"/>
        <w:ind w:left="240" w:hanging="240" w:hangingChars="100"/>
        <w:rPr>
          <w:rFonts w:hint="eastAsia" w:ascii="宋体" w:hAnsi="宋体" w:eastAsia="宋体"/>
          <w:color w:val="auto"/>
          <w:sz w:val="24"/>
          <w:szCs w:val="22"/>
          <w:lang w:eastAsia="zh-CN"/>
        </w:rPr>
      </w:pPr>
      <w:r>
        <w:rPr>
          <w:rFonts w:hint="eastAsia" w:ascii="宋体" w:hAnsi="宋体"/>
          <w:color w:val="auto"/>
          <w:sz w:val="24"/>
          <w:szCs w:val="22"/>
        </w:rPr>
        <w:t>2.1.</w:t>
      </w:r>
      <w:r>
        <w:rPr>
          <w:rFonts w:hint="eastAsia" w:ascii="宋体" w:hAnsi="宋体"/>
          <w:color w:val="auto"/>
          <w:sz w:val="24"/>
          <w:szCs w:val="22"/>
          <w:lang w:val="en-US" w:eastAsia="zh-CN"/>
        </w:rPr>
        <w:t>8服务期限：本项目一次招标可执行三年。若合同履行期间无纠纷，履约到位后，经采购人同意可与中标人在次年续签采购合同，最多续签两次。</w:t>
      </w:r>
    </w:p>
    <w:p>
      <w:pPr>
        <w:spacing w:before="100" w:beforeAutospacing="1" w:line="360" w:lineRule="auto"/>
        <w:rPr>
          <w:rFonts w:ascii="宋体" w:hAnsi="宋体"/>
          <w:color w:val="auto"/>
          <w:sz w:val="24"/>
          <w:szCs w:val="22"/>
        </w:rPr>
      </w:pPr>
      <w:r>
        <w:rPr>
          <w:rFonts w:hint="eastAsia" w:ascii="宋体" w:hAnsi="宋体"/>
          <w:color w:val="auto"/>
          <w:sz w:val="24"/>
          <w:szCs w:val="22"/>
        </w:rPr>
        <w:t>2.2售后服务需求</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2.2.1质保服务要求：成交供应商提供所投本单位生产产品</w:t>
      </w:r>
      <w:r>
        <w:rPr>
          <w:rFonts w:ascii="宋体" w:hAnsi="宋体"/>
          <w:color w:val="auto"/>
          <w:sz w:val="24"/>
          <w:szCs w:val="22"/>
        </w:rPr>
        <w:t>1</w:t>
      </w:r>
      <w:r>
        <w:rPr>
          <w:rFonts w:hint="eastAsia" w:ascii="宋体" w:hAnsi="宋体"/>
          <w:color w:val="auto"/>
          <w:sz w:val="24"/>
          <w:szCs w:val="22"/>
        </w:rPr>
        <w:t>年的免费上门保修，终身维修。保修期自验收合格之日起计算。供应商在此项目后期的维护中，若出现系统故障，服务商应</w:t>
      </w:r>
      <w:r>
        <w:rPr>
          <w:rFonts w:ascii="宋体" w:hAnsi="宋体"/>
          <w:color w:val="auto"/>
          <w:sz w:val="24"/>
          <w:szCs w:val="22"/>
        </w:rPr>
        <w:t>4</w:t>
      </w:r>
      <w:r>
        <w:rPr>
          <w:rFonts w:hint="eastAsia" w:ascii="宋体" w:hAnsi="宋体"/>
          <w:color w:val="auto"/>
          <w:sz w:val="24"/>
          <w:szCs w:val="22"/>
        </w:rPr>
        <w:t>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leftChars="0" w:hanging="240" w:hangingChars="100"/>
        <w:rPr>
          <w:rFonts w:hint="eastAsia" w:ascii="宋体" w:hAnsi="宋体" w:cs="宋体"/>
          <w:caps/>
          <w:color w:val="auto"/>
          <w:sz w:val="24"/>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pPr>
        <w:shd w:val="clear" w:color="auto" w:fill="FFFFFF"/>
        <w:spacing w:before="0" w:after="0" w:line="360" w:lineRule="auto"/>
        <w:ind w:firstLine="0" w:firstLineChars="0"/>
        <w:jc w:val="left"/>
        <w:outlineLvl w:val="9"/>
        <w:rPr>
          <w:rFonts w:hint="eastAsia" w:ascii="宋体" w:hAnsi="宋体" w:cs="宋体"/>
          <w:caps/>
          <w:color w:val="auto"/>
          <w:sz w:val="24"/>
        </w:rPr>
      </w:pPr>
      <w:r>
        <w:rPr>
          <w:rFonts w:hint="eastAsia" w:ascii="宋体" w:hAnsi="宋体" w:cs="宋体"/>
          <w:caps/>
          <w:color w:val="auto"/>
          <w:sz w:val="24"/>
        </w:rPr>
        <w:t>三、评审方法</w:t>
      </w:r>
    </w:p>
    <w:p>
      <w:pPr>
        <w:shd w:val="clear" w:color="auto" w:fill="FFFFFF"/>
        <w:spacing w:line="360" w:lineRule="auto"/>
        <w:ind w:firstLine="240" w:firstLineChars="100"/>
        <w:rPr>
          <w:color w:val="auto"/>
        </w:rPr>
      </w:pPr>
      <w:r>
        <w:rPr>
          <w:rFonts w:hint="eastAsia" w:ascii="宋体" w:hAnsi="宋体" w:cs="宋体"/>
          <w:caps/>
          <w:color w:val="auto"/>
          <w:sz w:val="24"/>
        </w:rPr>
        <w:t>根据符合采购需求、质量和服务相等且报价（评审价）最低的原则确定成交候选供应商。</w:t>
      </w:r>
    </w:p>
    <w:p>
      <w:pPr>
        <w:adjustRightInd w:val="0"/>
        <w:snapToGrid w:val="0"/>
        <w:ind w:left="-146" w:leftChars="-52" w:right="-196" w:rightChars="-70" w:firstLine="1" w:firstLineChars="0"/>
        <w:jc w:val="center"/>
        <w:outlineLvl w:val="0"/>
        <w:rPr>
          <w:rFonts w:eastAsia="宋体"/>
          <w:b/>
          <w:color w:val="auto"/>
          <w:sz w:val="36"/>
          <w:szCs w:val="36"/>
        </w:rPr>
      </w:pPr>
      <w:r>
        <w:rPr>
          <w:b/>
          <w:color w:val="auto"/>
          <w:sz w:val="36"/>
          <w:szCs w:val="36"/>
        </w:rPr>
        <w:t>第四章</w:t>
      </w:r>
      <w:r>
        <w:rPr>
          <w:rFonts w:hint="default"/>
          <w:b/>
          <w:color w:val="auto"/>
          <w:sz w:val="36"/>
          <w:szCs w:val="36"/>
        </w:rPr>
        <w:t xml:space="preserve">  </w:t>
      </w:r>
      <w:r>
        <w:rPr>
          <w:b/>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eastAsia="宋体"/>
          <w:color w:val="auto"/>
          <w:kern w:val="0"/>
          <w:sz w:val="24"/>
          <w:szCs w:val="20"/>
        </w:rPr>
      </w:pPr>
      <w:r>
        <w:rPr>
          <w:rFonts w:ascii="宋体" w:hAnsi="宋体" w:eastAsia="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snapToGrid/>
        <w:jc w:val="left"/>
        <w:outlineLvl w:val="9"/>
        <w:rPr>
          <w:color w:val="auto"/>
        </w:rPr>
      </w:pPr>
    </w:p>
    <w:p>
      <w:pPr>
        <w:adjustRightInd/>
        <w:snapToGrid/>
        <w:outlineLvl w:val="9"/>
        <w:rPr>
          <w:color w:val="auto"/>
        </w:rPr>
      </w:pPr>
      <w:r>
        <w:rPr>
          <w:color w:val="auto"/>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snapToGrid/>
        <w:jc w:val="center"/>
        <w:outlineLvl w:val="9"/>
        <w:rPr>
          <w:rFonts w:eastAsia="宋体"/>
          <w:color w:val="auto"/>
          <w:sz w:val="44"/>
          <w:szCs w:val="44"/>
        </w:rPr>
      </w:pPr>
      <w:r>
        <w:rPr>
          <w:color w:val="auto"/>
          <w:szCs w:val="21"/>
        </w:rPr>
        <w:br w:type="page"/>
      </w:r>
      <w:r>
        <w:rPr>
          <w:rFonts w:eastAsia="宋体"/>
          <w:color w:val="auto"/>
          <w:sz w:val="44"/>
          <w:szCs w:val="44"/>
        </w:rPr>
        <w:t>目</w:t>
      </w:r>
      <w:r>
        <w:rPr>
          <w:rFonts w:hint="eastAsia" w:eastAsia="宋体"/>
          <w:color w:val="auto"/>
          <w:sz w:val="44"/>
          <w:szCs w:val="44"/>
        </w:rPr>
        <w:t xml:space="preserve">  </w:t>
      </w:r>
      <w:r>
        <w:rPr>
          <w:rFonts w:eastAsia="宋体"/>
          <w:color w:val="auto"/>
          <w:sz w:val="44"/>
          <w:szCs w:val="44"/>
        </w:rPr>
        <w:t>录</w:t>
      </w:r>
    </w:p>
    <w:p>
      <w:pPr>
        <w:adjustRightInd/>
        <w:snapToGrid/>
        <w:outlineLvl w:val="9"/>
        <w:rPr>
          <w:color w:val="auto"/>
          <w:sz w:val="24"/>
        </w:rPr>
      </w:pPr>
      <w:r>
        <w:rPr>
          <w:color w:val="auto"/>
          <w:szCs w:val="21"/>
        </w:rPr>
        <w:br w:type="page"/>
      </w:r>
      <w:r>
        <w:rPr>
          <w:color w:val="auto"/>
          <w:sz w:val="24"/>
        </w:rPr>
        <w:t>附件1</w:t>
      </w:r>
    </w:p>
    <w:p>
      <w:pPr>
        <w:adjustRightInd/>
        <w:snapToGrid/>
        <w:jc w:val="center"/>
        <w:outlineLvl w:val="9"/>
        <w:rPr>
          <w:color w:val="auto"/>
        </w:rPr>
      </w:pPr>
      <w:r>
        <w:rPr>
          <w:color w:val="auto"/>
        </w:rPr>
        <w:t>谈判书</w:t>
      </w:r>
    </w:p>
    <w:p>
      <w:pPr>
        <w:spacing w:line="500" w:lineRule="exact"/>
        <w:ind w:left="-118" w:leftChars="-42"/>
        <w:rPr>
          <w:rFonts w:eastAsia="仿宋_GB2312"/>
          <w:color w:val="auto"/>
          <w:szCs w:val="28"/>
        </w:rPr>
      </w:pP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湖北省博物馆/湖北省文物考古研究所</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hint="eastAsia" w:ascii="Times New Roman" w:hAnsi="Times New Roman" w:cs="Times New Roman"/>
          <w:color w:val="auto"/>
          <w:sz w:val="24"/>
          <w:u w:val="single"/>
          <w:lang w:val="en-US" w:eastAsia="zh-CN"/>
        </w:rPr>
        <w:t xml:space="preserve">          </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r>
        <w:rPr>
          <w:rFonts w:hint="eastAsia" w:ascii="Times New Roman" w:hAnsi="Times New Roman" w:cs="Times New Roman"/>
          <w:color w:val="auto"/>
          <w:sz w:val="24"/>
          <w:lang w:val="en-US" w:eastAsia="zh-CN"/>
        </w:rPr>
        <w:t>副本二分</w:t>
      </w:r>
      <w:r>
        <w:rPr>
          <w:rFonts w:ascii="Times New Roman" w:hAnsi="Times New Roman" w:cs="Times New Roman"/>
          <w:color w:val="auto"/>
          <w:sz w:val="24"/>
        </w:rPr>
        <w:t>。</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日期：</w:t>
      </w:r>
    </w:p>
    <w:p>
      <w:pPr>
        <w:pStyle w:val="19"/>
        <w:spacing w:line="440" w:lineRule="exact"/>
        <w:ind w:firstLine="840"/>
        <w:rPr>
          <w:rFonts w:ascii="宋体" w:hAnsi="宋体" w:eastAsia="宋体"/>
          <w:color w:val="auto"/>
          <w:sz w:val="24"/>
        </w:rPr>
      </w:pPr>
      <w:r>
        <w:rPr>
          <w:rFonts w:ascii="Times New Roman" w:hAnsi="Times New Roman" w:cs="Times New Roman"/>
          <w:color w:val="auto"/>
          <w:sz w:val="24"/>
        </w:rPr>
        <w:br w:type="page"/>
      </w:r>
      <w:r>
        <w:rPr>
          <w:rFonts w:ascii="宋体" w:hAnsi="宋体" w:eastAsia="宋体"/>
          <w:color w:val="auto"/>
          <w:sz w:val="24"/>
        </w:rPr>
        <w:t>附件2</w:t>
      </w:r>
    </w:p>
    <w:p>
      <w:pPr>
        <w:ind w:firstLine="3040" w:firstLineChars="950"/>
        <w:rPr>
          <w:rFonts w:eastAsia="宋体"/>
          <w:color w:val="auto"/>
          <w:sz w:val="32"/>
          <w:szCs w:val="32"/>
        </w:rPr>
      </w:pPr>
      <w:r>
        <w:rPr>
          <w:rFonts w:eastAsia="宋体"/>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color w:val="auto"/>
          <w:sz w:val="24"/>
        </w:rPr>
      </w:pPr>
      <w:r>
        <w:rPr>
          <w:color w:val="auto"/>
          <w:sz w:val="24"/>
        </w:rPr>
        <w:t>项目名称：</w:t>
      </w:r>
    </w:p>
    <w:tbl>
      <w:tblPr>
        <w:tblStyle w:val="28"/>
        <w:tblW w:w="8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1309"/>
        <w:gridCol w:w="818"/>
        <w:gridCol w:w="3723"/>
        <w:gridCol w:w="1309"/>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411" w:type="dxa"/>
            <w:shd w:val="clear" w:color="auto" w:fill="D6DCE5"/>
            <w:vAlign w:val="center"/>
          </w:tcPr>
          <w:p>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序号</w:t>
            </w:r>
          </w:p>
        </w:tc>
        <w:tc>
          <w:tcPr>
            <w:tcW w:w="1309" w:type="dxa"/>
            <w:shd w:val="clear" w:color="auto" w:fill="D6DCE5"/>
            <w:vAlign w:val="center"/>
          </w:tcPr>
          <w:p>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货物名称</w:t>
            </w:r>
          </w:p>
        </w:tc>
        <w:tc>
          <w:tcPr>
            <w:tcW w:w="818" w:type="dxa"/>
            <w:shd w:val="clear" w:color="auto" w:fill="D6DCE5"/>
            <w:vAlign w:val="center"/>
          </w:tcPr>
          <w:p>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采购</w:t>
            </w:r>
          </w:p>
          <w:p>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数量</w:t>
            </w:r>
          </w:p>
        </w:tc>
        <w:tc>
          <w:tcPr>
            <w:tcW w:w="3723" w:type="dxa"/>
            <w:shd w:val="clear" w:color="auto" w:fill="D6DCE5"/>
            <w:vAlign w:val="center"/>
          </w:tcPr>
          <w:p>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参数或指标需求</w:t>
            </w:r>
          </w:p>
        </w:tc>
        <w:tc>
          <w:tcPr>
            <w:tcW w:w="1309" w:type="dxa"/>
            <w:shd w:val="clear" w:color="auto" w:fill="D6DCE5"/>
            <w:vAlign w:val="center"/>
          </w:tcPr>
          <w:p>
            <w:pPr>
              <w:jc w:val="center"/>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报价</w:t>
            </w:r>
          </w:p>
          <w:p>
            <w:pPr>
              <w:jc w:val="center"/>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限价</w:t>
            </w:r>
          </w:p>
        </w:tc>
        <w:tc>
          <w:tcPr>
            <w:tcW w:w="1171" w:type="dxa"/>
            <w:shd w:val="clear" w:color="auto" w:fill="D6DCE5"/>
            <w:vAlign w:val="center"/>
          </w:tcPr>
          <w:p>
            <w:pPr>
              <w:jc w:val="center"/>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411" w:type="dxa"/>
            <w:vAlign w:val="center"/>
          </w:tcPr>
          <w:p>
            <w:pPr>
              <w:jc w:val="center"/>
              <w:rPr>
                <w:rFonts w:hint="eastAsia" w:asciiTheme="minorEastAsia" w:hAnsiTheme="minorEastAsia" w:eastAsiaTheme="minorEastAsia" w:cstheme="minorEastAsia"/>
                <w:caps/>
                <w:color w:val="auto"/>
                <w:sz w:val="18"/>
                <w:szCs w:val="18"/>
              </w:rPr>
            </w:pPr>
            <w:r>
              <w:rPr>
                <w:rFonts w:hint="eastAsia" w:asciiTheme="minorEastAsia" w:hAnsiTheme="minorEastAsia" w:eastAsiaTheme="minorEastAsia" w:cstheme="minorEastAsia"/>
                <w:caps/>
                <w:color w:val="auto"/>
                <w:sz w:val="18"/>
                <w:szCs w:val="18"/>
              </w:rPr>
              <w:t>1</w:t>
            </w:r>
          </w:p>
        </w:tc>
        <w:tc>
          <w:tcPr>
            <w:tcW w:w="1309" w:type="dxa"/>
            <w:vAlign w:val="center"/>
          </w:tcPr>
          <w:p>
            <w:pPr>
              <w:jc w:val="center"/>
              <w:rPr>
                <w:rFonts w:hint="eastAsia" w:asciiTheme="minorEastAsia" w:hAnsiTheme="minorEastAsia" w:eastAsiaTheme="minorEastAsia" w:cstheme="minorEastAsia"/>
                <w:caps/>
                <w:color w:val="auto"/>
                <w:sz w:val="18"/>
                <w:szCs w:val="18"/>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入口负载</w:t>
            </w:r>
          </w:p>
        </w:tc>
        <w:tc>
          <w:tcPr>
            <w:tcW w:w="818" w:type="dxa"/>
            <w:vAlign w:val="center"/>
          </w:tcPr>
          <w:p>
            <w:pPr>
              <w:jc w:val="center"/>
              <w:rPr>
                <w:rFonts w:hint="eastAsia" w:asciiTheme="minorEastAsia" w:hAnsiTheme="minorEastAsia" w:eastAsiaTheme="minorEastAsia" w:cstheme="minorEastAsia"/>
                <w:caps/>
                <w:color w:val="auto"/>
                <w:sz w:val="18"/>
                <w:szCs w:val="18"/>
                <w:lang w:val="en-US" w:eastAsia="zh-CN"/>
              </w:rPr>
            </w:pPr>
            <w:r>
              <w:rPr>
                <w:rFonts w:hint="eastAsia" w:asciiTheme="minorEastAsia" w:hAnsiTheme="minorEastAsia" w:eastAsiaTheme="minorEastAsia" w:cstheme="minorEastAsia"/>
                <w:caps/>
                <w:color w:val="auto"/>
                <w:sz w:val="18"/>
                <w:szCs w:val="18"/>
                <w:lang w:val="en-US" w:eastAsia="zh-CN"/>
              </w:rPr>
              <w:t>1台/年</w:t>
            </w:r>
          </w:p>
        </w:tc>
        <w:tc>
          <w:tcPr>
            <w:tcW w:w="3723" w:type="dxa"/>
            <w:vAlign w:val="center"/>
          </w:tcPr>
          <w:p>
            <w:pPr>
              <w:jc w:val="center"/>
              <w:rPr>
                <w:rFonts w:hint="eastAsia" w:asciiTheme="minorEastAsia" w:hAnsiTheme="minorEastAsia" w:eastAsiaTheme="minorEastAsia" w:cstheme="minorEastAsia"/>
                <w:caps/>
                <w:color w:val="auto"/>
                <w:sz w:val="18"/>
                <w:szCs w:val="18"/>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8核、16G、系统盘通用型SSD 50G、数据盘通用型SSD 200G、独享45Mb、操作系统</w:t>
            </w:r>
          </w:p>
        </w:tc>
        <w:tc>
          <w:tcPr>
            <w:tcW w:w="1309" w:type="dxa"/>
            <w:vAlign w:val="center"/>
          </w:tcPr>
          <w:p>
            <w:pPr>
              <w:jc w:val="center"/>
              <w:rPr>
                <w:rFonts w:hint="default"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32888.8元</w:t>
            </w:r>
          </w:p>
        </w:tc>
        <w:tc>
          <w:tcPr>
            <w:tcW w:w="1171" w:type="dxa"/>
            <w:vAlign w:val="center"/>
          </w:tcPr>
          <w:p>
            <w:pPr>
              <w:jc w:val="center"/>
              <w:rPr>
                <w:rFonts w:hint="default" w:asciiTheme="minorEastAsia" w:hAnsiTheme="minorEastAsia" w:eastAsiaTheme="minorEastAsia" w:cstheme="minorEastAsia"/>
                <w:i w:val="0"/>
                <w:iCs w:val="0"/>
                <w:snapToGrid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11" w:type="dxa"/>
            <w:vAlign w:val="center"/>
          </w:tcPr>
          <w:p>
            <w:pPr>
              <w:jc w:val="center"/>
              <w:rPr>
                <w:rFonts w:hint="eastAsia" w:asciiTheme="minorEastAsia" w:hAnsiTheme="minorEastAsia" w:eastAsiaTheme="minorEastAsia" w:cstheme="minorEastAsia"/>
                <w:caps/>
                <w:color w:val="auto"/>
                <w:sz w:val="18"/>
                <w:szCs w:val="18"/>
              </w:rPr>
            </w:pPr>
            <w:r>
              <w:rPr>
                <w:rFonts w:hint="eastAsia" w:asciiTheme="minorEastAsia" w:hAnsiTheme="minorEastAsia" w:eastAsiaTheme="minorEastAsia" w:cstheme="minorEastAsia"/>
                <w:caps/>
                <w:color w:val="auto"/>
                <w:sz w:val="18"/>
                <w:szCs w:val="18"/>
              </w:rPr>
              <w:t>2</w:t>
            </w:r>
          </w:p>
        </w:tc>
        <w:tc>
          <w:tcPr>
            <w:tcW w:w="1309"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应用节点1</w:t>
            </w:r>
          </w:p>
        </w:tc>
        <w:tc>
          <w:tcPr>
            <w:tcW w:w="818" w:type="dxa"/>
            <w:vAlign w:val="center"/>
          </w:tcPr>
          <w:p>
            <w:pPr>
              <w:jc w:val="center"/>
              <w:rPr>
                <w:rFonts w:hint="eastAsia" w:asciiTheme="minorEastAsia" w:hAnsiTheme="minorEastAsia" w:eastAsiaTheme="minorEastAsia" w:cstheme="minorEastAsia"/>
                <w:caps/>
                <w:color w:val="auto"/>
                <w:sz w:val="18"/>
                <w:szCs w:val="18"/>
              </w:rPr>
            </w:pPr>
            <w:r>
              <w:rPr>
                <w:rFonts w:hint="eastAsia" w:asciiTheme="minorEastAsia" w:hAnsiTheme="minorEastAsia" w:eastAsiaTheme="minorEastAsia" w:cstheme="minorEastAsia"/>
                <w:caps/>
                <w:color w:val="auto"/>
                <w:sz w:val="18"/>
                <w:szCs w:val="18"/>
                <w:lang w:val="en-US" w:eastAsia="zh-CN"/>
              </w:rPr>
              <w:t>1台/年</w:t>
            </w:r>
          </w:p>
        </w:tc>
        <w:tc>
          <w:tcPr>
            <w:tcW w:w="3723" w:type="dxa"/>
            <w:vAlign w:val="center"/>
          </w:tcPr>
          <w:p>
            <w:pPr>
              <w:jc w:val="center"/>
              <w:rPr>
                <w:rFonts w:hint="eastAsia" w:asciiTheme="minorEastAsia" w:hAnsiTheme="minorEastAsia" w:eastAsiaTheme="minorEastAsia" w:cstheme="minorEastAsia"/>
                <w:caps/>
                <w:color w:val="auto"/>
                <w:sz w:val="18"/>
                <w:szCs w:val="18"/>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8核、32G、系统盘通用型SSD 50G、数据盘超高IO 300、独享1Mb、操作系统</w:t>
            </w:r>
          </w:p>
        </w:tc>
        <w:tc>
          <w:tcPr>
            <w:tcW w:w="1309" w:type="dxa"/>
            <w:vAlign w:val="center"/>
          </w:tcPr>
          <w:p>
            <w:pPr>
              <w:jc w:val="center"/>
              <w:rPr>
                <w:rFonts w:hint="default"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12121.12元</w:t>
            </w:r>
          </w:p>
        </w:tc>
        <w:tc>
          <w:tcPr>
            <w:tcW w:w="1171" w:type="dxa"/>
            <w:vAlign w:val="center"/>
          </w:tcPr>
          <w:p>
            <w:pPr>
              <w:jc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11" w:type="dxa"/>
            <w:vAlign w:val="center"/>
          </w:tcPr>
          <w:p>
            <w:pPr>
              <w:jc w:val="center"/>
              <w:rPr>
                <w:rFonts w:hint="eastAsia" w:asciiTheme="minorEastAsia" w:hAnsiTheme="minorEastAsia" w:eastAsiaTheme="minorEastAsia" w:cstheme="minorEastAsia"/>
                <w:caps/>
                <w:color w:val="auto"/>
                <w:sz w:val="18"/>
                <w:szCs w:val="18"/>
              </w:rPr>
            </w:pPr>
            <w:r>
              <w:rPr>
                <w:rFonts w:hint="eastAsia" w:asciiTheme="minorEastAsia" w:hAnsiTheme="minorEastAsia" w:eastAsiaTheme="minorEastAsia" w:cstheme="minorEastAsia"/>
                <w:caps/>
                <w:color w:val="auto"/>
                <w:sz w:val="18"/>
                <w:szCs w:val="18"/>
              </w:rPr>
              <w:t>3</w:t>
            </w:r>
          </w:p>
        </w:tc>
        <w:tc>
          <w:tcPr>
            <w:tcW w:w="1309" w:type="dxa"/>
            <w:vAlign w:val="center"/>
          </w:tcPr>
          <w:p>
            <w:pPr>
              <w:ind w:left="240" w:hanging="180" w:hangingChars="100"/>
              <w:jc w:val="center"/>
              <w:rPr>
                <w:rFonts w:hint="eastAsia" w:asciiTheme="minorEastAsia" w:hAnsiTheme="minorEastAsia" w:eastAsiaTheme="minorEastAsia" w:cstheme="minorEastAsia"/>
                <w:caps/>
                <w:color w:val="auto"/>
                <w:sz w:val="18"/>
                <w:szCs w:val="18"/>
                <w:lang w:val="en-US" w:eastAsia="zh-CN"/>
              </w:rPr>
            </w:pPr>
            <w:r>
              <w:rPr>
                <w:rFonts w:hint="eastAsia" w:asciiTheme="minorEastAsia" w:hAnsiTheme="minorEastAsia" w:eastAsiaTheme="minorEastAsia" w:cstheme="minorEastAsia"/>
                <w:caps/>
                <w:color w:val="auto"/>
                <w:sz w:val="18"/>
                <w:szCs w:val="18"/>
                <w:lang w:eastAsia="zh-CN"/>
              </w:rPr>
              <w:t>应用节点</w:t>
            </w:r>
            <w:r>
              <w:rPr>
                <w:rFonts w:hint="eastAsia" w:asciiTheme="minorEastAsia" w:hAnsiTheme="minorEastAsia" w:eastAsiaTheme="minorEastAsia" w:cstheme="minorEastAsia"/>
                <w:caps/>
                <w:color w:val="auto"/>
                <w:sz w:val="18"/>
                <w:szCs w:val="18"/>
                <w:lang w:val="en-US" w:eastAsia="zh-CN"/>
              </w:rPr>
              <w:t>2</w:t>
            </w:r>
          </w:p>
        </w:tc>
        <w:tc>
          <w:tcPr>
            <w:tcW w:w="818" w:type="dxa"/>
            <w:vAlign w:val="center"/>
          </w:tcPr>
          <w:p>
            <w:pPr>
              <w:jc w:val="center"/>
              <w:rPr>
                <w:rFonts w:hint="eastAsia" w:asciiTheme="minorEastAsia" w:hAnsiTheme="minorEastAsia" w:eastAsiaTheme="minorEastAsia" w:cstheme="minorEastAsia"/>
                <w:caps/>
                <w:color w:val="auto"/>
                <w:sz w:val="18"/>
                <w:szCs w:val="18"/>
              </w:rPr>
            </w:pPr>
            <w:r>
              <w:rPr>
                <w:rFonts w:hint="eastAsia" w:asciiTheme="minorEastAsia" w:hAnsiTheme="minorEastAsia" w:eastAsiaTheme="minorEastAsia" w:cstheme="minorEastAsia"/>
                <w:caps/>
                <w:color w:val="auto"/>
                <w:sz w:val="18"/>
                <w:szCs w:val="18"/>
                <w:lang w:val="en-US" w:eastAsia="zh-CN"/>
              </w:rPr>
              <w:t>1台/年</w:t>
            </w:r>
          </w:p>
        </w:tc>
        <w:tc>
          <w:tcPr>
            <w:tcW w:w="3723" w:type="dxa"/>
            <w:vAlign w:val="center"/>
          </w:tcPr>
          <w:p>
            <w:pPr>
              <w:jc w:val="center"/>
              <w:rPr>
                <w:rFonts w:hint="eastAsia" w:asciiTheme="minorEastAsia" w:hAnsiTheme="minorEastAsia" w:eastAsiaTheme="minorEastAsia" w:cstheme="minorEastAsia"/>
                <w:caps/>
                <w:color w:val="auto"/>
                <w:sz w:val="18"/>
                <w:szCs w:val="18"/>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8核、32G、系统盘通用型SSD 50G、数据盘超高IO 300G、独享1Mb、操作系统</w:t>
            </w:r>
          </w:p>
        </w:tc>
        <w:tc>
          <w:tcPr>
            <w:tcW w:w="1309" w:type="dxa"/>
            <w:vAlign w:val="center"/>
          </w:tcPr>
          <w:p>
            <w:pPr>
              <w:jc w:val="center"/>
              <w:rPr>
                <w:rFonts w:hint="default"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12121.12元</w:t>
            </w:r>
          </w:p>
        </w:tc>
        <w:tc>
          <w:tcPr>
            <w:tcW w:w="1171" w:type="dxa"/>
            <w:vAlign w:val="center"/>
          </w:tcPr>
          <w:p>
            <w:pPr>
              <w:jc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11" w:type="dxa"/>
            <w:vAlign w:val="center"/>
          </w:tcPr>
          <w:p>
            <w:pPr>
              <w:jc w:val="center"/>
              <w:rPr>
                <w:rFonts w:hint="eastAsia" w:asciiTheme="minorEastAsia" w:hAnsiTheme="minorEastAsia" w:eastAsiaTheme="minorEastAsia" w:cstheme="minorEastAsia"/>
                <w:caps/>
                <w:color w:val="auto"/>
                <w:sz w:val="18"/>
                <w:szCs w:val="18"/>
              </w:rPr>
            </w:pPr>
            <w:r>
              <w:rPr>
                <w:rFonts w:hint="eastAsia" w:asciiTheme="minorEastAsia" w:hAnsiTheme="minorEastAsia" w:eastAsiaTheme="minorEastAsia" w:cstheme="minorEastAsia"/>
                <w:caps/>
                <w:color w:val="auto"/>
                <w:sz w:val="18"/>
                <w:szCs w:val="18"/>
              </w:rPr>
              <w:t>4</w:t>
            </w:r>
          </w:p>
        </w:tc>
        <w:tc>
          <w:tcPr>
            <w:tcW w:w="1309" w:type="dxa"/>
            <w:vAlign w:val="center"/>
          </w:tcPr>
          <w:p>
            <w:pPr>
              <w:ind w:left="240" w:hanging="180" w:hangingChars="100"/>
              <w:jc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数据库主</w:t>
            </w:r>
          </w:p>
        </w:tc>
        <w:tc>
          <w:tcPr>
            <w:tcW w:w="818" w:type="dxa"/>
            <w:vAlign w:val="center"/>
          </w:tcPr>
          <w:p>
            <w:pPr>
              <w:ind w:left="240" w:hanging="180" w:hangingChars="100"/>
              <w:jc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caps/>
                <w:color w:val="auto"/>
                <w:sz w:val="18"/>
                <w:szCs w:val="18"/>
                <w:lang w:val="en-US" w:eastAsia="zh-CN"/>
              </w:rPr>
              <w:t>1台/年</w:t>
            </w:r>
          </w:p>
        </w:tc>
        <w:tc>
          <w:tcPr>
            <w:tcW w:w="3723" w:type="dxa"/>
            <w:vAlign w:val="center"/>
          </w:tcPr>
          <w:p>
            <w:pPr>
              <w:ind w:left="240" w:hanging="180" w:hangingChars="100"/>
              <w:jc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8核、32G、系统盘通用型SSD 50G、数据盘超高IO 500G、独享1Mb、操作系统</w:t>
            </w:r>
          </w:p>
        </w:tc>
        <w:tc>
          <w:tcPr>
            <w:tcW w:w="1309" w:type="dxa"/>
            <w:vAlign w:val="center"/>
          </w:tcPr>
          <w:p>
            <w:pPr>
              <w:ind w:left="240" w:hanging="180" w:hangingChars="100"/>
              <w:jc w:val="center"/>
              <w:rPr>
                <w:rFonts w:hint="default"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14121.12元</w:t>
            </w:r>
          </w:p>
        </w:tc>
        <w:tc>
          <w:tcPr>
            <w:tcW w:w="1171" w:type="dxa"/>
            <w:vAlign w:val="center"/>
          </w:tcPr>
          <w:p>
            <w:pPr>
              <w:ind w:left="240" w:hanging="180" w:hangingChars="100"/>
              <w:jc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11" w:type="dxa"/>
            <w:vAlign w:val="center"/>
          </w:tcPr>
          <w:p>
            <w:pPr>
              <w:jc w:val="center"/>
              <w:rPr>
                <w:rFonts w:hint="eastAsia" w:asciiTheme="minorEastAsia" w:hAnsiTheme="minorEastAsia" w:eastAsiaTheme="minorEastAsia" w:cstheme="minorEastAsia"/>
                <w:caps/>
                <w:color w:val="auto"/>
                <w:sz w:val="18"/>
                <w:szCs w:val="18"/>
              </w:rPr>
            </w:pPr>
            <w:r>
              <w:rPr>
                <w:rFonts w:hint="eastAsia" w:asciiTheme="minorEastAsia" w:hAnsiTheme="minorEastAsia" w:eastAsiaTheme="minorEastAsia" w:cstheme="minorEastAsia"/>
                <w:caps/>
                <w:color w:val="auto"/>
                <w:sz w:val="18"/>
                <w:szCs w:val="18"/>
              </w:rPr>
              <w:t>5</w:t>
            </w:r>
          </w:p>
        </w:tc>
        <w:tc>
          <w:tcPr>
            <w:tcW w:w="1309" w:type="dxa"/>
            <w:vAlign w:val="center"/>
          </w:tcPr>
          <w:p>
            <w:pPr>
              <w:ind w:left="240" w:hanging="180" w:hangingChars="100"/>
              <w:jc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数据库从</w:t>
            </w:r>
          </w:p>
        </w:tc>
        <w:tc>
          <w:tcPr>
            <w:tcW w:w="818" w:type="dxa"/>
            <w:vAlign w:val="center"/>
          </w:tcPr>
          <w:p>
            <w:pPr>
              <w:ind w:left="240" w:hanging="180" w:hangingChars="100"/>
              <w:jc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caps/>
                <w:color w:val="auto"/>
                <w:sz w:val="18"/>
                <w:szCs w:val="18"/>
                <w:lang w:val="en-US" w:eastAsia="zh-CN"/>
              </w:rPr>
              <w:t>1台/年</w:t>
            </w:r>
          </w:p>
        </w:tc>
        <w:tc>
          <w:tcPr>
            <w:tcW w:w="3723" w:type="dxa"/>
            <w:vAlign w:val="center"/>
          </w:tcPr>
          <w:p>
            <w:pPr>
              <w:ind w:left="240" w:hanging="180" w:hangingChars="100"/>
              <w:jc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8核、32G、系统盘 通用型SSD 50G、数据盘 超高IO 500G、独享1Mb、操作系统</w:t>
            </w:r>
          </w:p>
        </w:tc>
        <w:tc>
          <w:tcPr>
            <w:tcW w:w="1309" w:type="dxa"/>
            <w:vAlign w:val="center"/>
          </w:tcPr>
          <w:p>
            <w:pPr>
              <w:ind w:left="240" w:hanging="180" w:hangingChars="100"/>
              <w:jc w:val="center"/>
              <w:rPr>
                <w:rFonts w:hint="default"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14121.12元</w:t>
            </w:r>
          </w:p>
        </w:tc>
        <w:tc>
          <w:tcPr>
            <w:tcW w:w="1171" w:type="dxa"/>
            <w:vAlign w:val="center"/>
          </w:tcPr>
          <w:p>
            <w:pPr>
              <w:ind w:left="240" w:hanging="180" w:hangingChars="100"/>
              <w:jc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11" w:type="dxa"/>
            <w:vAlign w:val="center"/>
          </w:tcPr>
          <w:p>
            <w:pPr>
              <w:jc w:val="center"/>
              <w:rPr>
                <w:rFonts w:hint="eastAsia" w:asciiTheme="minorEastAsia" w:hAnsiTheme="minorEastAsia" w:eastAsiaTheme="minorEastAsia" w:cstheme="minorEastAsia"/>
                <w:caps/>
                <w:color w:val="auto"/>
                <w:sz w:val="18"/>
                <w:szCs w:val="18"/>
                <w:lang w:val="en-US" w:eastAsia="zh-CN"/>
              </w:rPr>
            </w:pPr>
            <w:r>
              <w:rPr>
                <w:rFonts w:hint="eastAsia" w:asciiTheme="minorEastAsia" w:hAnsiTheme="minorEastAsia" w:eastAsiaTheme="minorEastAsia" w:cstheme="minorEastAsia"/>
                <w:caps/>
                <w:color w:val="auto"/>
                <w:sz w:val="18"/>
                <w:szCs w:val="18"/>
                <w:lang w:val="en-US" w:eastAsia="zh-CN"/>
              </w:rPr>
              <w:t>6</w:t>
            </w:r>
          </w:p>
        </w:tc>
        <w:tc>
          <w:tcPr>
            <w:tcW w:w="1309" w:type="dxa"/>
            <w:vAlign w:val="center"/>
          </w:tcPr>
          <w:p>
            <w:pPr>
              <w:ind w:left="180" w:leftChars="0" w:hanging="180" w:hangingChars="100"/>
              <w:jc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color w:val="auto"/>
                <w:sz w:val="18"/>
                <w:szCs w:val="18"/>
                <w:highlight w:val="none"/>
                <w:u w:val="none"/>
                <w:lang w:val="en-US" w:eastAsia="zh-CN"/>
              </w:rPr>
              <w:t>VR全景导览</w:t>
            </w:r>
          </w:p>
        </w:tc>
        <w:tc>
          <w:tcPr>
            <w:tcW w:w="818" w:type="dxa"/>
            <w:vAlign w:val="center"/>
          </w:tcPr>
          <w:p>
            <w:pPr>
              <w:ind w:left="180" w:leftChars="0" w:hanging="180" w:hangingChars="100"/>
              <w:jc w:val="center"/>
              <w:rPr>
                <w:rFonts w:hint="eastAsia" w:asciiTheme="minorEastAsia" w:hAnsiTheme="minorEastAsia" w:eastAsiaTheme="minorEastAsia" w:cstheme="minorEastAsia"/>
                <w:caps/>
                <w:color w:val="auto"/>
                <w:sz w:val="18"/>
                <w:szCs w:val="18"/>
                <w:lang w:val="en-US" w:eastAsia="zh-CN"/>
              </w:rPr>
            </w:pPr>
            <w:r>
              <w:rPr>
                <w:rFonts w:hint="eastAsia" w:asciiTheme="minorEastAsia" w:hAnsiTheme="minorEastAsia" w:eastAsiaTheme="minorEastAsia" w:cstheme="minorEastAsia"/>
                <w:caps/>
                <w:color w:val="auto"/>
                <w:sz w:val="18"/>
                <w:szCs w:val="18"/>
                <w:lang w:val="en-US" w:eastAsia="zh-CN"/>
              </w:rPr>
              <w:t>1台/年</w:t>
            </w:r>
          </w:p>
        </w:tc>
        <w:tc>
          <w:tcPr>
            <w:tcW w:w="3723" w:type="dxa"/>
            <w:vAlign w:val="center"/>
          </w:tcPr>
          <w:p>
            <w:pPr>
              <w:ind w:left="180" w:leftChars="0" w:hanging="180" w:hangingChars="100"/>
              <w:jc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 xml:space="preserve">数据盘通用型SSD 60G </w:t>
            </w:r>
          </w:p>
        </w:tc>
        <w:tc>
          <w:tcPr>
            <w:tcW w:w="1309" w:type="dxa"/>
            <w:vAlign w:val="center"/>
          </w:tcPr>
          <w:p>
            <w:pPr>
              <w:ind w:left="240" w:hanging="180" w:hangingChars="100"/>
              <w:jc w:val="center"/>
              <w:rPr>
                <w:rFonts w:hint="default"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360元</w:t>
            </w:r>
          </w:p>
        </w:tc>
        <w:tc>
          <w:tcPr>
            <w:tcW w:w="1171" w:type="dxa"/>
            <w:vAlign w:val="center"/>
          </w:tcPr>
          <w:p>
            <w:pPr>
              <w:ind w:left="240" w:hanging="180" w:hangingChars="100"/>
              <w:jc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11" w:type="dxa"/>
            <w:vAlign w:val="center"/>
          </w:tcPr>
          <w:p>
            <w:pPr>
              <w:jc w:val="center"/>
              <w:rPr>
                <w:rFonts w:hint="default" w:asciiTheme="minorEastAsia" w:hAnsiTheme="minorEastAsia" w:eastAsiaTheme="minorEastAsia" w:cstheme="minorEastAsia"/>
                <w:caps/>
                <w:color w:val="auto"/>
                <w:sz w:val="18"/>
                <w:szCs w:val="18"/>
                <w:lang w:val="en-US" w:eastAsia="zh-CN"/>
              </w:rPr>
            </w:pPr>
            <w:r>
              <w:rPr>
                <w:rFonts w:hint="eastAsia" w:asciiTheme="minorEastAsia" w:hAnsiTheme="minorEastAsia" w:eastAsiaTheme="minorEastAsia" w:cstheme="minorEastAsia"/>
                <w:caps/>
                <w:color w:val="auto"/>
                <w:sz w:val="18"/>
                <w:szCs w:val="18"/>
                <w:lang w:val="en-US" w:eastAsia="zh-CN"/>
              </w:rPr>
              <w:t>7</w:t>
            </w:r>
          </w:p>
        </w:tc>
        <w:tc>
          <w:tcPr>
            <w:tcW w:w="1309" w:type="dxa"/>
            <w:vAlign w:val="center"/>
          </w:tcPr>
          <w:p>
            <w:pPr>
              <w:ind w:left="180" w:leftChars="0" w:hanging="180" w:hangingChars="100"/>
              <w:jc w:val="center"/>
              <w:rPr>
                <w:rFonts w:hint="eastAsia" w:asciiTheme="minorEastAsia" w:hAnsiTheme="minorEastAsia" w:eastAsiaTheme="minorEastAsia" w:cstheme="minorEastAsia"/>
                <w:i w:val="0"/>
                <w:iCs w:val="0"/>
                <w:color w:val="auto"/>
                <w:sz w:val="18"/>
                <w:szCs w:val="18"/>
                <w:highlight w:val="none"/>
                <w:u w:val="none"/>
                <w:lang w:val="en-US" w:eastAsia="zh-CN"/>
              </w:rPr>
            </w:pPr>
            <w:r>
              <w:rPr>
                <w:rFonts w:hint="eastAsia" w:asciiTheme="minorEastAsia" w:hAnsiTheme="minorEastAsia" w:eastAsiaTheme="minorEastAsia" w:cstheme="minorEastAsia"/>
                <w:i w:val="0"/>
                <w:iCs w:val="0"/>
                <w:color w:val="auto"/>
                <w:sz w:val="18"/>
                <w:szCs w:val="18"/>
                <w:highlight w:val="none"/>
                <w:u w:val="none"/>
                <w:lang w:val="en-US" w:eastAsia="zh-CN"/>
              </w:rPr>
              <w:t>语音导览系统</w:t>
            </w:r>
          </w:p>
        </w:tc>
        <w:tc>
          <w:tcPr>
            <w:tcW w:w="818" w:type="dxa"/>
            <w:vAlign w:val="center"/>
          </w:tcPr>
          <w:p>
            <w:pPr>
              <w:ind w:left="180" w:leftChars="0" w:hanging="180" w:hangingChars="100"/>
              <w:jc w:val="center"/>
              <w:rPr>
                <w:rFonts w:hint="eastAsia" w:asciiTheme="minorEastAsia" w:hAnsiTheme="minorEastAsia" w:eastAsiaTheme="minorEastAsia" w:cstheme="minorEastAsia"/>
                <w:caps/>
                <w:color w:val="auto"/>
                <w:sz w:val="18"/>
                <w:szCs w:val="18"/>
                <w:lang w:val="en-US" w:eastAsia="zh-CN"/>
              </w:rPr>
            </w:pPr>
            <w:r>
              <w:rPr>
                <w:rFonts w:hint="eastAsia" w:asciiTheme="minorEastAsia" w:hAnsiTheme="minorEastAsia" w:eastAsiaTheme="minorEastAsia" w:cstheme="minorEastAsia"/>
                <w:caps/>
                <w:color w:val="auto"/>
                <w:sz w:val="18"/>
                <w:szCs w:val="18"/>
                <w:lang w:val="en-US" w:eastAsia="zh-CN"/>
              </w:rPr>
              <w:t>1台/年</w:t>
            </w:r>
          </w:p>
        </w:tc>
        <w:tc>
          <w:tcPr>
            <w:tcW w:w="3723" w:type="dxa"/>
            <w:vAlign w:val="center"/>
          </w:tcPr>
          <w:p>
            <w:pPr>
              <w:ind w:left="180" w:leftChars="0" w:hanging="180" w:hangingChars="100"/>
              <w:jc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color w:val="auto"/>
                <w:sz w:val="18"/>
                <w:szCs w:val="18"/>
                <w:highlight w:val="none"/>
                <w:u w:val="none"/>
                <w:lang w:val="en-US" w:eastAsia="zh-CN"/>
              </w:rPr>
              <w:t>数据盘通用型SSD 10G</w:t>
            </w:r>
          </w:p>
        </w:tc>
        <w:tc>
          <w:tcPr>
            <w:tcW w:w="1309" w:type="dxa"/>
            <w:vAlign w:val="center"/>
          </w:tcPr>
          <w:p>
            <w:pPr>
              <w:ind w:left="240" w:hanging="180" w:hangingChars="100"/>
              <w:jc w:val="center"/>
              <w:rPr>
                <w:rFonts w:hint="default"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60元</w:t>
            </w:r>
          </w:p>
        </w:tc>
        <w:tc>
          <w:tcPr>
            <w:tcW w:w="1171" w:type="dxa"/>
            <w:vAlign w:val="center"/>
          </w:tcPr>
          <w:p>
            <w:pPr>
              <w:ind w:left="240" w:hanging="180" w:hangingChars="100"/>
              <w:jc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11" w:type="dxa"/>
            <w:vAlign w:val="center"/>
          </w:tcPr>
          <w:p>
            <w:pPr>
              <w:jc w:val="center"/>
              <w:rPr>
                <w:rFonts w:hint="default" w:asciiTheme="minorEastAsia" w:hAnsiTheme="minorEastAsia" w:eastAsiaTheme="minorEastAsia" w:cstheme="minorEastAsia"/>
                <w:caps/>
                <w:color w:val="auto"/>
                <w:sz w:val="18"/>
                <w:szCs w:val="18"/>
                <w:lang w:val="en-US" w:eastAsia="zh-CN"/>
              </w:rPr>
            </w:pPr>
            <w:r>
              <w:rPr>
                <w:rFonts w:hint="eastAsia" w:asciiTheme="minorEastAsia" w:hAnsiTheme="minorEastAsia" w:eastAsiaTheme="minorEastAsia" w:cstheme="minorEastAsia"/>
                <w:caps/>
                <w:color w:val="auto"/>
                <w:sz w:val="18"/>
                <w:szCs w:val="18"/>
                <w:lang w:val="en-US" w:eastAsia="zh-CN"/>
              </w:rPr>
              <w:t>8</w:t>
            </w:r>
          </w:p>
        </w:tc>
        <w:tc>
          <w:tcPr>
            <w:tcW w:w="1309" w:type="dxa"/>
            <w:vAlign w:val="center"/>
          </w:tcPr>
          <w:p>
            <w:pPr>
              <w:ind w:left="240" w:hanging="180" w:hangingChars="100"/>
              <w:jc w:val="center"/>
              <w:rPr>
                <w:rFonts w:hint="eastAsia" w:asciiTheme="minorEastAsia" w:hAnsiTheme="minorEastAsia" w:eastAsiaTheme="minorEastAsia" w:cstheme="minorEastAsia"/>
                <w:i w:val="0"/>
                <w:iCs w:val="0"/>
                <w:color w:val="auto"/>
                <w:sz w:val="18"/>
                <w:szCs w:val="18"/>
                <w:highlight w:val="none"/>
                <w:u w:val="none"/>
                <w:lang w:val="en-US" w:eastAsia="zh-CN"/>
              </w:rPr>
            </w:pPr>
            <w:r>
              <w:rPr>
                <w:rFonts w:hint="eastAsia" w:asciiTheme="minorEastAsia" w:hAnsiTheme="minorEastAsia" w:eastAsiaTheme="minorEastAsia" w:cstheme="minorEastAsia"/>
                <w:i w:val="0"/>
                <w:iCs w:val="0"/>
                <w:color w:val="auto"/>
                <w:sz w:val="18"/>
                <w:szCs w:val="18"/>
                <w:highlight w:val="none"/>
                <w:u w:val="none"/>
                <w:lang w:val="en-US" w:eastAsia="zh-CN"/>
              </w:rPr>
              <w:t>百物展云</w:t>
            </w:r>
          </w:p>
          <w:p>
            <w:pPr>
              <w:ind w:left="180" w:leftChars="0" w:hanging="180" w:hangingChars="100"/>
              <w:jc w:val="center"/>
              <w:rPr>
                <w:rFonts w:hint="eastAsia" w:asciiTheme="minorEastAsia" w:hAnsiTheme="minorEastAsia" w:eastAsiaTheme="minorEastAsia" w:cstheme="minorEastAsia"/>
                <w:i w:val="0"/>
                <w:iCs w:val="0"/>
                <w:color w:val="auto"/>
                <w:sz w:val="18"/>
                <w:szCs w:val="18"/>
                <w:highlight w:val="none"/>
                <w:u w:val="none"/>
                <w:lang w:val="en-US" w:eastAsia="zh-CN"/>
              </w:rPr>
            </w:pPr>
            <w:r>
              <w:rPr>
                <w:rFonts w:hint="eastAsia" w:asciiTheme="minorEastAsia" w:hAnsiTheme="minorEastAsia" w:eastAsiaTheme="minorEastAsia" w:cstheme="minorEastAsia"/>
                <w:i w:val="0"/>
                <w:iCs w:val="0"/>
                <w:color w:val="auto"/>
                <w:sz w:val="18"/>
                <w:szCs w:val="18"/>
                <w:highlight w:val="none"/>
                <w:u w:val="none"/>
                <w:lang w:val="en-US" w:eastAsia="zh-CN"/>
              </w:rPr>
              <w:t>服务系统</w:t>
            </w:r>
          </w:p>
        </w:tc>
        <w:tc>
          <w:tcPr>
            <w:tcW w:w="818" w:type="dxa"/>
            <w:vAlign w:val="center"/>
          </w:tcPr>
          <w:p>
            <w:pPr>
              <w:ind w:left="180" w:leftChars="0" w:hanging="180" w:hangingChars="100"/>
              <w:jc w:val="center"/>
              <w:rPr>
                <w:rFonts w:hint="eastAsia" w:asciiTheme="minorEastAsia" w:hAnsiTheme="minorEastAsia" w:eastAsiaTheme="minorEastAsia" w:cstheme="minorEastAsia"/>
                <w:caps/>
                <w:color w:val="auto"/>
                <w:sz w:val="18"/>
                <w:szCs w:val="18"/>
                <w:lang w:val="en-US" w:eastAsia="zh-CN"/>
              </w:rPr>
            </w:pPr>
            <w:r>
              <w:rPr>
                <w:rFonts w:hint="eastAsia" w:asciiTheme="minorEastAsia" w:hAnsiTheme="minorEastAsia" w:eastAsiaTheme="minorEastAsia" w:cstheme="minorEastAsia"/>
                <w:caps/>
                <w:color w:val="auto"/>
                <w:sz w:val="18"/>
                <w:szCs w:val="18"/>
                <w:lang w:val="en-US" w:eastAsia="zh-CN"/>
              </w:rPr>
              <w:t>1台/年</w:t>
            </w:r>
          </w:p>
        </w:tc>
        <w:tc>
          <w:tcPr>
            <w:tcW w:w="3723" w:type="dxa"/>
            <w:vAlign w:val="center"/>
          </w:tcPr>
          <w:p>
            <w:pPr>
              <w:ind w:left="180" w:leftChars="0" w:hanging="180" w:hangingChars="100"/>
              <w:jc w:val="center"/>
              <w:rPr>
                <w:rFonts w:hint="eastAsia" w:asciiTheme="minorEastAsia" w:hAnsiTheme="minorEastAsia" w:eastAsiaTheme="minorEastAsia" w:cstheme="minorEastAsia"/>
                <w:i w:val="0"/>
                <w:iCs w:val="0"/>
                <w:color w:val="auto"/>
                <w:sz w:val="18"/>
                <w:szCs w:val="18"/>
                <w:highlight w:val="none"/>
                <w:u w:val="none"/>
                <w:lang w:val="en-US" w:eastAsia="zh-CN"/>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8核、32G、系统盘通用型SSD 50G 数据盘通用型SSD 150G、独享10Mb、操作系统</w:t>
            </w:r>
          </w:p>
        </w:tc>
        <w:tc>
          <w:tcPr>
            <w:tcW w:w="1309" w:type="dxa"/>
            <w:vAlign w:val="center"/>
          </w:tcPr>
          <w:p>
            <w:pPr>
              <w:ind w:left="240" w:hanging="180" w:hangingChars="100"/>
              <w:jc w:val="center"/>
              <w:rPr>
                <w:rFonts w:hint="default"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13957.12元</w:t>
            </w:r>
          </w:p>
        </w:tc>
        <w:tc>
          <w:tcPr>
            <w:tcW w:w="1171" w:type="dxa"/>
            <w:vAlign w:val="center"/>
          </w:tcPr>
          <w:p>
            <w:pPr>
              <w:ind w:left="240" w:hanging="180" w:hangingChars="100"/>
              <w:jc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411" w:type="dxa"/>
            <w:vAlign w:val="center"/>
          </w:tcPr>
          <w:p>
            <w:pPr>
              <w:jc w:val="center"/>
              <w:rPr>
                <w:rFonts w:hint="eastAsia" w:asciiTheme="minorEastAsia" w:hAnsiTheme="minorEastAsia" w:eastAsiaTheme="minorEastAsia" w:cstheme="minorEastAsia"/>
                <w:caps/>
                <w:color w:val="auto"/>
                <w:sz w:val="18"/>
                <w:szCs w:val="18"/>
                <w:lang w:eastAsia="zh-CN"/>
              </w:rPr>
            </w:pPr>
            <w:r>
              <w:rPr>
                <w:rFonts w:hint="eastAsia" w:asciiTheme="minorEastAsia" w:hAnsiTheme="minorEastAsia" w:eastAsiaTheme="minorEastAsia" w:cstheme="minorEastAsia"/>
                <w:caps/>
                <w:color w:val="auto"/>
                <w:sz w:val="18"/>
                <w:szCs w:val="18"/>
                <w:lang w:val="en-US" w:eastAsia="zh-CN"/>
              </w:rPr>
              <w:t>9</w:t>
            </w:r>
          </w:p>
        </w:tc>
        <w:tc>
          <w:tcPr>
            <w:tcW w:w="1309" w:type="dxa"/>
            <w:vAlign w:val="center"/>
          </w:tcPr>
          <w:p>
            <w:pPr>
              <w:ind w:left="240" w:hanging="180" w:hangingChars="100"/>
              <w:jc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访问域名</w:t>
            </w:r>
          </w:p>
        </w:tc>
        <w:tc>
          <w:tcPr>
            <w:tcW w:w="818" w:type="dxa"/>
            <w:vAlign w:val="center"/>
          </w:tcPr>
          <w:p>
            <w:pPr>
              <w:ind w:left="240" w:hanging="180" w:hangingChars="100"/>
              <w:jc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1个/年</w:t>
            </w:r>
          </w:p>
        </w:tc>
        <w:tc>
          <w:tcPr>
            <w:tcW w:w="3723" w:type="dxa"/>
            <w:vAlign w:val="center"/>
          </w:tcPr>
          <w:p>
            <w:pPr>
              <w:ind w:left="240" w:hanging="180" w:hangingChars="100"/>
              <w:jc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访问域名，完成空间备案。</w:t>
            </w:r>
          </w:p>
        </w:tc>
        <w:tc>
          <w:tcPr>
            <w:tcW w:w="1309" w:type="dxa"/>
            <w:vAlign w:val="center"/>
          </w:tcPr>
          <w:p>
            <w:pPr>
              <w:ind w:left="240" w:hanging="180" w:hangingChars="100"/>
              <w:jc w:val="center"/>
              <w:rPr>
                <w:rFonts w:hint="default"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62元</w:t>
            </w:r>
          </w:p>
        </w:tc>
        <w:tc>
          <w:tcPr>
            <w:tcW w:w="1171" w:type="dxa"/>
            <w:vAlign w:val="center"/>
          </w:tcPr>
          <w:p>
            <w:pPr>
              <w:ind w:left="240" w:hanging="180" w:hangingChars="100"/>
              <w:jc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411" w:type="dxa"/>
            <w:vAlign w:val="center"/>
          </w:tcPr>
          <w:p>
            <w:pPr>
              <w:jc w:val="center"/>
              <w:rPr>
                <w:rFonts w:hint="default" w:asciiTheme="minorEastAsia" w:hAnsiTheme="minorEastAsia" w:eastAsiaTheme="minorEastAsia" w:cstheme="minorEastAsia"/>
                <w:caps/>
                <w:color w:val="auto"/>
                <w:sz w:val="18"/>
                <w:szCs w:val="18"/>
                <w:lang w:val="en-US" w:eastAsia="zh-CN"/>
              </w:rPr>
            </w:pPr>
            <w:r>
              <w:rPr>
                <w:rFonts w:hint="eastAsia" w:asciiTheme="minorEastAsia" w:hAnsiTheme="minorEastAsia" w:eastAsiaTheme="minorEastAsia" w:cstheme="minorEastAsia"/>
                <w:caps/>
                <w:color w:val="auto"/>
                <w:sz w:val="18"/>
                <w:szCs w:val="18"/>
                <w:lang w:val="en-US" w:eastAsia="zh-CN"/>
              </w:rPr>
              <w:t>10</w:t>
            </w:r>
          </w:p>
        </w:tc>
        <w:tc>
          <w:tcPr>
            <w:tcW w:w="1309" w:type="dxa"/>
            <w:vAlign w:val="center"/>
          </w:tcPr>
          <w:p>
            <w:pPr>
              <w:ind w:left="240" w:hanging="180" w:hangingChars="100"/>
              <w:jc w:val="center"/>
              <w:rPr>
                <w:rFonts w:hint="default"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互联网ip</w:t>
            </w:r>
          </w:p>
        </w:tc>
        <w:tc>
          <w:tcPr>
            <w:tcW w:w="818" w:type="dxa"/>
            <w:vAlign w:val="center"/>
          </w:tcPr>
          <w:p>
            <w:pPr>
              <w:ind w:left="240" w:hanging="180" w:hangingChars="100"/>
              <w:jc w:val="center"/>
              <w:rPr>
                <w:rFonts w:hint="default"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2个/年</w:t>
            </w:r>
          </w:p>
        </w:tc>
        <w:tc>
          <w:tcPr>
            <w:tcW w:w="3723" w:type="dxa"/>
            <w:vAlign w:val="center"/>
          </w:tcPr>
          <w:p>
            <w:pPr>
              <w:ind w:left="240" w:hanging="180" w:hangingChars="100"/>
              <w:jc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w:t>
            </w:r>
          </w:p>
        </w:tc>
        <w:tc>
          <w:tcPr>
            <w:tcW w:w="1309" w:type="dxa"/>
            <w:vAlign w:val="center"/>
          </w:tcPr>
          <w:p>
            <w:pPr>
              <w:ind w:left="240" w:hanging="180" w:hangingChars="100"/>
              <w:jc w:val="center"/>
              <w:rPr>
                <w:rFonts w:hint="default"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640元</w:t>
            </w:r>
          </w:p>
        </w:tc>
        <w:tc>
          <w:tcPr>
            <w:tcW w:w="1171" w:type="dxa"/>
            <w:vAlign w:val="center"/>
          </w:tcPr>
          <w:p>
            <w:pPr>
              <w:ind w:left="240" w:hanging="180" w:hangingChars="100"/>
              <w:jc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411" w:type="dxa"/>
            <w:vAlign w:val="center"/>
          </w:tcPr>
          <w:p>
            <w:pPr>
              <w:jc w:val="center"/>
              <w:rPr>
                <w:rFonts w:hint="default" w:asciiTheme="minorEastAsia" w:hAnsiTheme="minorEastAsia" w:eastAsiaTheme="minorEastAsia" w:cstheme="minorEastAsia"/>
                <w:caps/>
                <w:color w:val="auto"/>
                <w:sz w:val="18"/>
                <w:szCs w:val="18"/>
                <w:lang w:val="en-US" w:eastAsia="zh-CN"/>
              </w:rPr>
            </w:pPr>
            <w:r>
              <w:rPr>
                <w:rFonts w:hint="eastAsia" w:asciiTheme="minorEastAsia" w:hAnsiTheme="minorEastAsia" w:eastAsiaTheme="minorEastAsia" w:cstheme="minorEastAsia"/>
                <w:caps/>
                <w:color w:val="auto"/>
                <w:sz w:val="18"/>
                <w:szCs w:val="18"/>
                <w:lang w:val="en-US" w:eastAsia="zh-CN"/>
              </w:rPr>
              <w:t>11</w:t>
            </w:r>
          </w:p>
        </w:tc>
        <w:tc>
          <w:tcPr>
            <w:tcW w:w="1309" w:type="dxa"/>
            <w:vAlign w:val="center"/>
          </w:tcPr>
          <w:p>
            <w:pPr>
              <w:ind w:left="240" w:hanging="180" w:hangingChars="100"/>
              <w:jc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证书</w:t>
            </w:r>
          </w:p>
        </w:tc>
        <w:tc>
          <w:tcPr>
            <w:tcW w:w="818" w:type="dxa"/>
            <w:vAlign w:val="center"/>
          </w:tcPr>
          <w:p>
            <w:pPr>
              <w:ind w:left="240" w:hanging="180" w:hangingChars="100"/>
              <w:jc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1个/年</w:t>
            </w:r>
          </w:p>
        </w:tc>
        <w:tc>
          <w:tcPr>
            <w:tcW w:w="3723" w:type="dxa"/>
            <w:vAlign w:val="center"/>
          </w:tcPr>
          <w:p>
            <w:pPr>
              <w:ind w:left="240" w:hanging="180" w:hangingChars="100"/>
              <w:jc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w:t>
            </w:r>
          </w:p>
        </w:tc>
        <w:tc>
          <w:tcPr>
            <w:tcW w:w="1309" w:type="dxa"/>
            <w:vAlign w:val="center"/>
          </w:tcPr>
          <w:p>
            <w:pPr>
              <w:ind w:left="240" w:hanging="180" w:hangingChars="100"/>
              <w:jc w:val="center"/>
              <w:rPr>
                <w:rFonts w:hint="default"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1660元</w:t>
            </w:r>
          </w:p>
        </w:tc>
        <w:tc>
          <w:tcPr>
            <w:tcW w:w="1171" w:type="dxa"/>
            <w:vAlign w:val="center"/>
          </w:tcPr>
          <w:p>
            <w:pPr>
              <w:ind w:left="240" w:hanging="180" w:hangingChars="100"/>
              <w:jc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11" w:type="dxa"/>
            <w:vAlign w:val="center"/>
          </w:tcPr>
          <w:p>
            <w:pPr>
              <w:jc w:val="center"/>
              <w:rPr>
                <w:rFonts w:hint="default" w:asciiTheme="minorEastAsia" w:hAnsiTheme="minorEastAsia" w:eastAsiaTheme="minorEastAsia" w:cstheme="minorEastAsia"/>
                <w:caps/>
                <w:color w:val="auto"/>
                <w:sz w:val="18"/>
                <w:szCs w:val="18"/>
                <w:lang w:val="en-US" w:eastAsia="zh-CN"/>
              </w:rPr>
            </w:pPr>
            <w:r>
              <w:rPr>
                <w:rFonts w:hint="eastAsia" w:asciiTheme="minorEastAsia" w:hAnsiTheme="minorEastAsia" w:eastAsiaTheme="minorEastAsia" w:cstheme="minorEastAsia"/>
                <w:caps/>
                <w:color w:val="auto"/>
                <w:sz w:val="18"/>
                <w:szCs w:val="18"/>
                <w:lang w:val="en-US" w:eastAsia="zh-CN"/>
              </w:rPr>
              <w:t>12</w:t>
            </w:r>
          </w:p>
        </w:tc>
        <w:tc>
          <w:tcPr>
            <w:tcW w:w="1309" w:type="dxa"/>
            <w:vAlign w:val="center"/>
          </w:tcPr>
          <w:p>
            <w:pPr>
              <w:ind w:left="180" w:leftChars="0" w:hanging="180" w:hangingChars="100"/>
              <w:jc w:val="center"/>
              <w:rPr>
                <w:rFonts w:hint="default"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网络安全防护</w:t>
            </w:r>
          </w:p>
        </w:tc>
        <w:tc>
          <w:tcPr>
            <w:tcW w:w="818" w:type="dxa"/>
            <w:vAlign w:val="center"/>
          </w:tcPr>
          <w:p>
            <w:pPr>
              <w:ind w:left="180" w:leftChars="0" w:hanging="180" w:hangingChars="100"/>
              <w:jc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1项/年</w:t>
            </w:r>
          </w:p>
        </w:tc>
        <w:tc>
          <w:tcPr>
            <w:tcW w:w="3723" w:type="dxa"/>
            <w:vAlign w:val="center"/>
          </w:tcPr>
          <w:p>
            <w:pPr>
              <w:ind w:left="180" w:leftChars="0" w:hanging="180" w:hangingChars="100"/>
              <w:jc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堡垒机、网络防火墙、入侵检测、入侵防御。</w:t>
            </w:r>
          </w:p>
        </w:tc>
        <w:tc>
          <w:tcPr>
            <w:tcW w:w="1309" w:type="dxa"/>
            <w:vAlign w:val="center"/>
          </w:tcPr>
          <w:p>
            <w:pPr>
              <w:ind w:left="240" w:hanging="180" w:hangingChars="100"/>
              <w:jc w:val="center"/>
              <w:rPr>
                <w:rFonts w:hint="default"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96100元</w:t>
            </w:r>
          </w:p>
        </w:tc>
        <w:tc>
          <w:tcPr>
            <w:tcW w:w="1171" w:type="dxa"/>
            <w:vAlign w:val="center"/>
          </w:tcPr>
          <w:p>
            <w:pPr>
              <w:ind w:left="240" w:hanging="180" w:hangingChars="100"/>
              <w:jc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261" w:type="dxa"/>
            <w:gridSpan w:val="4"/>
            <w:vAlign w:val="center"/>
          </w:tcPr>
          <w:p>
            <w:pPr>
              <w:ind w:left="240" w:hanging="180" w:hangingChars="100"/>
              <w:jc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总计</w:t>
            </w:r>
          </w:p>
        </w:tc>
        <w:tc>
          <w:tcPr>
            <w:tcW w:w="1309" w:type="dxa"/>
            <w:vAlign w:val="center"/>
          </w:tcPr>
          <w:p>
            <w:pPr>
              <w:ind w:left="240" w:hanging="180" w:hangingChars="100"/>
              <w:jc w:val="center"/>
              <w:rPr>
                <w:rFonts w:hint="default"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198212.4元</w:t>
            </w:r>
          </w:p>
        </w:tc>
        <w:tc>
          <w:tcPr>
            <w:tcW w:w="1171" w:type="dxa"/>
            <w:vAlign w:val="center"/>
          </w:tcPr>
          <w:p>
            <w:pPr>
              <w:ind w:left="240" w:hanging="180" w:hangingChars="100"/>
              <w:jc w:val="center"/>
              <w:rPr>
                <w:rFonts w:hint="default" w:asciiTheme="minorEastAsia" w:hAnsiTheme="minorEastAsia" w:eastAsiaTheme="minorEastAsia" w:cstheme="minorEastAsia"/>
                <w:i w:val="0"/>
                <w:iCs w:val="0"/>
                <w:snapToGrid w:val="0"/>
                <w:color w:val="auto"/>
                <w:kern w:val="0"/>
                <w:sz w:val="18"/>
                <w:szCs w:val="18"/>
                <w:u w:val="none"/>
                <w:lang w:val="en-US" w:eastAsia="zh-CN" w:bidi="ar"/>
              </w:rPr>
            </w:pPr>
          </w:p>
        </w:tc>
      </w:tr>
    </w:tbl>
    <w:p>
      <w:pPr>
        <w:spacing w:line="240" w:lineRule="atLeast"/>
        <w:rPr>
          <w:rFonts w:ascii="Times New Roman" w:hAnsi="Times New Roman" w:cs="Times New Roman"/>
          <w:color w:val="auto"/>
          <w:sz w:val="24"/>
          <w:szCs w:val="24"/>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rPr>
      </w:pPr>
    </w:p>
    <w:p>
      <w:pPr>
        <w:pStyle w:val="19"/>
        <w:spacing w:line="500" w:lineRule="exact"/>
        <w:rPr>
          <w:color w:val="auto"/>
          <w:sz w:val="24"/>
        </w:rPr>
      </w:pPr>
      <w:r>
        <w:rPr>
          <w:rFonts w:ascii="Times New Roman" w:hAnsi="Times New Roman" w:cs="Times New Roman"/>
          <w:color w:val="auto"/>
          <w:sz w:val="24"/>
          <w:szCs w:val="24"/>
        </w:rPr>
        <w:t>授权代表（签字）:</w:t>
      </w:r>
    </w:p>
    <w:p>
      <w:pPr>
        <w:spacing w:line="480" w:lineRule="auto"/>
        <w:rPr>
          <w:rFonts w:ascii="Times New Roman" w:hAnsi="Times New Roman" w:eastAsia="仿宋_GB2312" w:cs="Times New Roman"/>
          <w:color w:val="auto"/>
        </w:rPr>
      </w:pPr>
      <w:r>
        <w:rPr>
          <w:color w:val="auto"/>
          <w:sz w:val="24"/>
        </w:rPr>
        <w:t>时间：</w:t>
      </w:r>
    </w:p>
    <w:p>
      <w:pPr>
        <w:spacing w:line="480" w:lineRule="auto"/>
        <w:jc w:val="center"/>
        <w:rPr>
          <w:rFonts w:eastAsia="仿宋_GB2312"/>
          <w:color w:val="auto"/>
        </w:rPr>
      </w:pPr>
    </w:p>
    <w:p>
      <w:pPr>
        <w:pStyle w:val="19"/>
        <w:spacing w:line="440" w:lineRule="exact"/>
        <w:ind w:firstLine="840"/>
        <w:rPr>
          <w:bCs/>
          <w:color w:val="auto"/>
          <w:sz w:val="24"/>
        </w:rPr>
      </w:pPr>
      <w:r>
        <w:rPr>
          <w:bCs/>
          <w:color w:val="auto"/>
          <w:sz w:val="24"/>
        </w:rPr>
        <w:br w:type="page"/>
      </w:r>
      <w:r>
        <w:rPr>
          <w:bCs/>
          <w:color w:val="auto"/>
          <w:sz w:val="24"/>
        </w:rPr>
        <w:t>附件3</w:t>
      </w:r>
    </w:p>
    <w:p>
      <w:pPr>
        <w:jc w:val="center"/>
        <w:rPr>
          <w:rFonts w:eastAsia="宋体"/>
          <w:color w:val="auto"/>
          <w:sz w:val="32"/>
          <w:szCs w:val="32"/>
        </w:rPr>
      </w:pPr>
      <w:r>
        <w:rPr>
          <w:rFonts w:hint="eastAsia" w:eastAsia="宋体"/>
          <w:color w:val="auto"/>
          <w:sz w:val="32"/>
          <w:szCs w:val="32"/>
        </w:rPr>
        <w:t>货物（</w:t>
      </w:r>
      <w:r>
        <w:rPr>
          <w:rFonts w:eastAsia="宋体"/>
          <w:color w:val="auto"/>
          <w:sz w:val="32"/>
          <w:szCs w:val="32"/>
        </w:rPr>
        <w:t>服务</w:t>
      </w:r>
      <w:r>
        <w:rPr>
          <w:rFonts w:hint="eastAsia" w:eastAsia="宋体"/>
          <w:color w:val="auto"/>
          <w:sz w:val="32"/>
          <w:szCs w:val="32"/>
        </w:rPr>
        <w:t>）</w:t>
      </w:r>
      <w:r>
        <w:rPr>
          <w:rFonts w:eastAsia="宋体"/>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28"/>
        <w:tblW w:w="837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04"/>
        <w:gridCol w:w="2115"/>
        <w:gridCol w:w="1508"/>
        <w:gridCol w:w="1509"/>
        <w:gridCol w:w="1645"/>
        <w:gridCol w:w="109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8" w:hRule="atLeast"/>
          <w:jc w:val="center"/>
        </w:trPr>
        <w:tc>
          <w:tcPr>
            <w:tcW w:w="504" w:type="dxa"/>
            <w:vAlign w:val="center"/>
          </w:tcPr>
          <w:p>
            <w:pPr>
              <w:adjustRightInd w:val="0"/>
              <w:snapToGrid w:val="0"/>
              <w:ind w:left="-118" w:leftChars="-42"/>
              <w:jc w:val="center"/>
              <w:rPr>
                <w:color w:val="auto"/>
                <w:sz w:val="24"/>
              </w:rPr>
            </w:pPr>
            <w:r>
              <w:rPr>
                <w:color w:val="auto"/>
                <w:sz w:val="24"/>
              </w:rPr>
              <w:t>序号</w:t>
            </w:r>
          </w:p>
        </w:tc>
        <w:tc>
          <w:tcPr>
            <w:tcW w:w="2115"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08"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09"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645" w:type="dxa"/>
            <w:vAlign w:val="center"/>
          </w:tcPr>
          <w:p>
            <w:pPr>
              <w:adjustRightInd w:val="0"/>
              <w:snapToGrid w:val="0"/>
              <w:jc w:val="center"/>
              <w:rPr>
                <w:color w:val="auto"/>
                <w:sz w:val="24"/>
              </w:rPr>
            </w:pPr>
            <w:r>
              <w:rPr>
                <w:color w:val="auto"/>
                <w:sz w:val="24"/>
              </w:rPr>
              <w:t>规格型号</w:t>
            </w:r>
          </w:p>
        </w:tc>
        <w:tc>
          <w:tcPr>
            <w:tcW w:w="1097"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504" w:type="dxa"/>
            <w:vAlign w:val="center"/>
          </w:tcPr>
          <w:p>
            <w:pPr>
              <w:adjustRightInd w:val="0"/>
              <w:snapToGrid w:val="0"/>
              <w:ind w:left="-118" w:leftChars="-42"/>
              <w:jc w:val="center"/>
              <w:rPr>
                <w:color w:val="auto"/>
                <w:sz w:val="24"/>
              </w:rPr>
            </w:pPr>
            <w:r>
              <w:rPr>
                <w:color w:val="auto"/>
                <w:sz w:val="24"/>
              </w:rPr>
              <w:t>1</w:t>
            </w:r>
          </w:p>
        </w:tc>
        <w:tc>
          <w:tcPr>
            <w:tcW w:w="2115" w:type="dxa"/>
            <w:vAlign w:val="center"/>
          </w:tcPr>
          <w:p>
            <w:pPr>
              <w:adjustRightInd w:val="0"/>
              <w:snapToGrid w:val="0"/>
              <w:ind w:left="-118" w:leftChars="-42"/>
              <w:jc w:val="center"/>
              <w:rPr>
                <w:color w:val="auto"/>
                <w:sz w:val="24"/>
              </w:rPr>
            </w:pPr>
          </w:p>
        </w:tc>
        <w:tc>
          <w:tcPr>
            <w:tcW w:w="1508" w:type="dxa"/>
            <w:tcBorders>
              <w:right w:val="single" w:color="auto" w:sz="4" w:space="0"/>
            </w:tcBorders>
            <w:vAlign w:val="center"/>
          </w:tcPr>
          <w:p>
            <w:pPr>
              <w:adjustRightInd w:val="0"/>
              <w:snapToGrid w:val="0"/>
              <w:jc w:val="center"/>
              <w:rPr>
                <w:color w:val="auto"/>
                <w:sz w:val="24"/>
              </w:rPr>
            </w:pPr>
          </w:p>
        </w:tc>
        <w:tc>
          <w:tcPr>
            <w:tcW w:w="1509" w:type="dxa"/>
            <w:tcBorders>
              <w:left w:val="single" w:color="auto" w:sz="4" w:space="0"/>
            </w:tcBorders>
            <w:vAlign w:val="center"/>
          </w:tcPr>
          <w:p>
            <w:pPr>
              <w:adjustRightInd w:val="0"/>
              <w:snapToGrid w:val="0"/>
              <w:jc w:val="center"/>
              <w:rPr>
                <w:color w:val="auto"/>
                <w:sz w:val="24"/>
              </w:rPr>
            </w:pPr>
          </w:p>
        </w:tc>
        <w:tc>
          <w:tcPr>
            <w:tcW w:w="1645" w:type="dxa"/>
            <w:vAlign w:val="center"/>
          </w:tcPr>
          <w:p>
            <w:pPr>
              <w:adjustRightInd w:val="0"/>
              <w:snapToGrid w:val="0"/>
              <w:jc w:val="center"/>
              <w:rPr>
                <w:color w:val="auto"/>
                <w:sz w:val="24"/>
              </w:rPr>
            </w:pPr>
          </w:p>
        </w:tc>
        <w:tc>
          <w:tcPr>
            <w:tcW w:w="1097"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504" w:type="dxa"/>
            <w:vAlign w:val="center"/>
          </w:tcPr>
          <w:p>
            <w:pPr>
              <w:adjustRightInd w:val="0"/>
              <w:snapToGrid w:val="0"/>
              <w:ind w:left="-118" w:leftChars="-42"/>
              <w:jc w:val="center"/>
              <w:rPr>
                <w:color w:val="auto"/>
                <w:sz w:val="24"/>
              </w:rPr>
            </w:pPr>
            <w:r>
              <w:rPr>
                <w:color w:val="auto"/>
                <w:sz w:val="24"/>
              </w:rPr>
              <w:t>2</w:t>
            </w:r>
          </w:p>
        </w:tc>
        <w:tc>
          <w:tcPr>
            <w:tcW w:w="2115" w:type="dxa"/>
            <w:vAlign w:val="center"/>
          </w:tcPr>
          <w:p>
            <w:pPr>
              <w:adjustRightInd w:val="0"/>
              <w:snapToGrid w:val="0"/>
              <w:ind w:left="-118" w:leftChars="-42"/>
              <w:jc w:val="center"/>
              <w:rPr>
                <w:color w:val="auto"/>
                <w:sz w:val="24"/>
              </w:rPr>
            </w:pPr>
          </w:p>
        </w:tc>
        <w:tc>
          <w:tcPr>
            <w:tcW w:w="1508" w:type="dxa"/>
            <w:tcBorders>
              <w:right w:val="single" w:color="auto" w:sz="4" w:space="0"/>
            </w:tcBorders>
            <w:vAlign w:val="center"/>
          </w:tcPr>
          <w:p>
            <w:pPr>
              <w:adjustRightInd w:val="0"/>
              <w:snapToGrid w:val="0"/>
              <w:jc w:val="center"/>
              <w:rPr>
                <w:color w:val="auto"/>
                <w:sz w:val="24"/>
              </w:rPr>
            </w:pPr>
          </w:p>
        </w:tc>
        <w:tc>
          <w:tcPr>
            <w:tcW w:w="1509" w:type="dxa"/>
            <w:tcBorders>
              <w:left w:val="single" w:color="auto" w:sz="4" w:space="0"/>
            </w:tcBorders>
            <w:vAlign w:val="center"/>
          </w:tcPr>
          <w:p>
            <w:pPr>
              <w:adjustRightInd w:val="0"/>
              <w:snapToGrid w:val="0"/>
              <w:jc w:val="center"/>
              <w:rPr>
                <w:color w:val="auto"/>
                <w:sz w:val="24"/>
              </w:rPr>
            </w:pPr>
          </w:p>
        </w:tc>
        <w:tc>
          <w:tcPr>
            <w:tcW w:w="1645" w:type="dxa"/>
            <w:vAlign w:val="center"/>
          </w:tcPr>
          <w:p>
            <w:pPr>
              <w:adjustRightInd w:val="0"/>
              <w:snapToGrid w:val="0"/>
              <w:jc w:val="center"/>
              <w:rPr>
                <w:color w:val="auto"/>
                <w:sz w:val="24"/>
              </w:rPr>
            </w:pPr>
          </w:p>
        </w:tc>
        <w:tc>
          <w:tcPr>
            <w:tcW w:w="1097"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504" w:type="dxa"/>
            <w:vAlign w:val="center"/>
          </w:tcPr>
          <w:p>
            <w:pPr>
              <w:adjustRightInd w:val="0"/>
              <w:snapToGrid w:val="0"/>
              <w:ind w:left="-118" w:leftChars="-42"/>
              <w:jc w:val="center"/>
              <w:rPr>
                <w:color w:val="auto"/>
                <w:sz w:val="24"/>
              </w:rPr>
            </w:pPr>
            <w:r>
              <w:rPr>
                <w:color w:val="auto"/>
                <w:sz w:val="24"/>
              </w:rPr>
              <w:t>3</w:t>
            </w:r>
          </w:p>
        </w:tc>
        <w:tc>
          <w:tcPr>
            <w:tcW w:w="2115" w:type="dxa"/>
            <w:vAlign w:val="center"/>
          </w:tcPr>
          <w:p>
            <w:pPr>
              <w:adjustRightInd w:val="0"/>
              <w:snapToGrid w:val="0"/>
              <w:ind w:left="-118" w:leftChars="-42"/>
              <w:jc w:val="center"/>
              <w:rPr>
                <w:color w:val="auto"/>
                <w:sz w:val="24"/>
              </w:rPr>
            </w:pPr>
          </w:p>
        </w:tc>
        <w:tc>
          <w:tcPr>
            <w:tcW w:w="1508" w:type="dxa"/>
            <w:tcBorders>
              <w:right w:val="single" w:color="auto" w:sz="4" w:space="0"/>
            </w:tcBorders>
            <w:vAlign w:val="center"/>
          </w:tcPr>
          <w:p>
            <w:pPr>
              <w:adjustRightInd w:val="0"/>
              <w:snapToGrid w:val="0"/>
              <w:jc w:val="center"/>
              <w:rPr>
                <w:color w:val="auto"/>
                <w:sz w:val="24"/>
              </w:rPr>
            </w:pPr>
          </w:p>
        </w:tc>
        <w:tc>
          <w:tcPr>
            <w:tcW w:w="1509" w:type="dxa"/>
            <w:tcBorders>
              <w:left w:val="single" w:color="auto" w:sz="4" w:space="0"/>
            </w:tcBorders>
            <w:vAlign w:val="center"/>
          </w:tcPr>
          <w:p>
            <w:pPr>
              <w:adjustRightInd w:val="0"/>
              <w:snapToGrid w:val="0"/>
              <w:jc w:val="center"/>
              <w:rPr>
                <w:color w:val="auto"/>
                <w:sz w:val="24"/>
              </w:rPr>
            </w:pPr>
          </w:p>
        </w:tc>
        <w:tc>
          <w:tcPr>
            <w:tcW w:w="1645" w:type="dxa"/>
            <w:vAlign w:val="center"/>
          </w:tcPr>
          <w:p>
            <w:pPr>
              <w:adjustRightInd w:val="0"/>
              <w:snapToGrid w:val="0"/>
              <w:jc w:val="center"/>
              <w:rPr>
                <w:color w:val="auto"/>
                <w:sz w:val="24"/>
              </w:rPr>
            </w:pPr>
          </w:p>
        </w:tc>
        <w:tc>
          <w:tcPr>
            <w:tcW w:w="1097"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504" w:type="dxa"/>
            <w:vAlign w:val="center"/>
          </w:tcPr>
          <w:p>
            <w:pPr>
              <w:adjustRightInd w:val="0"/>
              <w:snapToGrid w:val="0"/>
              <w:ind w:left="-118" w:leftChars="-42"/>
              <w:jc w:val="center"/>
              <w:rPr>
                <w:color w:val="auto"/>
                <w:sz w:val="24"/>
              </w:rPr>
            </w:pPr>
            <w:r>
              <w:rPr>
                <w:color w:val="auto"/>
                <w:sz w:val="24"/>
              </w:rPr>
              <w:t>4</w:t>
            </w:r>
          </w:p>
        </w:tc>
        <w:tc>
          <w:tcPr>
            <w:tcW w:w="2115" w:type="dxa"/>
            <w:vAlign w:val="center"/>
          </w:tcPr>
          <w:p>
            <w:pPr>
              <w:adjustRightInd w:val="0"/>
              <w:snapToGrid w:val="0"/>
              <w:ind w:left="-118" w:leftChars="-42"/>
              <w:jc w:val="center"/>
              <w:rPr>
                <w:color w:val="auto"/>
                <w:sz w:val="24"/>
              </w:rPr>
            </w:pPr>
          </w:p>
        </w:tc>
        <w:tc>
          <w:tcPr>
            <w:tcW w:w="1508" w:type="dxa"/>
            <w:tcBorders>
              <w:right w:val="single" w:color="auto" w:sz="4" w:space="0"/>
            </w:tcBorders>
            <w:vAlign w:val="center"/>
          </w:tcPr>
          <w:p>
            <w:pPr>
              <w:adjustRightInd w:val="0"/>
              <w:snapToGrid w:val="0"/>
              <w:jc w:val="center"/>
              <w:rPr>
                <w:color w:val="auto"/>
                <w:sz w:val="24"/>
              </w:rPr>
            </w:pPr>
          </w:p>
        </w:tc>
        <w:tc>
          <w:tcPr>
            <w:tcW w:w="1509" w:type="dxa"/>
            <w:tcBorders>
              <w:left w:val="single" w:color="auto" w:sz="4" w:space="0"/>
            </w:tcBorders>
            <w:vAlign w:val="center"/>
          </w:tcPr>
          <w:p>
            <w:pPr>
              <w:adjustRightInd w:val="0"/>
              <w:snapToGrid w:val="0"/>
              <w:jc w:val="center"/>
              <w:rPr>
                <w:color w:val="auto"/>
                <w:sz w:val="24"/>
              </w:rPr>
            </w:pPr>
          </w:p>
        </w:tc>
        <w:tc>
          <w:tcPr>
            <w:tcW w:w="1645" w:type="dxa"/>
            <w:vAlign w:val="center"/>
          </w:tcPr>
          <w:p>
            <w:pPr>
              <w:adjustRightInd w:val="0"/>
              <w:snapToGrid w:val="0"/>
              <w:jc w:val="center"/>
              <w:rPr>
                <w:color w:val="auto"/>
                <w:sz w:val="24"/>
              </w:rPr>
            </w:pPr>
          </w:p>
        </w:tc>
        <w:tc>
          <w:tcPr>
            <w:tcW w:w="1097"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504" w:type="dxa"/>
            <w:vAlign w:val="center"/>
          </w:tcPr>
          <w:p>
            <w:pPr>
              <w:adjustRightInd w:val="0"/>
              <w:snapToGrid w:val="0"/>
              <w:ind w:left="-118" w:leftChars="-42"/>
              <w:jc w:val="center"/>
              <w:rPr>
                <w:color w:val="auto"/>
                <w:sz w:val="24"/>
              </w:rPr>
            </w:pPr>
            <w:r>
              <w:rPr>
                <w:color w:val="auto"/>
                <w:sz w:val="24"/>
              </w:rPr>
              <w:t>5</w:t>
            </w:r>
          </w:p>
        </w:tc>
        <w:tc>
          <w:tcPr>
            <w:tcW w:w="2115" w:type="dxa"/>
            <w:vAlign w:val="center"/>
          </w:tcPr>
          <w:p>
            <w:pPr>
              <w:adjustRightInd w:val="0"/>
              <w:snapToGrid w:val="0"/>
              <w:ind w:left="-118" w:leftChars="-42"/>
              <w:jc w:val="center"/>
              <w:rPr>
                <w:color w:val="auto"/>
                <w:sz w:val="24"/>
              </w:rPr>
            </w:pPr>
          </w:p>
        </w:tc>
        <w:tc>
          <w:tcPr>
            <w:tcW w:w="1508" w:type="dxa"/>
            <w:tcBorders>
              <w:right w:val="single" w:color="auto" w:sz="4" w:space="0"/>
            </w:tcBorders>
            <w:vAlign w:val="center"/>
          </w:tcPr>
          <w:p>
            <w:pPr>
              <w:adjustRightInd w:val="0"/>
              <w:snapToGrid w:val="0"/>
              <w:jc w:val="center"/>
              <w:rPr>
                <w:color w:val="auto"/>
                <w:sz w:val="24"/>
              </w:rPr>
            </w:pPr>
          </w:p>
        </w:tc>
        <w:tc>
          <w:tcPr>
            <w:tcW w:w="1509" w:type="dxa"/>
            <w:tcBorders>
              <w:left w:val="single" w:color="auto" w:sz="4" w:space="0"/>
            </w:tcBorders>
            <w:vAlign w:val="center"/>
          </w:tcPr>
          <w:p>
            <w:pPr>
              <w:adjustRightInd w:val="0"/>
              <w:snapToGrid w:val="0"/>
              <w:jc w:val="center"/>
              <w:rPr>
                <w:color w:val="auto"/>
                <w:sz w:val="24"/>
              </w:rPr>
            </w:pPr>
          </w:p>
        </w:tc>
        <w:tc>
          <w:tcPr>
            <w:tcW w:w="1645" w:type="dxa"/>
            <w:vAlign w:val="center"/>
          </w:tcPr>
          <w:p>
            <w:pPr>
              <w:adjustRightInd w:val="0"/>
              <w:snapToGrid w:val="0"/>
              <w:jc w:val="center"/>
              <w:rPr>
                <w:color w:val="auto"/>
                <w:sz w:val="24"/>
              </w:rPr>
            </w:pPr>
          </w:p>
        </w:tc>
        <w:tc>
          <w:tcPr>
            <w:tcW w:w="1097"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504" w:type="dxa"/>
            <w:vAlign w:val="center"/>
          </w:tcPr>
          <w:p>
            <w:pPr>
              <w:adjustRightInd w:val="0"/>
              <w:snapToGrid w:val="0"/>
              <w:ind w:left="-118" w:leftChars="-42"/>
              <w:jc w:val="center"/>
              <w:rPr>
                <w:color w:val="auto"/>
                <w:sz w:val="24"/>
              </w:rPr>
            </w:pPr>
            <w:r>
              <w:rPr>
                <w:color w:val="auto"/>
                <w:sz w:val="24"/>
              </w:rPr>
              <w:t>6</w:t>
            </w:r>
          </w:p>
        </w:tc>
        <w:tc>
          <w:tcPr>
            <w:tcW w:w="2115" w:type="dxa"/>
            <w:vAlign w:val="center"/>
          </w:tcPr>
          <w:p>
            <w:pPr>
              <w:adjustRightInd w:val="0"/>
              <w:snapToGrid w:val="0"/>
              <w:ind w:left="-118" w:leftChars="-42"/>
              <w:jc w:val="center"/>
              <w:rPr>
                <w:color w:val="auto"/>
                <w:sz w:val="24"/>
              </w:rPr>
            </w:pPr>
          </w:p>
        </w:tc>
        <w:tc>
          <w:tcPr>
            <w:tcW w:w="1508" w:type="dxa"/>
            <w:tcBorders>
              <w:right w:val="single" w:color="auto" w:sz="4" w:space="0"/>
            </w:tcBorders>
            <w:vAlign w:val="center"/>
          </w:tcPr>
          <w:p>
            <w:pPr>
              <w:adjustRightInd w:val="0"/>
              <w:snapToGrid w:val="0"/>
              <w:jc w:val="center"/>
              <w:rPr>
                <w:color w:val="auto"/>
                <w:sz w:val="24"/>
              </w:rPr>
            </w:pPr>
          </w:p>
        </w:tc>
        <w:tc>
          <w:tcPr>
            <w:tcW w:w="1509" w:type="dxa"/>
            <w:tcBorders>
              <w:left w:val="single" w:color="auto" w:sz="4" w:space="0"/>
            </w:tcBorders>
            <w:vAlign w:val="center"/>
          </w:tcPr>
          <w:p>
            <w:pPr>
              <w:adjustRightInd w:val="0"/>
              <w:snapToGrid w:val="0"/>
              <w:jc w:val="center"/>
              <w:rPr>
                <w:color w:val="auto"/>
                <w:sz w:val="24"/>
              </w:rPr>
            </w:pPr>
          </w:p>
        </w:tc>
        <w:tc>
          <w:tcPr>
            <w:tcW w:w="1645" w:type="dxa"/>
            <w:vAlign w:val="center"/>
          </w:tcPr>
          <w:p>
            <w:pPr>
              <w:adjustRightInd w:val="0"/>
              <w:snapToGrid w:val="0"/>
              <w:jc w:val="center"/>
              <w:rPr>
                <w:color w:val="auto"/>
                <w:sz w:val="24"/>
              </w:rPr>
            </w:pPr>
          </w:p>
        </w:tc>
        <w:tc>
          <w:tcPr>
            <w:tcW w:w="1097"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504" w:type="dxa"/>
            <w:vAlign w:val="center"/>
          </w:tcPr>
          <w:p>
            <w:pPr>
              <w:adjustRightInd w:val="0"/>
              <w:snapToGrid w:val="0"/>
              <w:ind w:left="-118" w:leftChars="-42"/>
              <w:jc w:val="center"/>
              <w:rPr>
                <w:color w:val="auto"/>
                <w:sz w:val="24"/>
              </w:rPr>
            </w:pPr>
            <w:r>
              <w:rPr>
                <w:color w:val="auto"/>
                <w:sz w:val="24"/>
              </w:rPr>
              <w:t>7</w:t>
            </w:r>
          </w:p>
        </w:tc>
        <w:tc>
          <w:tcPr>
            <w:tcW w:w="2115" w:type="dxa"/>
            <w:vAlign w:val="center"/>
          </w:tcPr>
          <w:p>
            <w:pPr>
              <w:adjustRightInd w:val="0"/>
              <w:snapToGrid w:val="0"/>
              <w:ind w:left="-118" w:leftChars="-42"/>
              <w:jc w:val="center"/>
              <w:rPr>
                <w:color w:val="auto"/>
                <w:sz w:val="24"/>
              </w:rPr>
            </w:pPr>
          </w:p>
        </w:tc>
        <w:tc>
          <w:tcPr>
            <w:tcW w:w="1508" w:type="dxa"/>
            <w:tcBorders>
              <w:right w:val="single" w:color="auto" w:sz="4" w:space="0"/>
            </w:tcBorders>
            <w:vAlign w:val="center"/>
          </w:tcPr>
          <w:p>
            <w:pPr>
              <w:adjustRightInd w:val="0"/>
              <w:snapToGrid w:val="0"/>
              <w:jc w:val="center"/>
              <w:rPr>
                <w:color w:val="auto"/>
                <w:sz w:val="24"/>
              </w:rPr>
            </w:pPr>
          </w:p>
        </w:tc>
        <w:tc>
          <w:tcPr>
            <w:tcW w:w="1509" w:type="dxa"/>
            <w:tcBorders>
              <w:left w:val="single" w:color="auto" w:sz="4" w:space="0"/>
            </w:tcBorders>
            <w:vAlign w:val="center"/>
          </w:tcPr>
          <w:p>
            <w:pPr>
              <w:adjustRightInd w:val="0"/>
              <w:snapToGrid w:val="0"/>
              <w:jc w:val="center"/>
              <w:rPr>
                <w:color w:val="auto"/>
                <w:sz w:val="24"/>
              </w:rPr>
            </w:pPr>
          </w:p>
        </w:tc>
        <w:tc>
          <w:tcPr>
            <w:tcW w:w="1645" w:type="dxa"/>
            <w:vAlign w:val="center"/>
          </w:tcPr>
          <w:p>
            <w:pPr>
              <w:adjustRightInd w:val="0"/>
              <w:snapToGrid w:val="0"/>
              <w:jc w:val="center"/>
              <w:rPr>
                <w:color w:val="auto"/>
                <w:sz w:val="24"/>
              </w:rPr>
            </w:pPr>
          </w:p>
        </w:tc>
        <w:tc>
          <w:tcPr>
            <w:tcW w:w="1097"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504" w:type="dxa"/>
            <w:vAlign w:val="center"/>
          </w:tcPr>
          <w:p>
            <w:pPr>
              <w:adjustRightInd w:val="0"/>
              <w:snapToGrid w:val="0"/>
              <w:ind w:left="-118" w:leftChars="-42"/>
              <w:jc w:val="center"/>
              <w:rPr>
                <w:color w:val="auto"/>
                <w:sz w:val="24"/>
              </w:rPr>
            </w:pPr>
            <w:r>
              <w:rPr>
                <w:color w:val="auto"/>
                <w:sz w:val="24"/>
              </w:rPr>
              <w:t>8</w:t>
            </w:r>
          </w:p>
        </w:tc>
        <w:tc>
          <w:tcPr>
            <w:tcW w:w="2115" w:type="dxa"/>
            <w:vAlign w:val="center"/>
          </w:tcPr>
          <w:p>
            <w:pPr>
              <w:adjustRightInd w:val="0"/>
              <w:snapToGrid w:val="0"/>
              <w:ind w:left="-118" w:leftChars="-42"/>
              <w:jc w:val="center"/>
              <w:rPr>
                <w:color w:val="auto"/>
                <w:sz w:val="24"/>
              </w:rPr>
            </w:pPr>
          </w:p>
        </w:tc>
        <w:tc>
          <w:tcPr>
            <w:tcW w:w="1508" w:type="dxa"/>
            <w:tcBorders>
              <w:right w:val="single" w:color="auto" w:sz="4" w:space="0"/>
            </w:tcBorders>
            <w:vAlign w:val="center"/>
          </w:tcPr>
          <w:p>
            <w:pPr>
              <w:adjustRightInd w:val="0"/>
              <w:snapToGrid w:val="0"/>
              <w:jc w:val="center"/>
              <w:rPr>
                <w:color w:val="auto"/>
                <w:sz w:val="24"/>
              </w:rPr>
            </w:pPr>
          </w:p>
        </w:tc>
        <w:tc>
          <w:tcPr>
            <w:tcW w:w="1509" w:type="dxa"/>
            <w:tcBorders>
              <w:left w:val="single" w:color="auto" w:sz="4" w:space="0"/>
            </w:tcBorders>
            <w:vAlign w:val="center"/>
          </w:tcPr>
          <w:p>
            <w:pPr>
              <w:adjustRightInd w:val="0"/>
              <w:snapToGrid w:val="0"/>
              <w:jc w:val="center"/>
              <w:rPr>
                <w:color w:val="auto"/>
                <w:sz w:val="24"/>
              </w:rPr>
            </w:pPr>
          </w:p>
        </w:tc>
        <w:tc>
          <w:tcPr>
            <w:tcW w:w="1645" w:type="dxa"/>
            <w:vAlign w:val="center"/>
          </w:tcPr>
          <w:p>
            <w:pPr>
              <w:adjustRightInd w:val="0"/>
              <w:snapToGrid w:val="0"/>
              <w:jc w:val="center"/>
              <w:rPr>
                <w:color w:val="auto"/>
                <w:sz w:val="24"/>
              </w:rPr>
            </w:pPr>
          </w:p>
        </w:tc>
        <w:tc>
          <w:tcPr>
            <w:tcW w:w="1097"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7" w:hRule="atLeast"/>
          <w:jc w:val="center"/>
        </w:trPr>
        <w:tc>
          <w:tcPr>
            <w:tcW w:w="504" w:type="dxa"/>
            <w:vAlign w:val="center"/>
          </w:tcPr>
          <w:p>
            <w:pPr>
              <w:adjustRightInd w:val="0"/>
              <w:snapToGrid w:val="0"/>
              <w:ind w:left="-118" w:leftChars="-42"/>
              <w:jc w:val="center"/>
              <w:rPr>
                <w:color w:val="auto"/>
                <w:sz w:val="24"/>
              </w:rPr>
            </w:pPr>
            <w:r>
              <w:rPr>
                <w:color w:val="auto"/>
                <w:sz w:val="24"/>
              </w:rPr>
              <w:t>…</w:t>
            </w:r>
          </w:p>
        </w:tc>
        <w:tc>
          <w:tcPr>
            <w:tcW w:w="2115" w:type="dxa"/>
            <w:vAlign w:val="center"/>
          </w:tcPr>
          <w:p>
            <w:pPr>
              <w:adjustRightInd w:val="0"/>
              <w:snapToGrid w:val="0"/>
              <w:ind w:left="-118" w:leftChars="-42"/>
              <w:jc w:val="center"/>
              <w:rPr>
                <w:color w:val="auto"/>
                <w:sz w:val="24"/>
              </w:rPr>
            </w:pPr>
          </w:p>
        </w:tc>
        <w:tc>
          <w:tcPr>
            <w:tcW w:w="1508" w:type="dxa"/>
            <w:tcBorders>
              <w:right w:val="single" w:color="auto" w:sz="4" w:space="0"/>
            </w:tcBorders>
            <w:vAlign w:val="center"/>
          </w:tcPr>
          <w:p>
            <w:pPr>
              <w:adjustRightInd w:val="0"/>
              <w:snapToGrid w:val="0"/>
              <w:jc w:val="center"/>
              <w:rPr>
                <w:color w:val="auto"/>
                <w:sz w:val="24"/>
              </w:rPr>
            </w:pPr>
          </w:p>
        </w:tc>
        <w:tc>
          <w:tcPr>
            <w:tcW w:w="1509" w:type="dxa"/>
            <w:tcBorders>
              <w:left w:val="single" w:color="auto" w:sz="4" w:space="0"/>
            </w:tcBorders>
            <w:vAlign w:val="center"/>
          </w:tcPr>
          <w:p>
            <w:pPr>
              <w:adjustRightInd w:val="0"/>
              <w:snapToGrid w:val="0"/>
              <w:jc w:val="center"/>
              <w:rPr>
                <w:color w:val="auto"/>
                <w:sz w:val="24"/>
              </w:rPr>
            </w:pPr>
          </w:p>
        </w:tc>
        <w:tc>
          <w:tcPr>
            <w:tcW w:w="1645" w:type="dxa"/>
            <w:vAlign w:val="center"/>
          </w:tcPr>
          <w:p>
            <w:pPr>
              <w:adjustRightInd w:val="0"/>
              <w:snapToGrid w:val="0"/>
              <w:jc w:val="center"/>
              <w:rPr>
                <w:color w:val="auto"/>
                <w:sz w:val="24"/>
              </w:rPr>
            </w:pPr>
          </w:p>
        </w:tc>
        <w:tc>
          <w:tcPr>
            <w:tcW w:w="1097"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29"/>
        <w:tblW w:w="8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4133"/>
        <w:gridCol w:w="1255"/>
        <w:gridCol w:w="1088"/>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452"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序号</w:t>
            </w:r>
          </w:p>
        </w:tc>
        <w:tc>
          <w:tcPr>
            <w:tcW w:w="4133"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资格性符合性检查内容</w:t>
            </w:r>
          </w:p>
        </w:tc>
        <w:tc>
          <w:tcPr>
            <w:tcW w:w="1255"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响应文件响应情况</w:t>
            </w:r>
          </w:p>
        </w:tc>
        <w:tc>
          <w:tcPr>
            <w:tcW w:w="1088"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偏离情况说明</w:t>
            </w:r>
          </w:p>
        </w:tc>
        <w:tc>
          <w:tcPr>
            <w:tcW w:w="1529"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52"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1</w:t>
            </w:r>
          </w:p>
        </w:tc>
        <w:tc>
          <w:tcPr>
            <w:tcW w:w="4133" w:type="dxa"/>
            <w:vAlign w:val="top"/>
          </w:tcPr>
          <w:p>
            <w:pPr>
              <w:rPr>
                <w:rFonts w:ascii="Calibri" w:hAnsi="Calibri" w:eastAsia="宋体" w:cs="Times New Roman"/>
                <w:color w:val="auto"/>
                <w:kern w:val="0"/>
                <w:sz w:val="24"/>
                <w:szCs w:val="20"/>
              </w:rPr>
            </w:pPr>
          </w:p>
        </w:tc>
        <w:tc>
          <w:tcPr>
            <w:tcW w:w="1255" w:type="dxa"/>
            <w:vAlign w:val="top"/>
          </w:tcPr>
          <w:p>
            <w:pPr>
              <w:jc w:val="center"/>
              <w:rPr>
                <w:rFonts w:ascii="Calibri" w:hAnsi="Calibri" w:eastAsia="宋体" w:cs="Times New Roman"/>
                <w:color w:val="auto"/>
                <w:kern w:val="0"/>
                <w:sz w:val="24"/>
                <w:szCs w:val="20"/>
              </w:rPr>
            </w:pPr>
          </w:p>
        </w:tc>
        <w:tc>
          <w:tcPr>
            <w:tcW w:w="1088" w:type="dxa"/>
            <w:vAlign w:val="top"/>
          </w:tcPr>
          <w:p>
            <w:pPr>
              <w:jc w:val="center"/>
              <w:rPr>
                <w:rFonts w:ascii="Calibri" w:hAnsi="Calibri" w:eastAsia="宋体" w:cs="Times New Roman"/>
                <w:color w:val="auto"/>
                <w:kern w:val="0"/>
                <w:sz w:val="24"/>
                <w:szCs w:val="20"/>
              </w:rPr>
            </w:pPr>
          </w:p>
        </w:tc>
        <w:tc>
          <w:tcPr>
            <w:tcW w:w="1529" w:type="dxa"/>
            <w:vAlign w:val="center"/>
          </w:tcPr>
          <w:p>
            <w:pPr>
              <w:ind w:left="-20" w:leftChars="-50" w:hanging="120" w:hangingChars="50"/>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52"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2</w:t>
            </w:r>
          </w:p>
        </w:tc>
        <w:tc>
          <w:tcPr>
            <w:tcW w:w="4133" w:type="dxa"/>
            <w:vAlign w:val="top"/>
          </w:tcPr>
          <w:p>
            <w:pPr>
              <w:rPr>
                <w:rFonts w:ascii="Calibri" w:hAnsi="Calibri" w:eastAsia="宋体" w:cs="Times New Roman"/>
                <w:color w:val="auto"/>
                <w:kern w:val="0"/>
                <w:sz w:val="24"/>
                <w:szCs w:val="20"/>
              </w:rPr>
            </w:pPr>
          </w:p>
        </w:tc>
        <w:tc>
          <w:tcPr>
            <w:tcW w:w="1255" w:type="dxa"/>
            <w:vAlign w:val="top"/>
          </w:tcPr>
          <w:p>
            <w:pPr>
              <w:jc w:val="center"/>
              <w:rPr>
                <w:rFonts w:ascii="Calibri" w:hAnsi="Calibri" w:eastAsia="宋体" w:cs="Times New Roman"/>
                <w:color w:val="auto"/>
                <w:kern w:val="0"/>
                <w:sz w:val="24"/>
                <w:szCs w:val="20"/>
              </w:rPr>
            </w:pPr>
          </w:p>
        </w:tc>
        <w:tc>
          <w:tcPr>
            <w:tcW w:w="1088" w:type="dxa"/>
            <w:vAlign w:val="top"/>
          </w:tcPr>
          <w:p>
            <w:pPr>
              <w:jc w:val="center"/>
              <w:rPr>
                <w:rFonts w:ascii="Calibri" w:hAnsi="Calibri" w:eastAsia="宋体" w:cs="Times New Roman"/>
                <w:color w:val="auto"/>
                <w:kern w:val="0"/>
                <w:sz w:val="24"/>
                <w:szCs w:val="20"/>
              </w:rPr>
            </w:pPr>
          </w:p>
        </w:tc>
        <w:tc>
          <w:tcPr>
            <w:tcW w:w="1529"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52"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3</w:t>
            </w:r>
          </w:p>
        </w:tc>
        <w:tc>
          <w:tcPr>
            <w:tcW w:w="4133" w:type="dxa"/>
            <w:vAlign w:val="top"/>
          </w:tcPr>
          <w:p>
            <w:pPr>
              <w:rPr>
                <w:rFonts w:ascii="Calibri" w:hAnsi="Calibri" w:eastAsia="宋体" w:cs="Times New Roman"/>
                <w:color w:val="auto"/>
                <w:kern w:val="0"/>
                <w:sz w:val="24"/>
                <w:szCs w:val="20"/>
              </w:rPr>
            </w:pPr>
          </w:p>
        </w:tc>
        <w:tc>
          <w:tcPr>
            <w:tcW w:w="1255" w:type="dxa"/>
            <w:vAlign w:val="top"/>
          </w:tcPr>
          <w:p>
            <w:pPr>
              <w:jc w:val="center"/>
              <w:rPr>
                <w:rFonts w:ascii="Calibri" w:hAnsi="Calibri" w:eastAsia="宋体" w:cs="Times New Roman"/>
                <w:color w:val="auto"/>
                <w:kern w:val="0"/>
                <w:sz w:val="24"/>
                <w:szCs w:val="20"/>
              </w:rPr>
            </w:pPr>
          </w:p>
        </w:tc>
        <w:tc>
          <w:tcPr>
            <w:tcW w:w="1088" w:type="dxa"/>
            <w:vAlign w:val="top"/>
          </w:tcPr>
          <w:p>
            <w:pPr>
              <w:jc w:val="center"/>
              <w:rPr>
                <w:rFonts w:ascii="Calibri" w:hAnsi="Calibri" w:eastAsia="宋体" w:cs="Times New Roman"/>
                <w:color w:val="auto"/>
                <w:kern w:val="0"/>
                <w:sz w:val="24"/>
                <w:szCs w:val="20"/>
              </w:rPr>
            </w:pPr>
          </w:p>
        </w:tc>
        <w:tc>
          <w:tcPr>
            <w:tcW w:w="1529"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52"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4</w:t>
            </w:r>
          </w:p>
        </w:tc>
        <w:tc>
          <w:tcPr>
            <w:tcW w:w="4133" w:type="dxa"/>
            <w:vAlign w:val="top"/>
          </w:tcPr>
          <w:p>
            <w:pPr>
              <w:rPr>
                <w:rFonts w:ascii="Calibri" w:hAnsi="Calibri" w:eastAsia="宋体" w:cs="Times New Roman"/>
                <w:color w:val="auto"/>
                <w:kern w:val="0"/>
                <w:sz w:val="24"/>
                <w:szCs w:val="20"/>
              </w:rPr>
            </w:pPr>
          </w:p>
        </w:tc>
        <w:tc>
          <w:tcPr>
            <w:tcW w:w="1255" w:type="dxa"/>
            <w:vAlign w:val="top"/>
          </w:tcPr>
          <w:p>
            <w:pPr>
              <w:jc w:val="center"/>
              <w:rPr>
                <w:rFonts w:ascii="Calibri" w:hAnsi="Calibri" w:eastAsia="宋体" w:cs="Times New Roman"/>
                <w:color w:val="auto"/>
                <w:kern w:val="0"/>
                <w:sz w:val="24"/>
                <w:szCs w:val="20"/>
              </w:rPr>
            </w:pPr>
          </w:p>
        </w:tc>
        <w:tc>
          <w:tcPr>
            <w:tcW w:w="1088" w:type="dxa"/>
            <w:vAlign w:val="top"/>
          </w:tcPr>
          <w:p>
            <w:pPr>
              <w:jc w:val="center"/>
              <w:rPr>
                <w:rFonts w:ascii="Calibri" w:hAnsi="Calibri" w:eastAsia="宋体" w:cs="Times New Roman"/>
                <w:color w:val="auto"/>
                <w:kern w:val="0"/>
                <w:sz w:val="24"/>
                <w:szCs w:val="20"/>
              </w:rPr>
            </w:pPr>
          </w:p>
        </w:tc>
        <w:tc>
          <w:tcPr>
            <w:tcW w:w="1529"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52"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5</w:t>
            </w:r>
          </w:p>
        </w:tc>
        <w:tc>
          <w:tcPr>
            <w:tcW w:w="4133" w:type="dxa"/>
            <w:vAlign w:val="top"/>
          </w:tcPr>
          <w:p>
            <w:pPr>
              <w:rPr>
                <w:rFonts w:ascii="Calibri" w:hAnsi="Calibri" w:eastAsia="宋体" w:cs="Times New Roman"/>
                <w:color w:val="auto"/>
                <w:kern w:val="0"/>
                <w:sz w:val="24"/>
                <w:szCs w:val="20"/>
              </w:rPr>
            </w:pPr>
          </w:p>
        </w:tc>
        <w:tc>
          <w:tcPr>
            <w:tcW w:w="1255" w:type="dxa"/>
            <w:vAlign w:val="top"/>
          </w:tcPr>
          <w:p>
            <w:pPr>
              <w:jc w:val="center"/>
              <w:rPr>
                <w:rFonts w:ascii="Calibri" w:hAnsi="Calibri" w:eastAsia="宋体" w:cs="Times New Roman"/>
                <w:color w:val="auto"/>
                <w:kern w:val="0"/>
                <w:sz w:val="24"/>
                <w:szCs w:val="20"/>
              </w:rPr>
            </w:pPr>
          </w:p>
        </w:tc>
        <w:tc>
          <w:tcPr>
            <w:tcW w:w="1088" w:type="dxa"/>
            <w:vAlign w:val="top"/>
          </w:tcPr>
          <w:p>
            <w:pPr>
              <w:jc w:val="center"/>
              <w:rPr>
                <w:rFonts w:ascii="Calibri" w:hAnsi="Calibri" w:eastAsia="宋体" w:cs="Times New Roman"/>
                <w:color w:val="auto"/>
                <w:kern w:val="0"/>
                <w:sz w:val="24"/>
                <w:szCs w:val="20"/>
              </w:rPr>
            </w:pPr>
          </w:p>
        </w:tc>
        <w:tc>
          <w:tcPr>
            <w:tcW w:w="1529"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52"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6</w:t>
            </w:r>
          </w:p>
        </w:tc>
        <w:tc>
          <w:tcPr>
            <w:tcW w:w="4133" w:type="dxa"/>
            <w:vAlign w:val="top"/>
          </w:tcPr>
          <w:p>
            <w:pPr>
              <w:rPr>
                <w:rFonts w:ascii="Calibri" w:hAnsi="Calibri" w:eastAsia="宋体" w:cs="Times New Roman"/>
                <w:color w:val="auto"/>
                <w:kern w:val="0"/>
                <w:sz w:val="24"/>
                <w:szCs w:val="20"/>
              </w:rPr>
            </w:pPr>
          </w:p>
        </w:tc>
        <w:tc>
          <w:tcPr>
            <w:tcW w:w="1255" w:type="dxa"/>
            <w:vAlign w:val="top"/>
          </w:tcPr>
          <w:p>
            <w:pPr>
              <w:jc w:val="left"/>
              <w:rPr>
                <w:rFonts w:ascii="Calibri" w:hAnsi="Calibri" w:eastAsia="宋体" w:cs="Times New Roman"/>
                <w:color w:val="auto"/>
                <w:kern w:val="0"/>
                <w:sz w:val="24"/>
                <w:szCs w:val="20"/>
              </w:rPr>
            </w:pPr>
          </w:p>
        </w:tc>
        <w:tc>
          <w:tcPr>
            <w:tcW w:w="1088" w:type="dxa"/>
            <w:vAlign w:val="top"/>
          </w:tcPr>
          <w:p>
            <w:pPr>
              <w:jc w:val="left"/>
              <w:rPr>
                <w:rFonts w:ascii="Calibri" w:hAnsi="Calibri" w:eastAsia="宋体" w:cs="Times New Roman"/>
                <w:color w:val="auto"/>
                <w:kern w:val="0"/>
                <w:sz w:val="24"/>
                <w:szCs w:val="20"/>
              </w:rPr>
            </w:pPr>
          </w:p>
        </w:tc>
        <w:tc>
          <w:tcPr>
            <w:tcW w:w="1529"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52"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7</w:t>
            </w:r>
          </w:p>
        </w:tc>
        <w:tc>
          <w:tcPr>
            <w:tcW w:w="4133" w:type="dxa"/>
            <w:vAlign w:val="top"/>
          </w:tcPr>
          <w:p>
            <w:pPr>
              <w:rPr>
                <w:rFonts w:ascii="Calibri" w:hAnsi="Calibri" w:eastAsia="宋体" w:cs="Times New Roman"/>
                <w:color w:val="auto"/>
                <w:kern w:val="0"/>
                <w:sz w:val="24"/>
                <w:szCs w:val="20"/>
              </w:rPr>
            </w:pPr>
          </w:p>
        </w:tc>
        <w:tc>
          <w:tcPr>
            <w:tcW w:w="1255" w:type="dxa"/>
            <w:vAlign w:val="top"/>
          </w:tcPr>
          <w:p>
            <w:pPr>
              <w:jc w:val="left"/>
              <w:rPr>
                <w:rFonts w:ascii="Calibri" w:hAnsi="Calibri" w:eastAsia="宋体" w:cs="Times New Roman"/>
                <w:color w:val="auto"/>
                <w:kern w:val="0"/>
                <w:sz w:val="24"/>
                <w:szCs w:val="20"/>
              </w:rPr>
            </w:pPr>
          </w:p>
        </w:tc>
        <w:tc>
          <w:tcPr>
            <w:tcW w:w="1088" w:type="dxa"/>
            <w:vAlign w:val="top"/>
          </w:tcPr>
          <w:p>
            <w:pPr>
              <w:jc w:val="left"/>
              <w:rPr>
                <w:rFonts w:ascii="Calibri" w:hAnsi="Calibri" w:eastAsia="宋体" w:cs="Times New Roman"/>
                <w:color w:val="auto"/>
                <w:kern w:val="0"/>
                <w:sz w:val="24"/>
                <w:szCs w:val="20"/>
              </w:rPr>
            </w:pPr>
          </w:p>
        </w:tc>
        <w:tc>
          <w:tcPr>
            <w:tcW w:w="1529"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52"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8</w:t>
            </w:r>
          </w:p>
        </w:tc>
        <w:tc>
          <w:tcPr>
            <w:tcW w:w="4133" w:type="dxa"/>
            <w:vAlign w:val="top"/>
          </w:tcPr>
          <w:p>
            <w:pPr>
              <w:rPr>
                <w:rFonts w:ascii="Calibri" w:hAnsi="Calibri" w:eastAsia="宋体" w:cs="Times New Roman"/>
                <w:color w:val="auto"/>
                <w:kern w:val="0"/>
                <w:sz w:val="24"/>
                <w:szCs w:val="20"/>
              </w:rPr>
            </w:pPr>
          </w:p>
        </w:tc>
        <w:tc>
          <w:tcPr>
            <w:tcW w:w="1255" w:type="dxa"/>
            <w:vAlign w:val="top"/>
          </w:tcPr>
          <w:p>
            <w:pPr>
              <w:jc w:val="center"/>
              <w:rPr>
                <w:rFonts w:ascii="Calibri" w:hAnsi="Calibri" w:eastAsia="宋体" w:cs="Times New Roman"/>
                <w:color w:val="auto"/>
                <w:kern w:val="0"/>
                <w:sz w:val="24"/>
                <w:szCs w:val="20"/>
              </w:rPr>
            </w:pPr>
          </w:p>
        </w:tc>
        <w:tc>
          <w:tcPr>
            <w:tcW w:w="1088" w:type="dxa"/>
            <w:vAlign w:val="top"/>
          </w:tcPr>
          <w:p>
            <w:pPr>
              <w:jc w:val="center"/>
              <w:rPr>
                <w:rFonts w:ascii="Calibri" w:hAnsi="Calibri" w:eastAsia="宋体" w:cs="Times New Roman"/>
                <w:color w:val="auto"/>
                <w:kern w:val="0"/>
                <w:sz w:val="24"/>
                <w:szCs w:val="20"/>
              </w:rPr>
            </w:pPr>
          </w:p>
        </w:tc>
        <w:tc>
          <w:tcPr>
            <w:tcW w:w="1529"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52"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9</w:t>
            </w:r>
          </w:p>
        </w:tc>
        <w:tc>
          <w:tcPr>
            <w:tcW w:w="4133" w:type="dxa"/>
            <w:vAlign w:val="top"/>
          </w:tcPr>
          <w:p>
            <w:pPr>
              <w:rPr>
                <w:rFonts w:ascii="Calibri" w:hAnsi="Calibri" w:eastAsia="宋体" w:cs="Times New Roman"/>
                <w:color w:val="auto"/>
                <w:kern w:val="0"/>
                <w:sz w:val="24"/>
                <w:szCs w:val="20"/>
              </w:rPr>
            </w:pPr>
          </w:p>
        </w:tc>
        <w:tc>
          <w:tcPr>
            <w:tcW w:w="1255" w:type="dxa"/>
            <w:vAlign w:val="top"/>
          </w:tcPr>
          <w:p>
            <w:pPr>
              <w:jc w:val="center"/>
              <w:rPr>
                <w:rFonts w:ascii="Calibri" w:hAnsi="Calibri" w:eastAsia="宋体" w:cs="Times New Roman"/>
                <w:color w:val="auto"/>
                <w:kern w:val="0"/>
                <w:sz w:val="24"/>
                <w:szCs w:val="20"/>
              </w:rPr>
            </w:pPr>
          </w:p>
        </w:tc>
        <w:tc>
          <w:tcPr>
            <w:tcW w:w="1088" w:type="dxa"/>
            <w:vAlign w:val="top"/>
          </w:tcPr>
          <w:p>
            <w:pPr>
              <w:jc w:val="center"/>
              <w:rPr>
                <w:rFonts w:ascii="Calibri" w:hAnsi="Calibri" w:eastAsia="宋体" w:cs="Times New Roman"/>
                <w:color w:val="auto"/>
                <w:kern w:val="0"/>
                <w:sz w:val="24"/>
                <w:szCs w:val="20"/>
              </w:rPr>
            </w:pPr>
          </w:p>
        </w:tc>
        <w:tc>
          <w:tcPr>
            <w:tcW w:w="1529"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52" w:type="dxa"/>
            <w:vAlign w:val="center"/>
          </w:tcPr>
          <w:p>
            <w:pPr>
              <w:jc w:val="center"/>
              <w:rPr>
                <w:rFonts w:ascii="Calibri" w:hAnsi="Calibri" w:eastAsia="宋体" w:cs="Times New Roman"/>
                <w:color w:val="auto"/>
                <w:kern w:val="0"/>
                <w:sz w:val="24"/>
                <w:szCs w:val="20"/>
              </w:rPr>
            </w:pPr>
            <w:r>
              <w:rPr>
                <w:rFonts w:ascii="Calibri" w:hAnsi="Calibri" w:eastAsia="宋体" w:cs="Times New Roman"/>
                <w:color w:val="auto"/>
                <w:kern w:val="0"/>
                <w:sz w:val="24"/>
                <w:szCs w:val="20"/>
              </w:rPr>
              <w:t>…</w:t>
            </w:r>
          </w:p>
        </w:tc>
        <w:tc>
          <w:tcPr>
            <w:tcW w:w="4133" w:type="dxa"/>
            <w:vAlign w:val="top"/>
          </w:tcPr>
          <w:p>
            <w:pPr>
              <w:rPr>
                <w:rFonts w:ascii="Calibri" w:hAnsi="Calibri" w:eastAsia="宋体" w:cs="Times New Roman"/>
                <w:color w:val="auto"/>
                <w:kern w:val="0"/>
                <w:sz w:val="24"/>
                <w:szCs w:val="20"/>
              </w:rPr>
            </w:pPr>
          </w:p>
        </w:tc>
        <w:tc>
          <w:tcPr>
            <w:tcW w:w="1255" w:type="dxa"/>
            <w:vAlign w:val="top"/>
          </w:tcPr>
          <w:p>
            <w:pPr>
              <w:jc w:val="center"/>
              <w:rPr>
                <w:rFonts w:ascii="Calibri" w:hAnsi="Calibri" w:eastAsia="宋体" w:cs="Times New Roman"/>
                <w:color w:val="auto"/>
                <w:kern w:val="0"/>
                <w:sz w:val="24"/>
                <w:szCs w:val="20"/>
              </w:rPr>
            </w:pPr>
          </w:p>
        </w:tc>
        <w:tc>
          <w:tcPr>
            <w:tcW w:w="1088" w:type="dxa"/>
            <w:vAlign w:val="top"/>
          </w:tcPr>
          <w:p>
            <w:pPr>
              <w:jc w:val="center"/>
              <w:rPr>
                <w:rFonts w:ascii="Calibri" w:hAnsi="Calibri" w:eastAsia="宋体" w:cs="Times New Roman"/>
                <w:color w:val="auto"/>
                <w:kern w:val="0"/>
                <w:sz w:val="24"/>
                <w:szCs w:val="20"/>
              </w:rPr>
            </w:pPr>
          </w:p>
        </w:tc>
        <w:tc>
          <w:tcPr>
            <w:tcW w:w="1529"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4585" w:type="dxa"/>
            <w:gridSpan w:val="2"/>
            <w:vAlign w:val="center"/>
          </w:tcPr>
          <w:p>
            <w:pP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自评结论</w:t>
            </w:r>
          </w:p>
        </w:tc>
        <w:tc>
          <w:tcPr>
            <w:tcW w:w="1255" w:type="dxa"/>
            <w:vAlign w:val="top"/>
          </w:tcPr>
          <w:p>
            <w:pPr>
              <w:jc w:val="center"/>
              <w:rPr>
                <w:rFonts w:ascii="Calibri" w:hAnsi="Calibri" w:eastAsia="宋体" w:cs="Times New Roman"/>
                <w:color w:val="auto"/>
                <w:kern w:val="0"/>
                <w:sz w:val="24"/>
                <w:szCs w:val="20"/>
              </w:rPr>
            </w:pPr>
          </w:p>
        </w:tc>
        <w:tc>
          <w:tcPr>
            <w:tcW w:w="1088" w:type="dxa"/>
            <w:vAlign w:val="top"/>
          </w:tcPr>
          <w:p>
            <w:pPr>
              <w:jc w:val="center"/>
              <w:rPr>
                <w:rFonts w:ascii="Calibri" w:hAnsi="Calibri" w:eastAsia="宋体" w:cs="Times New Roman"/>
                <w:color w:val="auto"/>
                <w:kern w:val="0"/>
                <w:sz w:val="24"/>
                <w:szCs w:val="20"/>
              </w:rPr>
            </w:pPr>
          </w:p>
        </w:tc>
        <w:tc>
          <w:tcPr>
            <w:tcW w:w="1529" w:type="dxa"/>
            <w:vAlign w:val="center"/>
          </w:tcPr>
          <w:p>
            <w:pPr>
              <w:jc w:val="center"/>
              <w:rPr>
                <w:rFonts w:ascii="Calibri" w:hAnsi="Calibri" w:eastAsia="宋体" w:cs="Times New Roman"/>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r>
        <w:rPr>
          <w:rFonts w:hint="eastAsia"/>
          <w:color w:val="auto"/>
          <w:sz w:val="24"/>
          <w:lang w:eastAsia="zh-CN"/>
        </w:rPr>
        <w:t>（</w:t>
      </w:r>
      <w:r>
        <w:rPr>
          <w:rFonts w:hint="eastAsia"/>
          <w:color w:val="auto"/>
          <w:sz w:val="24"/>
          <w:lang w:val="en-US" w:eastAsia="zh-CN"/>
        </w:rPr>
        <w:t>如有</w:t>
      </w:r>
      <w:r>
        <w:rPr>
          <w:rFonts w:hint="eastAsia"/>
          <w:color w:val="auto"/>
          <w:sz w:val="24"/>
          <w:lang w:eastAsia="zh-CN"/>
        </w:rPr>
        <w:t>）</w:t>
      </w:r>
    </w:p>
    <w:p>
      <w:pPr>
        <w:spacing w:line="440" w:lineRule="exact"/>
        <w:ind w:left="560" w:left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。如果仅注明“符合”、“满足”，将导致响应文件无效。</w:t>
      </w:r>
    </w:p>
    <w:p>
      <w:pPr>
        <w:spacing w:line="440" w:lineRule="exact"/>
        <w:ind w:left="560" w:leftChars="200"/>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rFonts w:hint="eastAsia"/>
          <w:color w:val="auto"/>
          <w:sz w:val="24"/>
          <w:lang w:val="en-US" w:eastAsia="zh-CN"/>
        </w:rPr>
      </w:pPr>
      <w:r>
        <w:rPr>
          <w:color w:val="auto"/>
          <w:sz w:val="24"/>
        </w:rPr>
        <w:t>1. 备注栏中应提供相关内容在响应文件中的页码。</w:t>
      </w:r>
      <w:r>
        <w:rPr>
          <w:rFonts w:hint="eastAsia"/>
          <w:color w:val="auto"/>
          <w:sz w:val="24"/>
          <w:lang w:eastAsia="zh-CN"/>
        </w:rPr>
        <w:t>（</w:t>
      </w:r>
      <w:r>
        <w:rPr>
          <w:rFonts w:hint="eastAsia"/>
          <w:color w:val="auto"/>
          <w:sz w:val="24"/>
          <w:lang w:val="en-US" w:eastAsia="zh-CN"/>
        </w:rPr>
        <w:t>如有</w:t>
      </w:r>
      <w:r>
        <w:rPr>
          <w:rFonts w:hint="eastAsia"/>
          <w:color w:val="auto"/>
          <w:sz w:val="24"/>
          <w:lang w:eastAsia="zh-CN"/>
        </w:rPr>
        <w:t>）</w:t>
      </w:r>
    </w:p>
    <w:p>
      <w:pPr>
        <w:spacing w:line="300" w:lineRule="auto"/>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7"/>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9"/>
        <w:spacing w:line="500" w:lineRule="exact"/>
        <w:rPr>
          <w:rFonts w:ascii="Times New Roman" w:hAnsi="Times New Roman" w:cs="Times New Roman"/>
          <w:color w:val="auto"/>
          <w:sz w:val="24"/>
          <w:szCs w:val="24"/>
        </w:rPr>
      </w:pPr>
    </w:p>
    <w:p>
      <w:pPr>
        <w:rPr>
          <w:bCs/>
          <w:color w:val="auto"/>
          <w:sz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Lines="50" w:afterLines="100"/>
        <w:rPr>
          <w:bCs/>
          <w:color w:val="auto"/>
          <w:sz w:val="24"/>
        </w:rPr>
      </w:pPr>
    </w:p>
    <w:p>
      <w:pPr>
        <w:spacing w:beforeLines="50"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w:t>
      </w:r>
      <w:r>
        <w:rPr>
          <w:rFonts w:hint="eastAsia"/>
          <w:bCs/>
          <w:color w:val="auto"/>
          <w:sz w:val="24"/>
          <w:lang w:val="en-US" w:eastAsia="zh-CN"/>
        </w:rPr>
        <w:t xml:space="preserve">                   </w:t>
      </w:r>
      <w:r>
        <w:rPr>
          <w:bCs/>
          <w:color w:val="auto"/>
          <w:sz w:val="24"/>
        </w:rPr>
        <w:t>（供应商名称）的下面签字的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Lines="50" w:afterLines="100" w:line="440" w:lineRule="exact"/>
        <w:rPr>
          <w:bCs/>
          <w:color w:val="auto"/>
          <w:sz w:val="24"/>
        </w:rPr>
      </w:pPr>
    </w:p>
    <w:p>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Lines="100" w:after="100" w:afterAutospacing="1"/>
        <w:ind w:firstLine="480" w:firstLineChars="200"/>
        <w:rPr>
          <w:bCs/>
          <w:color w:val="auto"/>
          <w:sz w:val="24"/>
          <w:u w:val="single"/>
        </w:rPr>
      </w:pPr>
      <w:r>
        <w:rPr>
          <w:bCs/>
          <w:color w:val="auto"/>
          <w:sz w:val="24"/>
        </w:rPr>
        <w:t>电话</w:t>
      </w:r>
      <w:r>
        <w:rPr>
          <w:rFonts w:hint="eastAsia"/>
          <w:bCs/>
          <w:color w:val="auto"/>
          <w:sz w:val="24"/>
          <w:lang w:eastAsia="zh-CN"/>
        </w:rPr>
        <w:t>：</w:t>
      </w:r>
    </w:p>
    <w:p>
      <w:pPr>
        <w:spacing w:beforeLines="50" w:afterLines="100"/>
        <w:rPr>
          <w:bCs/>
          <w:color w:val="auto"/>
          <w:sz w:val="24"/>
          <w:u w:val="single"/>
        </w:rPr>
      </w:pP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vAlign w:val="top"/>
          </w:tcPr>
          <w:p>
            <w:pPr>
              <w:spacing w:beforeLines="50" w:afterLines="100"/>
              <w:rPr>
                <w:bCs/>
                <w:color w:val="auto"/>
                <w:sz w:val="24"/>
              </w:rPr>
            </w:pPr>
            <w:r>
              <w:rPr>
                <w:bCs/>
                <w:color w:val="auto"/>
                <w:sz w:val="24"/>
              </w:rPr>
              <w:t>粘贴被授权人身份证（复印件）</w:t>
            </w:r>
          </w:p>
        </w:tc>
      </w:tr>
    </w:tbl>
    <w:p>
      <w:pPr>
        <w:spacing w:beforeLines="50" w:afterLines="100"/>
        <w:rPr>
          <w:bCs/>
          <w:color w:val="auto"/>
          <w:sz w:val="24"/>
        </w:rPr>
      </w:pPr>
    </w:p>
    <w:p>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rFonts w:eastAsia="宋体"/>
          <w:bCs/>
          <w:color w:val="auto"/>
          <w:sz w:val="24"/>
        </w:rPr>
      </w:pPr>
      <w:r>
        <w:rPr>
          <w:rFonts w:hint="eastAsia" w:ascii="宋体" w:hAnsi="宋体"/>
          <w:bCs/>
          <w:color w:val="auto"/>
          <w:sz w:val="24"/>
        </w:rPr>
        <w:t>（提供履行合同所必需的设备和专业技术能力的</w:t>
      </w:r>
      <w:r>
        <w:rPr>
          <w:rFonts w:hint="eastAsia" w:ascii="宋体" w:hAnsi="宋体"/>
          <w:bCs/>
          <w:color w:val="auto"/>
          <w:sz w:val="24"/>
          <w:lang w:val="en-US" w:eastAsia="zh-CN"/>
        </w:rPr>
        <w:t>声明</w:t>
      </w:r>
      <w:r>
        <w:rPr>
          <w:rFonts w:hint="eastAsia" w:ascii="宋体" w:hAnsi="宋体"/>
          <w:bCs/>
          <w:color w:val="auto"/>
          <w:sz w:val="24"/>
        </w:rPr>
        <w:t>）</w:t>
      </w:r>
    </w:p>
    <w:p>
      <w:pPr>
        <w:widowControl/>
        <w:jc w:val="left"/>
        <w:rPr>
          <w:color w:val="auto"/>
          <w:sz w:val="24"/>
        </w:rPr>
      </w:pPr>
      <w:r>
        <w:rPr>
          <w:color w:val="auto"/>
          <w:sz w:val="24"/>
        </w:rPr>
        <w:br w:type="page"/>
      </w:r>
    </w:p>
    <w:p>
      <w:pPr>
        <w:jc w:val="left"/>
        <w:outlineLvl w:val="9"/>
        <w:rPr>
          <w:color w:val="auto"/>
        </w:rPr>
      </w:pPr>
      <w:r>
        <w:rPr>
          <w:color w:val="auto"/>
        </w:rPr>
        <w:t>其他</w:t>
      </w:r>
      <w:r>
        <w:rPr>
          <w:rFonts w:hint="eastAsia"/>
          <w:color w:val="auto"/>
        </w:rPr>
        <w:t>资格证明文件及</w:t>
      </w:r>
      <w:r>
        <w:rPr>
          <w:color w:val="auto"/>
        </w:rPr>
        <w:t>资料</w:t>
      </w:r>
    </w:p>
    <w:sectPr>
      <w:headerReference r:id="rId11" w:type="default"/>
      <w:footerReference r:id="rId12" w:type="default"/>
      <w:footerReference r:id="rId1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PAGE   \* MERGEFORMAT</w:instrText>
    </w:r>
    <w:r>
      <w:fldChar w:fldCharType="separate"/>
    </w:r>
    <w:r>
      <w:rPr>
        <w:lang w:val="zh-CN"/>
      </w:rPr>
      <w:t>10</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rPr>
        <w:rStyle w:val="31"/>
      </w:rPr>
    </w:pPr>
    <w:r>
      <w:rPr>
        <w:rStyle w:val="31"/>
      </w:rPr>
      <w:fldChar w:fldCharType="begin"/>
    </w:r>
    <w:r>
      <w:rPr>
        <w:rStyle w:val="31"/>
      </w:rPr>
      <w:instrText xml:space="preserve">PAGE  </w:instrText>
    </w:r>
    <w:r>
      <w:rPr>
        <w:rStyle w:val="31"/>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3"/>
      <w:lvlText w:val=""/>
      <w:lvlJc w:val="left"/>
      <w:pPr>
        <w:tabs>
          <w:tab w:val="left" w:pos="360"/>
        </w:tabs>
        <w:ind w:left="360" w:hanging="360" w:hangingChars="200"/>
      </w:pPr>
      <w:rPr>
        <w:rFonts w:hint="default" w:ascii="Wingdings" w:hAnsi="Wingdings"/>
      </w:rPr>
    </w:lvl>
  </w:abstractNum>
  <w:abstractNum w:abstractNumId="1">
    <w:nsid w:val="05FC56E6"/>
    <w:multiLevelType w:val="multilevel"/>
    <w:tmpl w:val="05FC56E6"/>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39D31C74"/>
    <w:multiLevelType w:val="multilevel"/>
    <w:tmpl w:val="39D31C7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45C42C9A"/>
    <w:multiLevelType w:val="multilevel"/>
    <w:tmpl w:val="45C42C9A"/>
    <w:lvl w:ilvl="0" w:tentative="0">
      <w:start w:val="1"/>
      <w:numFmt w:val="decimal"/>
      <w:pStyle w:val="3"/>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1260"/>
        </w:tabs>
        <w:ind w:left="126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4">
    <w:nsid w:val="546E3E08"/>
    <w:multiLevelType w:val="multilevel"/>
    <w:tmpl w:val="546E3E0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50F7"/>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4437400"/>
    <w:rsid w:val="0808579C"/>
    <w:rsid w:val="08566507"/>
    <w:rsid w:val="090D306A"/>
    <w:rsid w:val="0B3E70CC"/>
    <w:rsid w:val="0B750CA5"/>
    <w:rsid w:val="0BD70620"/>
    <w:rsid w:val="0C676F35"/>
    <w:rsid w:val="0E1F73C8"/>
    <w:rsid w:val="122E4051"/>
    <w:rsid w:val="131E0448"/>
    <w:rsid w:val="142C45C0"/>
    <w:rsid w:val="184676EF"/>
    <w:rsid w:val="196B3021"/>
    <w:rsid w:val="1AD03EF7"/>
    <w:rsid w:val="1DAD0520"/>
    <w:rsid w:val="1E0107C3"/>
    <w:rsid w:val="1F3022F6"/>
    <w:rsid w:val="2032390E"/>
    <w:rsid w:val="2188552B"/>
    <w:rsid w:val="24A461BD"/>
    <w:rsid w:val="289A78F2"/>
    <w:rsid w:val="2BCA04EF"/>
    <w:rsid w:val="2C0F7D8E"/>
    <w:rsid w:val="2E9B6172"/>
    <w:rsid w:val="30567D14"/>
    <w:rsid w:val="32087FC3"/>
    <w:rsid w:val="349347E2"/>
    <w:rsid w:val="37005648"/>
    <w:rsid w:val="39930ABA"/>
    <w:rsid w:val="39C946F0"/>
    <w:rsid w:val="3A2B484E"/>
    <w:rsid w:val="3A3B3026"/>
    <w:rsid w:val="3C8B3CCA"/>
    <w:rsid w:val="3F8F5CAA"/>
    <w:rsid w:val="417D11CF"/>
    <w:rsid w:val="41C04822"/>
    <w:rsid w:val="42276243"/>
    <w:rsid w:val="46256D76"/>
    <w:rsid w:val="4A9B77CE"/>
    <w:rsid w:val="4B7122DD"/>
    <w:rsid w:val="4B7C3EED"/>
    <w:rsid w:val="4C152A89"/>
    <w:rsid w:val="4CCF554E"/>
    <w:rsid w:val="4D4D1254"/>
    <w:rsid w:val="4EC549DA"/>
    <w:rsid w:val="4FDD2F69"/>
    <w:rsid w:val="50F54CB1"/>
    <w:rsid w:val="52BC228F"/>
    <w:rsid w:val="54B606B9"/>
    <w:rsid w:val="588F48B4"/>
    <w:rsid w:val="58F027B0"/>
    <w:rsid w:val="59A53821"/>
    <w:rsid w:val="5AA56A85"/>
    <w:rsid w:val="5DC4074E"/>
    <w:rsid w:val="5E541CB1"/>
    <w:rsid w:val="5F2152BE"/>
    <w:rsid w:val="61E922A5"/>
    <w:rsid w:val="631D7985"/>
    <w:rsid w:val="64722EF6"/>
    <w:rsid w:val="664633B0"/>
    <w:rsid w:val="67BA2573"/>
    <w:rsid w:val="68962AB7"/>
    <w:rsid w:val="6BFA1294"/>
    <w:rsid w:val="6C694B13"/>
    <w:rsid w:val="6D325918"/>
    <w:rsid w:val="6E6F7EED"/>
    <w:rsid w:val="6EAC4CE5"/>
    <w:rsid w:val="70616401"/>
    <w:rsid w:val="734168B5"/>
    <w:rsid w:val="73D82D35"/>
    <w:rsid w:val="77E6198F"/>
    <w:rsid w:val="78593E19"/>
    <w:rsid w:val="7BA051A0"/>
    <w:rsid w:val="7E30493E"/>
    <w:rsid w:val="7F6646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4">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5">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6">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7">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8">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9">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10">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1">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30">
    <w:name w:val="Default Paragraph Font"/>
    <w:unhideWhenUsed/>
    <w:qFormat/>
    <w:uiPriority w:val="1"/>
  </w:style>
  <w:style w:type="table" w:default="1" w:styleId="28">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styleId="12">
    <w:name w:val="Normal Indent"/>
    <w:basedOn w:val="1"/>
    <w:link w:val="98"/>
    <w:qFormat/>
    <w:uiPriority w:val="0"/>
    <w:pPr>
      <w:ind w:firstLine="420"/>
    </w:pPr>
    <w:rPr>
      <w:rFonts w:ascii="Calibri" w:hAnsi="Calibri" w:eastAsia="宋体" w:cs="黑体"/>
      <w:sz w:val="21"/>
      <w:szCs w:val="22"/>
    </w:rPr>
  </w:style>
  <w:style w:type="paragraph" w:styleId="13">
    <w:name w:val="List Bullet"/>
    <w:basedOn w:val="1"/>
    <w:qFormat/>
    <w:uiPriority w:val="0"/>
    <w:pPr>
      <w:numPr>
        <w:ilvl w:val="0"/>
        <w:numId w:val="2"/>
      </w:numPr>
    </w:pPr>
    <w:rPr>
      <w:sz w:val="21"/>
    </w:rPr>
  </w:style>
  <w:style w:type="paragraph" w:styleId="14">
    <w:name w:val="Document Map"/>
    <w:basedOn w:val="1"/>
    <w:link w:val="96"/>
    <w:semiHidden/>
    <w:qFormat/>
    <w:uiPriority w:val="0"/>
    <w:rPr>
      <w:rFonts w:ascii="Heiti SC Light" w:hAnsi="Calibri" w:eastAsia="Times New Roman"/>
      <w:sz w:val="24"/>
    </w:rPr>
  </w:style>
  <w:style w:type="paragraph" w:styleId="15">
    <w:name w:val="annotation text"/>
    <w:basedOn w:val="1"/>
    <w:link w:val="97"/>
    <w:qFormat/>
    <w:uiPriority w:val="0"/>
    <w:pPr>
      <w:jc w:val="left"/>
    </w:pPr>
    <w:rPr>
      <w:rFonts w:ascii="Calibri" w:hAnsi="Calibri" w:eastAsia="宋体" w:cs="黑体"/>
      <w:szCs w:val="22"/>
    </w:rPr>
  </w:style>
  <w:style w:type="paragraph" w:styleId="16">
    <w:name w:val="Body Text"/>
    <w:basedOn w:val="1"/>
    <w:link w:val="101"/>
    <w:qFormat/>
    <w:uiPriority w:val="0"/>
    <w:pPr>
      <w:spacing w:line="420" w:lineRule="auto"/>
    </w:pPr>
    <w:rPr>
      <w:sz w:val="24"/>
    </w:rPr>
  </w:style>
  <w:style w:type="paragraph" w:styleId="17">
    <w:name w:val="Body Text Indent"/>
    <w:basedOn w:val="1"/>
    <w:link w:val="85"/>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84"/>
    <w:qFormat/>
    <w:uiPriority w:val="0"/>
    <w:rPr>
      <w:rFonts w:ascii="宋体" w:hAnsi="Courier New" w:cs="Courier New"/>
      <w:sz w:val="21"/>
      <w:szCs w:val="21"/>
    </w:rPr>
  </w:style>
  <w:style w:type="paragraph" w:styleId="20">
    <w:name w:val="Balloon Text"/>
    <w:basedOn w:val="1"/>
    <w:link w:val="86"/>
    <w:unhideWhenUsed/>
    <w:qFormat/>
    <w:uiPriority w:val="0"/>
    <w:rPr>
      <w:sz w:val="18"/>
      <w:szCs w:val="18"/>
    </w:rPr>
  </w:style>
  <w:style w:type="paragraph" w:styleId="21">
    <w:name w:val="footer"/>
    <w:basedOn w:val="1"/>
    <w:link w:val="83"/>
    <w:qFormat/>
    <w:uiPriority w:val="99"/>
    <w:pPr>
      <w:tabs>
        <w:tab w:val="center" w:pos="4153"/>
        <w:tab w:val="right" w:pos="8306"/>
      </w:tabs>
      <w:snapToGrid w:val="0"/>
      <w:jc w:val="left"/>
    </w:pPr>
    <w:rPr>
      <w:sz w:val="18"/>
      <w:szCs w:val="18"/>
    </w:rPr>
  </w:style>
  <w:style w:type="paragraph" w:styleId="22">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3"/>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paragraph" w:styleId="27">
    <w:name w:val="annotation subject"/>
    <w:basedOn w:val="15"/>
    <w:next w:val="15"/>
    <w:link w:val="107"/>
    <w:unhideWhenUsed/>
    <w:qFormat/>
    <w:uiPriority w:val="99"/>
    <w:rPr>
      <w:rFonts w:ascii="Times New Roman" w:hAnsi="Times New Roman" w:eastAsia="宋体" w:cs="Times New Roman"/>
      <w:b/>
      <w:bCs/>
      <w:szCs w:val="24"/>
    </w:rPr>
  </w:style>
  <w:style w:type="table" w:styleId="29">
    <w:name w:val="Table Grid"/>
    <w:basedOn w:val="28"/>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qFormat/>
    <w:uiPriority w:val="0"/>
  </w:style>
  <w:style w:type="character" w:styleId="32">
    <w:name w:val="FollowedHyperlink"/>
    <w:qFormat/>
    <w:uiPriority w:val="99"/>
    <w:rPr>
      <w:color w:val="800080"/>
      <w:u w:val="single"/>
    </w:rPr>
  </w:style>
  <w:style w:type="character" w:styleId="33">
    <w:name w:val="Hyperlink"/>
    <w:qFormat/>
    <w:uiPriority w:val="99"/>
    <w:rPr>
      <w:color w:val="0000FF"/>
      <w:u w:val="single"/>
    </w:rPr>
  </w:style>
  <w:style w:type="character" w:styleId="34">
    <w:name w:val="annotation reference"/>
    <w:qFormat/>
    <w:uiPriority w:val="0"/>
    <w:rPr>
      <w:sz w:val="21"/>
    </w:rPr>
  </w:style>
  <w:style w:type="paragraph" w:customStyle="1" w:styleId="35">
    <w:name w:val="List Paragraph"/>
    <w:basedOn w:val="1"/>
    <w:qFormat/>
    <w:uiPriority w:val="0"/>
    <w:pPr>
      <w:ind w:firstLine="420" w:firstLineChars="200"/>
    </w:pPr>
  </w:style>
  <w:style w:type="paragraph" w:customStyle="1" w:styleId="36">
    <w:name w:val="列出段落1"/>
    <w:basedOn w:val="1"/>
    <w:qFormat/>
    <w:uiPriority w:val="0"/>
    <w:pPr>
      <w:ind w:firstLine="420" w:firstLineChars="200"/>
    </w:pPr>
    <w:rPr>
      <w:rFonts w:ascii="Calibri" w:hAnsi="Calibri"/>
      <w:sz w:val="21"/>
      <w:szCs w:val="22"/>
    </w:rPr>
  </w:style>
  <w:style w:type="paragraph" w:customStyle="1" w:styleId="37">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Char Char"/>
    <w:basedOn w:val="1"/>
    <w:qFormat/>
    <w:uiPriority w:val="0"/>
    <w:rPr>
      <w:rFonts w:ascii="Tahoma" w:hAnsi="Tahoma"/>
      <w:sz w:val="24"/>
      <w:szCs w:val="20"/>
    </w:rPr>
  </w:style>
  <w:style w:type="paragraph" w:customStyle="1" w:styleId="39">
    <w:name w:val="大汉方案正文"/>
    <w:basedOn w:val="1"/>
    <w:qFormat/>
    <w:uiPriority w:val="0"/>
    <w:pPr>
      <w:spacing w:line="360" w:lineRule="auto"/>
      <w:ind w:firstLine="200" w:firstLineChars="200"/>
    </w:pPr>
    <w:rPr>
      <w:rFonts w:ascii="Arial" w:hAnsi="Arial"/>
      <w:sz w:val="24"/>
      <w:szCs w:val="20"/>
    </w:rPr>
  </w:style>
  <w:style w:type="paragraph" w:customStyle="1" w:styleId="40">
    <w:name w:val="retrait3"/>
    <w:basedOn w:val="1"/>
    <w:qFormat/>
    <w:uiPriority w:val="0"/>
    <w:pPr>
      <w:widowControl/>
      <w:spacing w:before="20" w:after="20"/>
      <w:ind w:left="851"/>
      <w:jc w:val="left"/>
    </w:pPr>
    <w:rPr>
      <w:rFonts w:ascii="Arial" w:hAnsi="Arial"/>
      <w:kern w:val="0"/>
      <w:sz w:val="24"/>
      <w:szCs w:val="20"/>
    </w:rPr>
  </w:style>
  <w:style w:type="paragraph" w:customStyle="1" w:styleId="41">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30"/>
    <w:link w:val="21"/>
    <w:qFormat/>
    <w:uiPriority w:val="99"/>
    <w:rPr>
      <w:rFonts w:ascii="Times New Roman" w:hAnsi="Times New Roman" w:eastAsia="宋体" w:cs="Times New Roman"/>
      <w:sz w:val="18"/>
      <w:szCs w:val="18"/>
    </w:rPr>
  </w:style>
  <w:style w:type="character" w:customStyle="1" w:styleId="84">
    <w:name w:val="纯文本 Char"/>
    <w:basedOn w:val="30"/>
    <w:link w:val="19"/>
    <w:qFormat/>
    <w:uiPriority w:val="0"/>
    <w:rPr>
      <w:rFonts w:ascii="宋体" w:hAnsi="Courier New" w:eastAsia="宋体" w:cs="Courier New"/>
      <w:szCs w:val="21"/>
    </w:rPr>
  </w:style>
  <w:style w:type="character" w:customStyle="1" w:styleId="85">
    <w:name w:val="正文文本缩进 Char"/>
    <w:basedOn w:val="30"/>
    <w:link w:val="17"/>
    <w:qFormat/>
    <w:uiPriority w:val="0"/>
    <w:rPr>
      <w:rFonts w:ascii="Times New Roman" w:hAnsi="Times New Roman" w:eastAsia="宋体" w:cs="Times New Roman"/>
      <w:sz w:val="32"/>
      <w:szCs w:val="20"/>
    </w:rPr>
  </w:style>
  <w:style w:type="character" w:customStyle="1" w:styleId="86">
    <w:name w:val="批注框文本 Char"/>
    <w:basedOn w:val="30"/>
    <w:link w:val="20"/>
    <w:qFormat/>
    <w:uiPriority w:val="0"/>
    <w:rPr>
      <w:rFonts w:ascii="Times New Roman" w:hAnsi="Times New Roman" w:eastAsia="宋体" w:cs="Times New Roman"/>
      <w:sz w:val="18"/>
      <w:szCs w:val="18"/>
    </w:rPr>
  </w:style>
  <w:style w:type="character" w:customStyle="1" w:styleId="87">
    <w:name w:val="标题 1 Char"/>
    <w:basedOn w:val="30"/>
    <w:link w:val="3"/>
    <w:qFormat/>
    <w:uiPriority w:val="0"/>
    <w:rPr>
      <w:rFonts w:ascii="Calibri" w:hAnsi="Calibri" w:eastAsia="仿宋" w:cs="Times New Roman"/>
      <w:b/>
      <w:bCs/>
      <w:kern w:val="44"/>
      <w:sz w:val="30"/>
      <w:szCs w:val="44"/>
    </w:rPr>
  </w:style>
  <w:style w:type="character" w:customStyle="1" w:styleId="88">
    <w:name w:val="标题 2 Char"/>
    <w:basedOn w:val="30"/>
    <w:link w:val="4"/>
    <w:qFormat/>
    <w:uiPriority w:val="0"/>
    <w:rPr>
      <w:rFonts w:ascii="Cambria" w:hAnsi="Cambria" w:eastAsia="宋体" w:cs="Times New Roman"/>
      <w:b/>
      <w:bCs/>
      <w:sz w:val="28"/>
      <w:szCs w:val="32"/>
    </w:rPr>
  </w:style>
  <w:style w:type="character" w:customStyle="1" w:styleId="89">
    <w:name w:val="标题 3 Char"/>
    <w:basedOn w:val="30"/>
    <w:link w:val="5"/>
    <w:qFormat/>
    <w:uiPriority w:val="0"/>
    <w:rPr>
      <w:rFonts w:ascii="Calibri" w:hAnsi="Calibri" w:eastAsia="宋体" w:cs="Times New Roman"/>
      <w:b/>
      <w:bCs/>
      <w:sz w:val="32"/>
      <w:szCs w:val="32"/>
    </w:rPr>
  </w:style>
  <w:style w:type="character" w:customStyle="1" w:styleId="90">
    <w:name w:val="标题 4 Char"/>
    <w:basedOn w:val="30"/>
    <w:link w:val="6"/>
    <w:qFormat/>
    <w:uiPriority w:val="0"/>
    <w:rPr>
      <w:rFonts w:ascii="Cambria" w:hAnsi="Cambria" w:eastAsia="宋体" w:cs="Times New Roman"/>
      <w:b/>
      <w:bCs/>
      <w:sz w:val="28"/>
      <w:szCs w:val="28"/>
    </w:rPr>
  </w:style>
  <w:style w:type="character" w:customStyle="1" w:styleId="91">
    <w:name w:val="标题 5 Char"/>
    <w:basedOn w:val="30"/>
    <w:link w:val="7"/>
    <w:qFormat/>
    <w:uiPriority w:val="0"/>
    <w:rPr>
      <w:rFonts w:ascii="Times New Roman" w:hAnsi="Times New Roman" w:eastAsia="宋体" w:cs="Times New Roman"/>
      <w:b/>
      <w:bCs/>
      <w:kern w:val="0"/>
      <w:sz w:val="28"/>
      <w:szCs w:val="28"/>
    </w:rPr>
  </w:style>
  <w:style w:type="character" w:customStyle="1" w:styleId="92">
    <w:name w:val="标题 6 Char"/>
    <w:basedOn w:val="30"/>
    <w:link w:val="8"/>
    <w:qFormat/>
    <w:uiPriority w:val="0"/>
    <w:rPr>
      <w:rFonts w:ascii="Arial" w:hAnsi="Arial" w:eastAsia="黑体" w:cs="Times New Roman"/>
      <w:b/>
      <w:bCs/>
      <w:kern w:val="0"/>
      <w:sz w:val="24"/>
      <w:szCs w:val="24"/>
    </w:rPr>
  </w:style>
  <w:style w:type="character" w:customStyle="1" w:styleId="93">
    <w:name w:val="标题 7 Char"/>
    <w:basedOn w:val="30"/>
    <w:link w:val="9"/>
    <w:qFormat/>
    <w:uiPriority w:val="0"/>
    <w:rPr>
      <w:rFonts w:ascii="Times New Roman" w:hAnsi="Times New Roman" w:eastAsia="宋体" w:cs="Times New Roman"/>
      <w:b/>
      <w:bCs/>
      <w:kern w:val="0"/>
      <w:sz w:val="24"/>
      <w:szCs w:val="24"/>
    </w:rPr>
  </w:style>
  <w:style w:type="character" w:customStyle="1" w:styleId="94">
    <w:name w:val="标题 8 Char"/>
    <w:basedOn w:val="30"/>
    <w:link w:val="10"/>
    <w:qFormat/>
    <w:uiPriority w:val="0"/>
    <w:rPr>
      <w:rFonts w:ascii="Arial" w:hAnsi="Arial" w:eastAsia="黑体" w:cs="Times New Roman"/>
      <w:kern w:val="0"/>
      <w:sz w:val="24"/>
      <w:szCs w:val="24"/>
    </w:rPr>
  </w:style>
  <w:style w:type="character" w:customStyle="1" w:styleId="95">
    <w:name w:val="标题 9 Char"/>
    <w:basedOn w:val="30"/>
    <w:link w:val="11"/>
    <w:qFormat/>
    <w:uiPriority w:val="0"/>
    <w:rPr>
      <w:rFonts w:ascii="Arial" w:hAnsi="Arial" w:eastAsia="黑体" w:cs="Times New Roman"/>
      <w:kern w:val="0"/>
      <w:szCs w:val="21"/>
    </w:rPr>
  </w:style>
  <w:style w:type="character" w:customStyle="1" w:styleId="96">
    <w:name w:val="文档结构图 Char"/>
    <w:basedOn w:val="30"/>
    <w:link w:val="14"/>
    <w:semiHidden/>
    <w:qFormat/>
    <w:uiPriority w:val="0"/>
    <w:rPr>
      <w:rFonts w:ascii="Heiti SC Light" w:hAnsi="Calibri" w:eastAsia="Times New Roman" w:cs="Times New Roman"/>
      <w:sz w:val="24"/>
      <w:szCs w:val="24"/>
    </w:rPr>
  </w:style>
  <w:style w:type="character" w:customStyle="1" w:styleId="97">
    <w:name w:val="批注文字 Char"/>
    <w:link w:val="15"/>
    <w:qFormat/>
    <w:uiPriority w:val="0"/>
    <w:rPr>
      <w:sz w:val="28"/>
    </w:rPr>
  </w:style>
  <w:style w:type="character" w:customStyle="1" w:styleId="98">
    <w:name w:val="正文缩进 Char"/>
    <w:link w:val="12"/>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30"/>
    <w:qFormat/>
    <w:uiPriority w:val="0"/>
    <w:rPr>
      <w:rFonts w:ascii="Times New Roman" w:hAnsi="Times New Roman" w:eastAsia="宋体" w:cs="Times New Roman"/>
      <w:sz w:val="28"/>
      <w:szCs w:val="24"/>
    </w:rPr>
  </w:style>
  <w:style w:type="character" w:customStyle="1" w:styleId="101">
    <w:name w:val="正文文本 Char"/>
    <w:basedOn w:val="30"/>
    <w:link w:val="16"/>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30"/>
    <w:link w:val="24"/>
    <w:qFormat/>
    <w:uiPriority w:val="0"/>
    <w:rPr>
      <w:rFonts w:ascii="Times New Roman" w:hAnsi="Times New Roman" w:eastAsia="宋体" w:cs="Times New Roman"/>
      <w:sz w:val="16"/>
      <w:szCs w:val="16"/>
    </w:rPr>
  </w:style>
  <w:style w:type="character" w:customStyle="1" w:styleId="104">
    <w:name w:val="标题 Char"/>
    <w:basedOn w:val="30"/>
    <w:link w:val="26"/>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30"/>
    <w:link w:val="22"/>
    <w:qFormat/>
    <w:uiPriority w:val="0"/>
    <w:rPr>
      <w:rFonts w:ascii="Times New Roman" w:hAnsi="Times New Roman" w:eastAsia="宋体" w:cs="Times New Roman"/>
      <w:sz w:val="18"/>
      <w:szCs w:val="18"/>
    </w:rPr>
  </w:style>
  <w:style w:type="character" w:customStyle="1" w:styleId="107">
    <w:name w:val="批注主题 Char"/>
    <w:basedOn w:val="97"/>
    <w:link w:val="27"/>
    <w:semiHidden/>
    <w:qFormat/>
    <w:uiPriority w:val="99"/>
    <w:rPr>
      <w:rFonts w:ascii="Times New Roman" w:hAnsi="Times New Roman" w:eastAsia="宋体" w:cs="Times New Roman"/>
      <w:b/>
      <w:bCs/>
      <w:szCs w:val="24"/>
    </w:rPr>
  </w:style>
  <w:style w:type="table" w:customStyle="1" w:styleId="108">
    <w:name w:val="网格型1"/>
    <w:basedOn w:val="28"/>
    <w:qFormat/>
    <w:locked/>
    <w:uiPriority w:val="59"/>
    <w:rPr>
      <w:rFonts w:ascii="Calibri" w:hAnsi="Calibri" w:eastAsia="宋体"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9">
    <w:name w:val="样式 正文首行缩进 + 宋体 首行缩进:  0.74 厘米"/>
    <w:qFormat/>
    <w:uiPriority w:val="0"/>
    <w:pPr>
      <w:widowControl w:val="0"/>
      <w:autoSpaceDE w:val="0"/>
      <w:autoSpaceDN w:val="0"/>
      <w:adjustRightInd w:val="0"/>
      <w:snapToGrid w:val="0"/>
      <w:spacing w:before="120" w:after="0" w:line="380" w:lineRule="exact"/>
      <w:ind w:firstLine="0" w:firstLineChars="0"/>
      <w:jc w:val="both"/>
      <w:textAlignment w:val="auto"/>
    </w:pPr>
    <w:rPr>
      <w:rFonts w:ascii="宋体" w:hAnsi="宋体" w:eastAsia="微软雅黑" w:cs="宋体"/>
      <w:snapToGrid w:val="0"/>
      <w:color w:val="000000"/>
      <w:kern w:val="0"/>
      <w:sz w:val="32"/>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11361</Words>
  <Characters>12077</Characters>
  <Lines>72</Lines>
  <Paragraphs>20</Paragraphs>
  <TotalTime>14</TotalTime>
  <ScaleCrop>false</ScaleCrop>
  <LinksUpToDate>false</LinksUpToDate>
  <CharactersWithSpaces>12456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LiuJiayun</cp:lastModifiedBy>
  <cp:lastPrinted>2022-04-11T08:57:00Z</cp:lastPrinted>
  <dcterms:modified xsi:type="dcterms:W3CDTF">2022-04-11T09:56:00Z</dcterms:modified>
  <dc:title>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0230F2731D474F118063B0544DF4BD21</vt:lpwstr>
  </property>
</Properties>
</file>