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sz w:val="32"/>
          <w:szCs w:val="32"/>
          <w:highlight w:val="yellow"/>
        </w:rPr>
      </w:pPr>
      <w:r>
        <w:rPr>
          <w:bCs/>
          <w:sz w:val="32"/>
          <w:szCs w:val="32"/>
        </w:rPr>
        <w:t>项目名称：</w:t>
      </w:r>
      <w:r>
        <w:rPr>
          <w:rFonts w:hint="eastAsia"/>
          <w:bCs/>
          <w:sz w:val="32"/>
          <w:szCs w:val="32"/>
        </w:rPr>
        <w:t>湖北省博物馆供电设备试验检测项目</w:t>
      </w:r>
    </w:p>
    <w:p>
      <w:pPr>
        <w:tabs>
          <w:tab w:val="left" w:pos="2625"/>
        </w:tabs>
        <w:spacing w:line="480" w:lineRule="auto"/>
        <w:jc w:val="center"/>
        <w:rPr>
          <w:bCs/>
          <w:sz w:val="32"/>
          <w:szCs w:val="32"/>
        </w:rPr>
      </w:pPr>
      <w:r>
        <w:rPr>
          <w:rFonts w:hint="eastAsia"/>
          <w:bCs/>
          <w:sz w:val="32"/>
          <w:szCs w:val="32"/>
        </w:rPr>
        <w:t xml:space="preserve">  谈判</w:t>
      </w:r>
      <w:r>
        <w:rPr>
          <w:bCs/>
          <w:sz w:val="32"/>
          <w:szCs w:val="32"/>
        </w:rPr>
        <w:t>内容：</w:t>
      </w:r>
      <w:r>
        <w:rPr>
          <w:rFonts w:hint="eastAsia"/>
          <w:bCs/>
          <w:sz w:val="32"/>
          <w:szCs w:val="32"/>
        </w:rPr>
        <w:t>湖北省博物馆供电设备试验检测项目</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sz w:val="32"/>
          <w:szCs w:val="32"/>
        </w:rPr>
        <w:t>2023</w:t>
      </w:r>
      <w:r>
        <w:rPr>
          <w:sz w:val="32"/>
          <w:szCs w:val="32"/>
        </w:rPr>
        <w:t>年</w:t>
      </w:r>
      <w:r>
        <w:rPr>
          <w:rFonts w:hint="eastAsia"/>
          <w:sz w:val="32"/>
          <w:szCs w:val="32"/>
        </w:rPr>
        <w:t>4</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6"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sz w:val="24"/>
        </w:rPr>
        <w:t>（</w:t>
      </w:r>
      <w:r>
        <w:rPr>
          <w:rFonts w:hint="eastAsia"/>
          <w:bCs/>
          <w:sz w:val="24"/>
        </w:rPr>
        <w:t>湖北省博物馆供电设备试验检测项目</w:t>
      </w:r>
      <w:r>
        <w:rPr>
          <w:rFonts w:hint="eastAsia"/>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sz w:val="24"/>
        </w:rPr>
      </w:pPr>
      <w:r>
        <w:rPr>
          <w:bCs/>
          <w:sz w:val="24"/>
        </w:rPr>
        <w:t>二、项目名称：</w:t>
      </w:r>
      <w:r>
        <w:rPr>
          <w:rFonts w:hint="eastAsia"/>
          <w:bCs/>
          <w:sz w:val="24"/>
        </w:rPr>
        <w:t>湖北省博物馆供电设备试验检测项目</w:t>
      </w:r>
    </w:p>
    <w:p>
      <w:pPr>
        <w:spacing w:line="440" w:lineRule="exact"/>
        <w:ind w:firstLine="480" w:firstLineChars="200"/>
        <w:rPr>
          <w:bCs/>
          <w:sz w:val="24"/>
        </w:rPr>
      </w:pPr>
      <w:r>
        <w:rPr>
          <w:bCs/>
          <w:sz w:val="24"/>
        </w:rPr>
        <w:t>三、谈判内容</w:t>
      </w:r>
      <w:r>
        <w:rPr>
          <w:rFonts w:hint="eastAsia"/>
          <w:bCs/>
          <w:sz w:val="24"/>
        </w:rPr>
        <w:t>清单</w:t>
      </w:r>
      <w:r>
        <w:rPr>
          <w:bCs/>
          <w:sz w:val="24"/>
        </w:rPr>
        <w:t>：</w:t>
      </w:r>
    </w:p>
    <w:tbl>
      <w:tblPr>
        <w:tblStyle w:val="32"/>
        <w:tblW w:w="95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40"/>
        <w:gridCol w:w="3831"/>
        <w:gridCol w:w="963"/>
        <w:gridCol w:w="963"/>
        <w:gridCol w:w="2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tcBorders>
              <w:top w:val="single" w:color="000000" w:sz="8"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配电房名称</w:t>
            </w:r>
          </w:p>
        </w:tc>
        <w:tc>
          <w:tcPr>
            <w:tcW w:w="3831"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实验项目及内容</w:t>
            </w:r>
          </w:p>
        </w:tc>
        <w:tc>
          <w:tcPr>
            <w:tcW w:w="963"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963"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2109"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柜体位置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设备楼供电设备</w:t>
            </w: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中心配电房主供高压进线柜检测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中心配电房主供高压计量柜检测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中心配电房主供负控提升柜检测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中心配电房主供高压PT柜检测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中心配电房1TM高压馈线柜检测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中心配电房3TM高压馈线柜检测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中心配电房7TM高压馈线柜检测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中心配电房9TM高压馈线柜检测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中心配电房主供高压母联柜检测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中心配电房主供高压联络提升柜检测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中心配电房备供高压进线柜检测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中心配电房备供高压计量柜检测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中心配电房备供负控提升柜检测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中心配电房备供高压PT柜检测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中心配电房2TM高压馈线柜检测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中心配电房4TM高压馈线柜检测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中心配电房6TM高压馈线柜检测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中心配电房8TM高压馈线柜检测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中心配电房母线耐压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中心配电房出现电缆检测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条</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微机综合保护装置检测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蓄电池自动充电装置检测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高压柜接地系统检测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系统</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安全工具检测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干式变压器1600KVA(1#变、2#变)检测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干式变压器1250KVA(3#变、4#变)检测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DEAL1柜检测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设备楼-1层走道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GLAK1柜检测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设备楼-1层走道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D2AL1柜检测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设备楼-2层走道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D2ALE1柜检测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设备楼-2层走道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nil"/>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楚文化馆供电设备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一号柜检测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楚文化馆配电室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二号柜检测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楚文化馆配电室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三号柜检测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楚文化馆配电室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nil"/>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编钟馆供电设备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AEP-Z1柜检测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AL-Z1柜检测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AT-Z1柜检测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AEP-Z2柜检测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1AP1抽屉柜检测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1AP2抽屉柜检测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nil"/>
              <w:left w:val="single" w:color="000000" w:sz="8" w:space="0"/>
              <w:bottom w:val="nil"/>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综合馆供电设备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AP2柜检测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AP3柜检测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AP4柜检测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AP5柜检测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AP6柜检测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AP7柜检测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AP8柜检测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AP9柜检测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AP10柜检测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综合馆二级配电房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文展大楼电力设备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AD1ALE1柜检测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A2ALE1柜检测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E4ALE1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5号强电井4层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auto" w:sz="4" w:space="0"/>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F2ALE1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6号强电井2层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auto"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auto" w:sz="4" w:space="0"/>
              <w:left w:val="single" w:color="auto" w:sz="4" w:space="0"/>
              <w:bottom w:val="single" w:color="auto" w:sz="4" w:space="0"/>
              <w:right w:val="single" w:color="auto"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GD1ALE1</w:t>
            </w:r>
          </w:p>
        </w:tc>
        <w:tc>
          <w:tcPr>
            <w:tcW w:w="963" w:type="dxa"/>
            <w:tcBorders>
              <w:top w:val="single" w:color="000000" w:sz="4" w:space="0"/>
              <w:left w:val="single" w:color="auto"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auto"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HD1ALE2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D2ALE1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4号强电井2层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C3ALE1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3号强电井3层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B4ALE1/B1ALE1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2号强电井4层/1层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AD1ALV1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AD3ALV1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2号强电井4层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B1ATZ1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E3ATZ1/E4ATZ1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5号强电井3层/4层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D2ATZ1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4号强电井2层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FD1AL1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A2AT3</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2号强电井4层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B4AK1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2号强电井4层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E4AL1\E2AL1\E1AL1\ED1AL1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5号强电井4层/2层/1层/-1层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F3ATZ1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6号强电井3层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HD1AT5</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HD1AT7</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HD1AT8</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HD1AT6</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DD1ATZ1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A2AT3</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A3AT2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CD1AL1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DD1AK1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A1AL2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A1AL3</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1号强电井1层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高压柜KYN-28 4台</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文展大楼配电房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auto" w:sz="4" w:space="0"/>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变压器1650KVA2台</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文展大楼配电房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auto"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auto" w:sz="4" w:space="0"/>
              <w:left w:val="single" w:color="auto" w:sz="4" w:space="0"/>
              <w:bottom w:val="single" w:color="auto" w:sz="4" w:space="0"/>
              <w:right w:val="single" w:color="auto"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B4AT4</w:t>
            </w:r>
          </w:p>
        </w:tc>
        <w:tc>
          <w:tcPr>
            <w:tcW w:w="963" w:type="dxa"/>
            <w:tcBorders>
              <w:top w:val="single" w:color="000000" w:sz="4" w:space="0"/>
              <w:left w:val="single" w:color="auto"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2号强电井4层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三中心主备   供电力设备</w:t>
            </w:r>
          </w:p>
        </w:tc>
        <w:tc>
          <w:tcPr>
            <w:tcW w:w="3831" w:type="dxa"/>
            <w:tcBorders>
              <w:top w:val="single" w:color="auto"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BD1AT1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文保中心-1层强电井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BD1AT5</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文保中心-1层强电井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B1AT1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文保中心1层强电井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3#T</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AD1AT2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研究中心-1层强电井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2#T照明</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2#T空调</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B3AP1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文保中心3层强电井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BD2A;1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文保中心车库强电井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3#T照明</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CD2AL1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接待中心车库强电井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1#T\</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1#T</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3#T空调</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A4AP1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研究中心4层强电井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高压进线柜（六氟化硫）</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三中心配电房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变压器630KVA</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2109"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三中心配电房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tcBorders>
              <w:top w:val="single" w:color="000000" w:sz="4" w:space="0"/>
              <w:left w:val="single" w:color="000000" w:sz="8" w:space="0"/>
              <w:bottom w:val="single" w:color="000000" w:sz="8" w:space="0"/>
              <w:right w:val="single" w:color="000000" w:sz="4" w:space="0"/>
            </w:tcBorders>
            <w:tcMar>
              <w:top w:w="5" w:type="dxa"/>
              <w:left w:w="5" w:type="dxa"/>
              <w:right w:w="5" w:type="dxa"/>
            </w:tcMar>
            <w:vAlign w:val="center"/>
          </w:tcPr>
          <w:p>
            <w:pPr>
              <w:rPr>
                <w:rFonts w:ascii="宋体" w:hAnsi="宋体" w:cs="宋体"/>
                <w:color w:val="000000"/>
                <w:sz w:val="22"/>
                <w:szCs w:val="22"/>
              </w:rPr>
            </w:pPr>
          </w:p>
        </w:tc>
        <w:tc>
          <w:tcPr>
            <w:tcW w:w="7866" w:type="dxa"/>
            <w:gridSpan w:val="4"/>
            <w:tcBorders>
              <w:top w:val="single" w:color="000000" w:sz="4" w:space="0"/>
              <w:left w:val="single" w:color="000000" w:sz="4" w:space="0"/>
              <w:bottom w:val="single" w:color="000000" w:sz="8"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合计：180000元（大写：人民币壹拾捌万元整）</w:t>
            </w:r>
          </w:p>
        </w:tc>
      </w:tr>
    </w:tbl>
    <w:p>
      <w:pPr>
        <w:spacing w:line="440" w:lineRule="exact"/>
        <w:rPr>
          <w:bCs/>
          <w:sz w:val="24"/>
        </w:rPr>
      </w:pPr>
    </w:p>
    <w:p>
      <w:pPr>
        <w:spacing w:line="440" w:lineRule="exact"/>
        <w:ind w:firstLine="480" w:firstLineChars="200"/>
        <w:rPr>
          <w:bCs/>
          <w:sz w:val="24"/>
        </w:rPr>
      </w:pPr>
      <w:r>
        <w:rPr>
          <w:bCs/>
          <w:sz w:val="24"/>
        </w:rPr>
        <w:t>四、采购预算：</w:t>
      </w:r>
      <w:r>
        <w:rPr>
          <w:rFonts w:hint="eastAsia"/>
          <w:bCs/>
          <w:sz w:val="24"/>
          <w:u w:val="single"/>
        </w:rPr>
        <w:t xml:space="preserve">  180000   </w:t>
      </w:r>
      <w:r>
        <w:rPr>
          <w:rFonts w:hint="eastAsia"/>
          <w:bCs/>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23</w:t>
      </w:r>
      <w:r>
        <w:rPr>
          <w:rFonts w:hint="eastAsia" w:cs="宋体"/>
          <w:sz w:val="24"/>
        </w:rPr>
        <w:t>年</w:t>
      </w:r>
      <w:r>
        <w:rPr>
          <w:rFonts w:hint="eastAsia"/>
          <w:sz w:val="24"/>
        </w:rPr>
        <w:t xml:space="preserve"> 4 </w:t>
      </w:r>
      <w:r>
        <w:rPr>
          <w:rFonts w:hint="eastAsia" w:cs="宋体"/>
          <w:sz w:val="24"/>
        </w:rPr>
        <w:t>月</w:t>
      </w:r>
      <w:r>
        <w:rPr>
          <w:rFonts w:hint="eastAsia"/>
          <w:sz w:val="24"/>
          <w:lang w:val="en-US" w:eastAsia="zh-CN"/>
        </w:rPr>
        <w:t>18</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23</w:t>
      </w:r>
      <w:r>
        <w:rPr>
          <w:sz w:val="24"/>
        </w:rPr>
        <w:t>年</w:t>
      </w:r>
      <w:r>
        <w:rPr>
          <w:rFonts w:hint="eastAsia"/>
          <w:sz w:val="24"/>
        </w:rPr>
        <w:t xml:space="preserve">4 </w:t>
      </w:r>
      <w:r>
        <w:rPr>
          <w:sz w:val="24"/>
        </w:rPr>
        <w:t>月</w:t>
      </w:r>
      <w:r>
        <w:rPr>
          <w:rFonts w:hint="eastAsia"/>
          <w:sz w:val="24"/>
        </w:rPr>
        <w:t xml:space="preserve"> </w:t>
      </w:r>
      <w:r>
        <w:rPr>
          <w:rFonts w:hint="eastAsia"/>
          <w:sz w:val="24"/>
          <w:lang w:val="en-US" w:eastAsia="zh-CN"/>
        </w:rPr>
        <w:t>17</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szCs w:val="28"/>
        </w:rPr>
      </w:pPr>
      <w:r>
        <w:rPr>
          <w:b/>
          <w:sz w:val="36"/>
          <w:szCs w:val="36"/>
        </w:rPr>
        <w:t>第二章</w:t>
      </w:r>
      <w:r>
        <w:rPr>
          <w:rFonts w:hint="eastAsia"/>
          <w:b/>
          <w:sz w:val="36"/>
          <w:szCs w:val="36"/>
        </w:rPr>
        <w:t xml:space="preserve">  </w:t>
      </w:r>
      <w:r>
        <w:rPr>
          <w:b/>
          <w:bCs/>
          <w:sz w:val="36"/>
          <w:szCs w:val="36"/>
        </w:rPr>
        <w:t>谈判须知</w:t>
      </w: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rFonts w:cs="宋体"/>
                <w:kern w:val="0"/>
                <w:sz w:val="24"/>
              </w:rPr>
            </w:pPr>
            <w:r>
              <w:rPr>
                <w:rFonts w:hint="eastAsia" w:cs="宋体"/>
                <w:kern w:val="0"/>
                <w:sz w:val="24"/>
              </w:rPr>
              <w:t>供电设备试验检测项目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rFonts w:cs="宋体"/>
                <w:kern w:val="0"/>
                <w:sz w:val="24"/>
              </w:rPr>
            </w:pPr>
            <w:r>
              <w:rPr>
                <w:rFonts w:hint="eastAsia" w:cs="宋体"/>
                <w:kern w:val="0"/>
                <w:sz w:val="24"/>
              </w:rPr>
              <w:t>供电设备试验检测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cs="宋体"/>
                <w:kern w:val="0"/>
                <w:sz w:val="24"/>
              </w:rPr>
              <w:t>180000元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联系人：徐勇</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联系方式：15071303881</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rPr>
                <w:kern w:val="0"/>
                <w:sz w:val="24"/>
              </w:rPr>
            </w:pPr>
            <w:r>
              <w:rPr>
                <w:rFonts w:hint="eastAsia"/>
                <w:kern w:val="0"/>
                <w:sz w:val="24"/>
              </w:rPr>
              <w:t>承装、修、试三级及以上、安全生产许可证。检测人员具备特种作业操作证。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谈判之日起30个日历日内保持有效。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 xml:space="preserve"> 4 </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21</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 xml:space="preserve"> 4 </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21</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cs="宋体"/>
          <w:sz w:val="30"/>
          <w:szCs w:val="30"/>
        </w:rPr>
      </w:pPr>
    </w:p>
    <w:p>
      <w:pPr>
        <w:widowControl/>
        <w:jc w:val="center"/>
        <w:rPr>
          <w:rFonts w:eastAsia="黑体"/>
          <w:bCs/>
          <w:sz w:val="24"/>
        </w:rPr>
      </w:pPr>
      <w:r>
        <w:rPr>
          <w:rFonts w:hint="eastAsia" w:cs="宋体"/>
          <w:sz w:val="30"/>
          <w:szCs w:val="30"/>
        </w:rPr>
        <w:t>二、供应商须知</w:t>
      </w: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成交供应商在收到成交通知书后，15日内与采购人签订湖北省博物馆供电设备试验检测项目合同。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rPr>
          <w:rFonts w:hint="eastAsia"/>
          <w:sz w:val="24"/>
        </w:rPr>
        <w:t>详见采购需求中的“付款方式”。</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sz w:val="36"/>
          <w:szCs w:val="36"/>
        </w:rPr>
      </w:pPr>
      <w:r>
        <w:rPr>
          <w:sz w:val="36"/>
          <w:szCs w:val="36"/>
        </w:rPr>
        <w:t>第三章</w:t>
      </w:r>
      <w:r>
        <w:rPr>
          <w:rFonts w:hint="eastAsia"/>
          <w:sz w:val="36"/>
          <w:szCs w:val="36"/>
        </w:rPr>
        <w:t xml:space="preserve">  </w:t>
      </w:r>
      <w:r>
        <w:rPr>
          <w:sz w:val="36"/>
          <w:szCs w:val="36"/>
        </w:rPr>
        <w:t>采购</w:t>
      </w:r>
      <w:r>
        <w:rPr>
          <w:rFonts w:hint="eastAsia"/>
          <w:sz w:val="36"/>
          <w:szCs w:val="36"/>
        </w:rPr>
        <w:t>服务</w:t>
      </w:r>
      <w:r>
        <w:rPr>
          <w:sz w:val="36"/>
          <w:szCs w:val="36"/>
        </w:rPr>
        <w:t>技术规格、参数及要求</w:t>
      </w:r>
    </w:p>
    <w:p>
      <w:pPr>
        <w:spacing w:before="240" w:after="60"/>
        <w:jc w:val="left"/>
        <w:outlineLvl w:val="0"/>
        <w:rPr>
          <w:rFonts w:ascii="宋体" w:hAnsi="宋体" w:cs="宋体"/>
          <w:sz w:val="24"/>
        </w:rPr>
      </w:pPr>
      <w:r>
        <w:rPr>
          <w:rFonts w:hint="eastAsia" w:ascii="宋体" w:hAnsi="宋体" w:cs="宋体"/>
          <w:sz w:val="24"/>
        </w:rPr>
        <w:t>一、采购服务具体技术参数及要求</w:t>
      </w:r>
    </w:p>
    <w:tbl>
      <w:tblPr>
        <w:tblStyle w:val="32"/>
        <w:tblW w:w="92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40"/>
        <w:gridCol w:w="3831"/>
        <w:gridCol w:w="963"/>
        <w:gridCol w:w="963"/>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tcBorders>
              <w:top w:val="single" w:color="000000" w:sz="8"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配电房名称</w:t>
            </w:r>
          </w:p>
        </w:tc>
        <w:tc>
          <w:tcPr>
            <w:tcW w:w="3831"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实验项目及内容</w:t>
            </w:r>
          </w:p>
        </w:tc>
        <w:tc>
          <w:tcPr>
            <w:tcW w:w="963"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963"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1850" w:type="dxa"/>
            <w:tcBorders>
              <w:top w:val="single" w:color="000000" w:sz="8" w:space="0"/>
              <w:left w:val="single" w:color="000000" w:sz="4" w:space="0"/>
              <w:bottom w:val="single" w:color="000000" w:sz="4" w:space="0"/>
              <w:right w:val="single" w:color="000000" w:sz="4" w:space="0"/>
            </w:tcBorders>
            <w:tcMar>
              <w:top w:w="5" w:type="dxa"/>
              <w:left w:w="5" w:type="dxa"/>
              <w:right w:w="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设备楼供电设备</w:t>
            </w: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中心配电房主供高压进线柜检测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中心配电房主供高压计量柜检测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中心配电房主供负控提升柜检测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中心配电房主供高压PT柜检测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中心配电房1TM高压馈线柜检测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中心配电房3TM高压馈线柜检测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中心配电房7TM高压馈线柜检测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中心配电房9TM高压馈线柜检测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中心配电房主供高压母联柜检测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中心配电房主供高压联络提升柜检测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中心配电房备供高压进线柜检测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中心配电房备供高压计量柜检测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中心配电房备供负控提升柜检测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中心配电房备供高压PT柜检测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中心配电房2TM高压馈线柜检测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中心配电房4TM高压馈线柜检测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中心配电房6TM高压馈线柜检测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中心配电房8TM高压馈线柜检测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中心配电房母线耐压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中心配电房出现电缆检测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条</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微机综合保护装置检测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蓄电池自动充电装置检测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高压柜接地系统检测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系统</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安全工具检测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干式变压器1600KVA(1#变、2#变)检测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干式变压器1250KVA(3#变、4#变)检测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DEAL1柜检测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GLAK1柜检测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D2AL1柜检测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D2ALE1柜检测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nil"/>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楚文化馆供电设备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一号柜检测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二号柜检测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三号柜检测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nil"/>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编钟馆供电设备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AEP-Z1柜检测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AL-Z1柜检测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AT-Z1柜检测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AEP-Z2柜检测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1AP1抽屉柜检测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1AP2抽屉柜检测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nil"/>
              <w:left w:val="single" w:color="000000" w:sz="8" w:space="0"/>
              <w:bottom w:val="nil"/>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综合馆供电设备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AP2柜检测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AP3柜检测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AP4柜检测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AP5柜检测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AP6柜检测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AP7柜检测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AP8柜检测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AP9柜检测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nil"/>
              <w:left w:val="single" w:color="000000" w:sz="8" w:space="0"/>
              <w:bottom w:val="nil"/>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AP10柜检测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文展大楼电力设备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AD1ALE1柜检测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A2ALE1柜检测</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E4ALE1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F2ALE1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GD1ALE1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HD1ALE2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DD1ALE1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D2ALE1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C3ALE1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CD1ALE1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B4ALE1/B1ALE1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AD1ALV1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AD3ALV1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B1ATZ1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E3ATZ1/E4ATZ1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D2ATZ1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FD1AL1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A2AT3</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B4AK1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E4AL1\E2AL1\E1AL1\ED1AL1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F3ATZ1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HD1AT5</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HD1AT7</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HD1AT8</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HD1AT6</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DD1ATZ1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A2AT3</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A3AT2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CD1AL1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DD1AK1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A1AL2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A1AL3</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高压柜KYN-28 4台</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变压器1650KVA2台</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B4AT4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restart"/>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三中心主备   供电力设备</w:t>
            </w: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BD1AT1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BD1AT5</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B1AT1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3#T</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AD1AT2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2#T照明</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2#T空调</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B3AP1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BD2A;1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3#T照明</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CD2AL1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1#T\</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1#T</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3#T空调</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A4AP1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高压进线柜（六氟化硫）</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vMerge w:val="continue"/>
            <w:tcBorders>
              <w:top w:val="single" w:color="000000" w:sz="4" w:space="0"/>
              <w:left w:val="single" w:color="000000" w:sz="8" w:space="0"/>
              <w:bottom w:val="single" w:color="000000" w:sz="4" w:space="0"/>
              <w:right w:val="single" w:color="000000" w:sz="4" w:space="0"/>
            </w:tcBorders>
            <w:tcMar>
              <w:top w:w="5" w:type="dxa"/>
              <w:left w:w="5" w:type="dxa"/>
              <w:right w:w="5" w:type="dxa"/>
            </w:tcMar>
            <w:vAlign w:val="center"/>
          </w:tcPr>
          <w:p>
            <w:pPr>
              <w:jc w:val="center"/>
              <w:rPr>
                <w:rFonts w:ascii="宋体" w:hAnsi="宋体" w:cs="宋体"/>
                <w:color w:val="000000"/>
                <w:sz w:val="22"/>
                <w:szCs w:val="22"/>
              </w:rPr>
            </w:pPr>
          </w:p>
        </w:tc>
        <w:tc>
          <w:tcPr>
            <w:tcW w:w="3831" w:type="dxa"/>
            <w:tcBorders>
              <w:top w:val="single" w:color="000000" w:sz="4" w:space="0"/>
              <w:left w:val="single" w:color="000000" w:sz="4" w:space="0"/>
              <w:bottom w:val="nil"/>
              <w:right w:val="nil"/>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变压器630KVA</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3"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1850" w:type="dxa"/>
            <w:tcBorders>
              <w:top w:val="single" w:color="000000" w:sz="4" w:space="0"/>
              <w:left w:val="single" w:color="000000" w:sz="4" w:space="0"/>
              <w:bottom w:val="single" w:color="000000" w:sz="4"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8" w:hRule="atLeast"/>
          <w:jc w:val="center"/>
        </w:trPr>
        <w:tc>
          <w:tcPr>
            <w:tcW w:w="1640" w:type="dxa"/>
            <w:tcBorders>
              <w:top w:val="single" w:color="000000" w:sz="4" w:space="0"/>
              <w:left w:val="single" w:color="000000" w:sz="8" w:space="0"/>
              <w:bottom w:val="single" w:color="000000" w:sz="8" w:space="0"/>
              <w:right w:val="single" w:color="000000" w:sz="4" w:space="0"/>
            </w:tcBorders>
            <w:tcMar>
              <w:top w:w="5" w:type="dxa"/>
              <w:left w:w="5" w:type="dxa"/>
              <w:right w:w="5" w:type="dxa"/>
            </w:tcMar>
            <w:vAlign w:val="center"/>
          </w:tcPr>
          <w:p>
            <w:pPr>
              <w:rPr>
                <w:rFonts w:ascii="宋体" w:hAnsi="宋体" w:cs="宋体"/>
                <w:color w:val="000000"/>
                <w:sz w:val="22"/>
                <w:szCs w:val="22"/>
              </w:rPr>
            </w:pPr>
          </w:p>
        </w:tc>
        <w:tc>
          <w:tcPr>
            <w:tcW w:w="7607" w:type="dxa"/>
            <w:gridSpan w:val="4"/>
            <w:tcBorders>
              <w:top w:val="single" w:color="000000" w:sz="4" w:space="0"/>
              <w:left w:val="single" w:color="000000" w:sz="4" w:space="0"/>
              <w:bottom w:val="single" w:color="000000" w:sz="8" w:space="0"/>
              <w:right w:val="single" w:color="000000" w:sz="4" w:space="0"/>
            </w:tcBorders>
            <w:tcMar>
              <w:top w:w="5" w:type="dxa"/>
              <w:left w:w="5" w:type="dxa"/>
              <w:right w:w="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元（大写：人民币</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整）</w:t>
            </w:r>
          </w:p>
        </w:tc>
      </w:tr>
    </w:tbl>
    <w:p>
      <w:pPr>
        <w:spacing w:line="440" w:lineRule="exact"/>
        <w:jc w:val="left"/>
        <w:rPr>
          <w:bCs/>
          <w:sz w:val="24"/>
        </w:rPr>
      </w:pPr>
    </w:p>
    <w:p>
      <w:pPr>
        <w:spacing w:line="440" w:lineRule="exact"/>
        <w:jc w:val="center"/>
        <w:rPr>
          <w:bCs/>
          <w:sz w:val="24"/>
        </w:rPr>
      </w:pPr>
      <w:r>
        <w:rPr>
          <w:bCs/>
          <w:sz w:val="24"/>
        </w:rPr>
        <w:t>采购预算：</w:t>
      </w:r>
      <w:r>
        <w:rPr>
          <w:rFonts w:hint="eastAsia"/>
          <w:bCs/>
          <w:sz w:val="24"/>
          <w:u w:val="single"/>
        </w:rPr>
        <w:t xml:space="preserve"> 180000   </w:t>
      </w:r>
      <w:r>
        <w:rPr>
          <w:rFonts w:hint="eastAsia"/>
          <w:bCs/>
          <w:sz w:val="24"/>
        </w:rPr>
        <w:t>元</w:t>
      </w:r>
    </w:p>
    <w:p>
      <w:pPr>
        <w:spacing w:line="440" w:lineRule="exact"/>
        <w:rPr>
          <w:rFonts w:ascii="宋体" w:hAnsi="宋体"/>
          <w:sz w:val="24"/>
          <w:szCs w:val="22"/>
        </w:rPr>
      </w:pPr>
      <w:r>
        <w:rPr>
          <w:rFonts w:hint="eastAsia" w:ascii="宋体" w:hAnsi="宋体"/>
          <w:sz w:val="24"/>
          <w:szCs w:val="22"/>
        </w:rPr>
        <w:t>总体要求：</w:t>
      </w:r>
    </w:p>
    <w:p>
      <w:pPr>
        <w:spacing w:line="440" w:lineRule="exact"/>
        <w:rPr>
          <w:rFonts w:ascii="宋体" w:hAnsi="宋体"/>
          <w:sz w:val="24"/>
          <w:szCs w:val="22"/>
        </w:rPr>
      </w:pPr>
      <w:r>
        <w:rPr>
          <w:rFonts w:hint="eastAsia" w:ascii="宋体" w:hAnsi="宋体"/>
          <w:sz w:val="24"/>
          <w:szCs w:val="22"/>
        </w:rPr>
        <w:t xml:space="preserve">1.检测高低压供电设备安全隐患，出具第三方设备检测报告。                                </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2.1.1交货时间：合同签订之日起7个日历天内实施完毕。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2.1.4验收要求：试验检测完毕经验收合格后，经采购人验收签字认可。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autoSpaceDE w:val="0"/>
        <w:autoSpaceDN w:val="0"/>
        <w:adjustRightInd w:val="0"/>
        <w:spacing w:line="440" w:lineRule="exact"/>
        <w:rPr>
          <w:rFonts w:ascii="宋体" w:hAnsi="宋体"/>
          <w:sz w:val="24"/>
        </w:rPr>
      </w:pPr>
      <w:r>
        <w:rPr>
          <w:rFonts w:hint="eastAsia" w:ascii="宋体" w:hAnsi="宋体"/>
          <w:sz w:val="24"/>
          <w:szCs w:val="22"/>
        </w:rPr>
        <w:t>2.1.7付款方式：试验检测</w:t>
      </w:r>
      <w:r>
        <w:rPr>
          <w:rFonts w:hint="eastAsia"/>
          <w:sz w:val="24"/>
        </w:rPr>
        <w:t>完毕经验收合格后。</w:t>
      </w:r>
      <w:r>
        <w:rPr>
          <w:rFonts w:ascii="宋体" w:hAnsi="宋体"/>
          <w:sz w:val="24"/>
          <w:szCs w:val="22"/>
        </w:rPr>
        <w:t>供应商提供票据后15日之内，</w:t>
      </w:r>
      <w:r>
        <w:rPr>
          <w:rFonts w:hint="eastAsia" w:ascii="宋体" w:hAnsi="宋体"/>
          <w:sz w:val="24"/>
          <w:szCs w:val="22"/>
        </w:rPr>
        <w:t>按合同金额的1.5%缴纳质保金，质保期一年。</w:t>
      </w:r>
      <w:r>
        <w:rPr>
          <w:rFonts w:ascii="宋体" w:hAnsi="宋体"/>
          <w:sz w:val="24"/>
          <w:szCs w:val="22"/>
        </w:rPr>
        <w:t>采购人按湖北省财政厅相关规定</w:t>
      </w:r>
      <w:r>
        <w:rPr>
          <w:rFonts w:hint="eastAsia" w:ascii="宋体" w:hAnsi="宋体"/>
          <w:sz w:val="24"/>
          <w:szCs w:val="22"/>
        </w:rPr>
        <w:t>按合同金额</w:t>
      </w:r>
      <w:r>
        <w:rPr>
          <w:rFonts w:ascii="宋体" w:hAnsi="宋体"/>
          <w:sz w:val="24"/>
          <w:szCs w:val="22"/>
        </w:rPr>
        <w:t>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rPr>
        <w:t>。合同</w:t>
      </w:r>
      <w:r>
        <w:rPr>
          <w:rFonts w:hint="eastAsia" w:ascii="宋体" w:hAnsi="宋体"/>
          <w:bCs/>
          <w:kern w:val="0"/>
          <w:sz w:val="24"/>
        </w:rPr>
        <w:t>服务期满后经双方协定，湖北省博物馆对供应商的服务质量综合评定后，评定结果合格可续签一年，最多续签两年。</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2.2.1服务要求：服务商在此项目后期的服务中，若出现水电安装需要整改，服务商应1小时内响应，3小时内到场整改完毕，保证工作正常进行。</w:t>
      </w:r>
    </w:p>
    <w:p>
      <w:pPr>
        <w:spacing w:line="360" w:lineRule="auto"/>
        <w:ind w:left="240" w:hanging="240" w:hangingChars="100"/>
        <w:rPr>
          <w:rFonts w:ascii="宋体" w:hAnsi="宋体"/>
          <w:sz w:val="24"/>
          <w:szCs w:val="22"/>
        </w:rPr>
      </w:pPr>
      <w:r>
        <w:rPr>
          <w:rFonts w:hint="eastAsia" w:ascii="宋体" w:hAnsi="宋体"/>
          <w:sz w:val="24"/>
          <w:szCs w:val="22"/>
        </w:rPr>
        <w:t>2.2.2其他服务要求：服务商须提供所投提供服务机构情况，包括地址、联系方式及安装人员数量等。提供服务厂家完整的随机资料，包括完整的安装标准手册等。</w:t>
      </w:r>
    </w:p>
    <w:p>
      <w:pPr>
        <w:spacing w:line="360" w:lineRule="auto"/>
        <w:ind w:left="566" w:leftChars="202"/>
        <w:rPr>
          <w:rFonts w:ascii="宋体" w:hAnsi="宋体"/>
          <w:b/>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ind w:firstLine="706" w:firstLineChars="196"/>
        <w:jc w:val="center"/>
        <w:outlineLvl w:val="1"/>
        <w:rPr>
          <w:sz w:val="36"/>
          <w:szCs w:val="36"/>
        </w:rPr>
      </w:pPr>
    </w:p>
    <w:p>
      <w:pPr>
        <w:tabs>
          <w:tab w:val="left" w:pos="7665"/>
        </w:tabs>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w:t>
      </w:r>
      <w:r>
        <w:rPr>
          <w:rFonts w:hint="eastAsia"/>
          <w:sz w:val="24"/>
        </w:rPr>
        <w:t>民法典</w:t>
      </w:r>
      <w:r>
        <w:rPr>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w:t>
      </w:r>
      <w:r>
        <w:rPr>
          <w:rFonts w:hint="eastAsia"/>
          <w:sz w:val="24"/>
        </w:rPr>
        <w:t xml:space="preserve">民法典 </w:t>
      </w:r>
      <w:r>
        <w:rPr>
          <w:kern w:val="0"/>
          <w:sz w:val="24"/>
          <w:szCs w:val="20"/>
        </w:rPr>
        <w:t>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E5YTcxYzllNDU5NWIyMDNiNTRjMGMwMThlODQ0ZWMifQ=="/>
  </w:docVars>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2BA"/>
    <w:rsid w:val="00074DEC"/>
    <w:rsid w:val="000765C9"/>
    <w:rsid w:val="00076BD9"/>
    <w:rsid w:val="000834C2"/>
    <w:rsid w:val="0009057C"/>
    <w:rsid w:val="00095A23"/>
    <w:rsid w:val="000A3CC6"/>
    <w:rsid w:val="000A670B"/>
    <w:rsid w:val="000B284C"/>
    <w:rsid w:val="000B403F"/>
    <w:rsid w:val="000B53D2"/>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01D9"/>
    <w:rsid w:val="001655DB"/>
    <w:rsid w:val="00172A27"/>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95994"/>
    <w:rsid w:val="002A4A9F"/>
    <w:rsid w:val="002A5A29"/>
    <w:rsid w:val="002A6568"/>
    <w:rsid w:val="002B2E9D"/>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2707"/>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C690E"/>
    <w:rsid w:val="007D01BC"/>
    <w:rsid w:val="007D7E94"/>
    <w:rsid w:val="007E173B"/>
    <w:rsid w:val="007E2328"/>
    <w:rsid w:val="007F00A6"/>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E15BE"/>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4683"/>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6C93"/>
    <w:rsid w:val="00C87726"/>
    <w:rsid w:val="00C904A3"/>
    <w:rsid w:val="00C93A67"/>
    <w:rsid w:val="00C95955"/>
    <w:rsid w:val="00CA1489"/>
    <w:rsid w:val="00CA5F94"/>
    <w:rsid w:val="00CB3CF6"/>
    <w:rsid w:val="00CB458D"/>
    <w:rsid w:val="00CB69A6"/>
    <w:rsid w:val="00CC0649"/>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64194"/>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639EA"/>
    <w:rsid w:val="00E70662"/>
    <w:rsid w:val="00E72590"/>
    <w:rsid w:val="00E83F78"/>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2B32BA"/>
    <w:rsid w:val="06B06FBC"/>
    <w:rsid w:val="0700063B"/>
    <w:rsid w:val="07D124CE"/>
    <w:rsid w:val="08DA62A9"/>
    <w:rsid w:val="09223447"/>
    <w:rsid w:val="09AB0BFD"/>
    <w:rsid w:val="09D26BC8"/>
    <w:rsid w:val="0C384623"/>
    <w:rsid w:val="0F1B3307"/>
    <w:rsid w:val="10FD66D2"/>
    <w:rsid w:val="111640CB"/>
    <w:rsid w:val="11967E7A"/>
    <w:rsid w:val="125176AF"/>
    <w:rsid w:val="12653066"/>
    <w:rsid w:val="12A91E39"/>
    <w:rsid w:val="132B161A"/>
    <w:rsid w:val="133E3233"/>
    <w:rsid w:val="139642A7"/>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CA31BA"/>
    <w:rsid w:val="20E56E74"/>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3A550FF"/>
    <w:rsid w:val="34A864D7"/>
    <w:rsid w:val="34AD1712"/>
    <w:rsid w:val="34C27DF5"/>
    <w:rsid w:val="388645FE"/>
    <w:rsid w:val="38AC6F70"/>
    <w:rsid w:val="390C10BE"/>
    <w:rsid w:val="3A700350"/>
    <w:rsid w:val="3B32184F"/>
    <w:rsid w:val="3B6F096A"/>
    <w:rsid w:val="3BC12009"/>
    <w:rsid w:val="3BD410D5"/>
    <w:rsid w:val="3BE0447C"/>
    <w:rsid w:val="3CF42AF8"/>
    <w:rsid w:val="3D50055B"/>
    <w:rsid w:val="3E055B48"/>
    <w:rsid w:val="3EA379A7"/>
    <w:rsid w:val="3FBD4460"/>
    <w:rsid w:val="404E51C0"/>
    <w:rsid w:val="40AC1B1C"/>
    <w:rsid w:val="41877BA5"/>
    <w:rsid w:val="41C07F18"/>
    <w:rsid w:val="42433829"/>
    <w:rsid w:val="42DD13E6"/>
    <w:rsid w:val="42F52A14"/>
    <w:rsid w:val="43AE70D1"/>
    <w:rsid w:val="455E056E"/>
    <w:rsid w:val="484002DE"/>
    <w:rsid w:val="48E8072E"/>
    <w:rsid w:val="4A361E8B"/>
    <w:rsid w:val="4A7F5A23"/>
    <w:rsid w:val="4BA12165"/>
    <w:rsid w:val="4BE82F41"/>
    <w:rsid w:val="4BEB1510"/>
    <w:rsid w:val="4C6725B0"/>
    <w:rsid w:val="4C750127"/>
    <w:rsid w:val="4CEE471B"/>
    <w:rsid w:val="4EB70ABF"/>
    <w:rsid w:val="4F083E80"/>
    <w:rsid w:val="507F09A9"/>
    <w:rsid w:val="512F7DD6"/>
    <w:rsid w:val="51894733"/>
    <w:rsid w:val="51896342"/>
    <w:rsid w:val="51987AEC"/>
    <w:rsid w:val="53930EAC"/>
    <w:rsid w:val="54501CDF"/>
    <w:rsid w:val="54676E49"/>
    <w:rsid w:val="547774F5"/>
    <w:rsid w:val="55F63289"/>
    <w:rsid w:val="571F6DB9"/>
    <w:rsid w:val="58286D54"/>
    <w:rsid w:val="586059FC"/>
    <w:rsid w:val="596D24AD"/>
    <w:rsid w:val="5A0570C0"/>
    <w:rsid w:val="5ABA4FFA"/>
    <w:rsid w:val="5AC813E4"/>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48357F9"/>
    <w:rsid w:val="74A0247F"/>
    <w:rsid w:val="75301EB1"/>
    <w:rsid w:val="75884695"/>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2120</Words>
  <Characters>12087</Characters>
  <Lines>100</Lines>
  <Paragraphs>28</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2022-03-02T03:00:00Z</cp:lastPrinted>
  <dcterms:modified xsi:type="dcterms:W3CDTF">2023-04-17T01:38:06Z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