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left="735" w:leftChars="350" w:right="735" w:rightChars="350" w:firstLine="0" w:firstLineChars="0"/>
        <w:jc w:val="center"/>
        <w:textAlignment w:val="auto"/>
        <w:outlineLvl w:val="9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湖北省博物馆接待中心设备电缆铺设项目采购谈判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20﹞56号），湖北省博物馆拟就接待中心设备电缆铺设项目</w:t>
      </w:r>
      <w:r>
        <w:rPr>
          <w:rFonts w:hint="eastAsia"/>
          <w:color w:val="auto"/>
          <w:sz w:val="24"/>
          <w:szCs w:val="24"/>
        </w:rPr>
        <w:t>进行竞争性谈判采购。欢迎供应商前来投标。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一、项目名称及预算：湖北省博物馆接待中心设备电缆铺设项目，预算金额44436.63元。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  <w:bookmarkStart w:id="2" w:name="_GoBack"/>
      <w:bookmarkEnd w:id="2"/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邮件主题名称必须写明：湖北省博物馆接待中心设备电缆铺设项目报名登记。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r>
        <w:rPr>
          <w:rFonts w:hint="eastAsia"/>
          <w:color w:val="auto"/>
          <w:sz w:val="24"/>
          <w:szCs w:val="24"/>
          <w:lang w:eastAsia="zh-CN"/>
        </w:rPr>
        <w:t>谈判文件</w:t>
      </w:r>
      <w:r>
        <w:rPr>
          <w:rFonts w:hint="eastAsia"/>
          <w:color w:val="auto"/>
          <w:sz w:val="24"/>
          <w:szCs w:val="24"/>
        </w:rPr>
        <w:t>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徐 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2023年3月20</w:t>
      </w:r>
      <w:r>
        <w:rPr>
          <w:rFonts w:hint="eastAsia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5AC0"/>
    <w:rsid w:val="000B2F0C"/>
    <w:rsid w:val="000B3C8C"/>
    <w:rsid w:val="00145448"/>
    <w:rsid w:val="001479AF"/>
    <w:rsid w:val="001533AC"/>
    <w:rsid w:val="001753DB"/>
    <w:rsid w:val="0019131A"/>
    <w:rsid w:val="001B5DE5"/>
    <w:rsid w:val="001C68CA"/>
    <w:rsid w:val="001E5853"/>
    <w:rsid w:val="001F3270"/>
    <w:rsid w:val="00242CE2"/>
    <w:rsid w:val="0024658E"/>
    <w:rsid w:val="00256D61"/>
    <w:rsid w:val="002613EC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3F11A3"/>
    <w:rsid w:val="00407182"/>
    <w:rsid w:val="00425529"/>
    <w:rsid w:val="00430081"/>
    <w:rsid w:val="00454245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7F4093"/>
    <w:rsid w:val="00801DBC"/>
    <w:rsid w:val="008129FF"/>
    <w:rsid w:val="00857335"/>
    <w:rsid w:val="00867E2D"/>
    <w:rsid w:val="00873A5A"/>
    <w:rsid w:val="00881708"/>
    <w:rsid w:val="00894E70"/>
    <w:rsid w:val="008C16BD"/>
    <w:rsid w:val="008E1C66"/>
    <w:rsid w:val="008F63CE"/>
    <w:rsid w:val="00913F3A"/>
    <w:rsid w:val="00924B05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74240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D154E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E8E5BDB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579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2023-03-20T01:50:42Z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