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ermStart w:id="0" w:edGrp="everyone"/>
      <w:permEnd w:id="0"/>
    </w:p>
    <w:p>
      <w:pPr>
        <w:jc w:val="center"/>
        <w:rPr>
          <w:sz w:val="44"/>
        </w:rPr>
      </w:pPr>
    </w:p>
    <w:p>
      <w:pPr>
        <w:jc w:val="center"/>
        <w:rPr>
          <w:w w:val="66"/>
          <w:sz w:val="120"/>
          <w:szCs w:val="120"/>
        </w:rPr>
      </w:pPr>
      <w:r>
        <w:rPr>
          <w:bCs/>
          <w:w w:val="66"/>
          <w:sz w:val="120"/>
          <w:szCs w:val="120"/>
        </w:rPr>
        <w:t>竞争性磋商文件</w:t>
      </w:r>
    </w:p>
    <w:p>
      <w:pPr>
        <w:jc w:val="center"/>
        <w:rPr>
          <w:sz w:val="44"/>
        </w:rPr>
      </w:pPr>
    </w:p>
    <w:p>
      <w:pPr>
        <w:jc w:val="center"/>
        <w:rPr>
          <w:sz w:val="44"/>
        </w:rPr>
      </w:pPr>
    </w:p>
    <w:p>
      <w:pPr>
        <w:ind w:firstLine="1440" w:firstLineChars="400"/>
        <w:rPr>
          <w:bCs/>
          <w:sz w:val="36"/>
        </w:rPr>
      </w:pPr>
    </w:p>
    <w:p>
      <w:pPr>
        <w:spacing w:line="480" w:lineRule="auto"/>
        <w:ind w:left="277" w:leftChars="99"/>
        <w:jc w:val="left"/>
        <w:rPr>
          <w:bCs/>
          <w:sz w:val="32"/>
          <w:szCs w:val="32"/>
        </w:rPr>
      </w:pPr>
      <w:r>
        <w:rPr>
          <w:bCs/>
          <w:sz w:val="32"/>
          <w:szCs w:val="32"/>
        </w:rPr>
        <w:t>项目编号</w:t>
      </w:r>
      <w:r>
        <w:rPr>
          <w:rFonts w:hint="eastAsia"/>
          <w:bCs/>
          <w:sz w:val="32"/>
          <w:szCs w:val="32"/>
        </w:rPr>
        <w:t>：</w:t>
      </w:r>
    </w:p>
    <w:p>
      <w:pPr>
        <w:spacing w:line="480" w:lineRule="auto"/>
        <w:ind w:left="277" w:leftChars="99"/>
        <w:jc w:val="left"/>
        <w:rPr>
          <w:bCs/>
          <w:sz w:val="32"/>
          <w:szCs w:val="32"/>
        </w:rPr>
      </w:pPr>
      <w:r>
        <w:rPr>
          <w:bCs/>
          <w:sz w:val="32"/>
          <w:szCs w:val="32"/>
        </w:rPr>
        <w:t>项目名称：</w:t>
      </w:r>
      <w:r>
        <w:rPr>
          <w:rFonts w:hint="eastAsia"/>
          <w:bCs/>
          <w:sz w:val="32"/>
          <w:szCs w:val="32"/>
        </w:rPr>
        <w:t>湖北省博物馆2023年门票预约系统、OA系统、陂安南导览等云托管项目</w:t>
      </w:r>
    </w:p>
    <w:p>
      <w:pPr>
        <w:spacing w:line="480" w:lineRule="auto"/>
        <w:ind w:left="277" w:leftChars="99"/>
        <w:jc w:val="left"/>
        <w:rPr>
          <w:bCs/>
          <w:sz w:val="32"/>
          <w:szCs w:val="32"/>
        </w:rPr>
      </w:pPr>
      <w:r>
        <w:rPr>
          <w:rFonts w:hint="eastAsia"/>
          <w:bCs/>
          <w:sz w:val="32"/>
          <w:szCs w:val="32"/>
        </w:rPr>
        <w:t>磋商</w:t>
      </w:r>
      <w:r>
        <w:rPr>
          <w:bCs/>
          <w:sz w:val="32"/>
          <w:szCs w:val="32"/>
        </w:rPr>
        <w:t>内容：</w:t>
      </w:r>
      <w:r>
        <w:rPr>
          <w:rFonts w:hint="eastAsia"/>
          <w:bCs/>
          <w:sz w:val="32"/>
          <w:szCs w:val="32"/>
        </w:rPr>
        <w:t>2023年门票预约系统、OA系统、陂安南导览等云托管</w:t>
      </w: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sz w:val="32"/>
          <w:szCs w:val="32"/>
        </w:rPr>
      </w:pPr>
      <w:r>
        <w:rPr>
          <w:rFonts w:hint="eastAsia"/>
          <w:bCs/>
          <w:sz w:val="32"/>
          <w:szCs w:val="32"/>
        </w:rPr>
        <w:t>湖北省博物馆</w:t>
      </w:r>
    </w:p>
    <w:p>
      <w:pPr>
        <w:spacing w:line="520" w:lineRule="exact"/>
        <w:jc w:val="center"/>
        <w:rPr>
          <w:sz w:val="32"/>
          <w:szCs w:val="32"/>
          <w:highlight w:val="none"/>
        </w:rPr>
        <w:sectPr>
          <w:footerReference r:id="rId4" w:type="default"/>
          <w:footerReference r:id="rId5" w:type="even"/>
          <w:pgSz w:w="11906" w:h="16838"/>
          <w:pgMar w:top="1440" w:right="1800" w:bottom="1440" w:left="1800" w:header="851" w:footer="992" w:gutter="0"/>
          <w:cols w:space="720" w:num="1"/>
          <w:titlePg/>
          <w:docGrid w:type="lines" w:linePitch="312" w:charSpace="0"/>
        </w:sectPr>
      </w:pPr>
      <w:r>
        <w:rPr>
          <w:sz w:val="32"/>
          <w:szCs w:val="32"/>
          <w:highlight w:val="none"/>
        </w:rPr>
        <w:t>2023</w:t>
      </w:r>
      <w:r>
        <w:rPr>
          <w:rFonts w:hint="eastAsia"/>
          <w:sz w:val="32"/>
          <w:szCs w:val="32"/>
          <w:highlight w:val="none"/>
        </w:rPr>
        <w:t>年</w:t>
      </w:r>
      <w:r>
        <w:rPr>
          <w:sz w:val="32"/>
          <w:szCs w:val="32"/>
          <w:highlight w:val="none"/>
        </w:rPr>
        <w:t>3</w:t>
      </w:r>
      <w:r>
        <w:rPr>
          <w:rFonts w:hint="eastAsia"/>
          <w:sz w:val="32"/>
          <w:szCs w:val="32"/>
          <w:highlight w:val="none"/>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磋商邀请函</w:t>
      </w:r>
    </w:p>
    <w:p>
      <w:pPr>
        <w:spacing w:line="480" w:lineRule="auto"/>
      </w:pPr>
      <w:r>
        <w:t>第二章</w:t>
      </w:r>
      <w:r>
        <w:rPr>
          <w:rFonts w:hint="eastAsia"/>
        </w:rPr>
        <w:t xml:space="preserve">  </w:t>
      </w:r>
      <w:r>
        <w:t>磋商须知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6"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pPr>
        <w:adjustRightInd w:val="0"/>
        <w:snapToGrid w:val="0"/>
        <w:ind w:left="-146" w:leftChars="-52" w:right="-196" w:rightChars="-70" w:firstLine="1"/>
        <w:jc w:val="center"/>
        <w:outlineLvl w:val="0"/>
        <w:rPr>
          <w:b/>
          <w:sz w:val="36"/>
          <w:szCs w:val="36"/>
        </w:rPr>
      </w:pPr>
      <w:r>
        <w:rPr>
          <w:b/>
          <w:sz w:val="36"/>
          <w:szCs w:val="36"/>
        </w:rPr>
        <w:t>第一章  磋商邀请函</w:t>
      </w:r>
    </w:p>
    <w:p>
      <w:pPr>
        <w:spacing w:line="500" w:lineRule="exact"/>
        <w:rPr>
          <w:bCs/>
          <w:sz w:val="24"/>
        </w:rPr>
      </w:pPr>
    </w:p>
    <w:p>
      <w:pPr>
        <w:spacing w:line="336" w:lineRule="auto"/>
        <w:rPr>
          <w:bCs/>
          <w:sz w:val="24"/>
        </w:rPr>
      </w:pPr>
      <w:r>
        <w:rPr>
          <w:rFonts w:hint="eastAsia"/>
          <w:bCs/>
          <w:sz w:val="24"/>
        </w:rPr>
        <w:t>受</w:t>
      </w:r>
      <w:r>
        <w:rPr>
          <w:bCs/>
          <w:sz w:val="24"/>
        </w:rPr>
        <w:t>邀请供应商：</w:t>
      </w:r>
    </w:p>
    <w:p>
      <w:pPr>
        <w:spacing w:line="336" w:lineRule="auto"/>
        <w:ind w:firstLine="480" w:firstLineChars="200"/>
        <w:rPr>
          <w:bCs/>
          <w:sz w:val="24"/>
          <w:u w:val="single"/>
        </w:rPr>
      </w:pPr>
      <w:r>
        <w:rPr>
          <w:bCs/>
          <w:sz w:val="24"/>
        </w:rPr>
        <w:t>磋商小组确定你公司为</w:t>
      </w:r>
      <w:r>
        <w:rPr>
          <w:rFonts w:hint="eastAsia"/>
          <w:sz w:val="24"/>
        </w:rPr>
        <w:t>（</w:t>
      </w:r>
      <w:r>
        <w:rPr>
          <w:rFonts w:hint="eastAsia"/>
          <w:sz w:val="24"/>
          <w:u w:val="single"/>
        </w:rPr>
        <w:t>湖北省博物馆</w:t>
      </w:r>
      <w:r>
        <w:rPr>
          <w:rFonts w:hint="eastAsia" w:ascii="宋体" w:hAnsi="宋体" w:cs="宋体"/>
          <w:bCs/>
          <w:sz w:val="24"/>
          <w:u w:val="single"/>
        </w:rPr>
        <w:t>2023年门票预约系统、OA系统、陂安南导览等云托管项目</w:t>
      </w:r>
      <w:r>
        <w:rPr>
          <w:rFonts w:hint="eastAsia"/>
          <w:sz w:val="24"/>
        </w:rPr>
        <w:t>）</w:t>
      </w:r>
      <w:r>
        <w:rPr>
          <w:bCs/>
          <w:sz w:val="24"/>
        </w:rPr>
        <w:t>的磋商供应商，现邀请你公司参加磋商。</w:t>
      </w:r>
    </w:p>
    <w:p>
      <w:pPr>
        <w:spacing w:line="336" w:lineRule="auto"/>
        <w:ind w:firstLine="480" w:firstLineChars="200"/>
        <w:rPr>
          <w:bCs/>
          <w:sz w:val="24"/>
        </w:rPr>
      </w:pPr>
      <w:r>
        <w:rPr>
          <w:bCs/>
          <w:sz w:val="24"/>
        </w:rPr>
        <w:t>一、项目编号：</w:t>
      </w:r>
    </w:p>
    <w:p>
      <w:pPr>
        <w:spacing w:line="336" w:lineRule="auto"/>
        <w:ind w:firstLine="480" w:firstLineChars="200"/>
        <w:rPr>
          <w:bCs/>
          <w:sz w:val="24"/>
        </w:rPr>
      </w:pPr>
      <w:r>
        <w:rPr>
          <w:bCs/>
          <w:sz w:val="24"/>
        </w:rPr>
        <w:t>二、项目名称：</w:t>
      </w:r>
      <w:r>
        <w:rPr>
          <w:rFonts w:hint="eastAsia"/>
          <w:bCs/>
          <w:sz w:val="24"/>
        </w:rPr>
        <w:t>湖北省博物馆2023年门票预约系统、OA系统、</w:t>
      </w:r>
      <w:r>
        <w:rPr>
          <w:rFonts w:hint="eastAsia" w:ascii="宋体" w:hAnsi="宋体" w:cs="宋体"/>
          <w:bCs/>
          <w:sz w:val="24"/>
        </w:rPr>
        <w:t>陂安南导览等云托管项目</w:t>
      </w:r>
    </w:p>
    <w:p>
      <w:pPr>
        <w:spacing w:line="336" w:lineRule="auto"/>
        <w:ind w:firstLine="480" w:firstLineChars="200"/>
        <w:rPr>
          <w:bCs/>
          <w:sz w:val="24"/>
        </w:rPr>
      </w:pPr>
      <w:r>
        <w:rPr>
          <w:bCs/>
          <w:sz w:val="24"/>
        </w:rPr>
        <w:t>三、磋商内容：</w:t>
      </w:r>
    </w:p>
    <w:tbl>
      <w:tblPr>
        <w:tblStyle w:val="34"/>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z w:val="24"/>
              </w:rPr>
              <w:t>1</w:t>
            </w:r>
          </w:p>
        </w:tc>
        <w:tc>
          <w:tcPr>
            <w:tcW w:w="5124" w:type="dxa"/>
            <w:tcBorders>
              <w:top w:val="single" w:color="000000" w:sz="4" w:space="0"/>
              <w:left w:val="nil"/>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napToGrid w:val="0"/>
                <w:kern w:val="0"/>
                <w:sz w:val="24"/>
              </w:rPr>
              <w:t>入口负载</w:t>
            </w:r>
          </w:p>
        </w:tc>
        <w:tc>
          <w:tcPr>
            <w:tcW w:w="2246" w:type="dxa"/>
            <w:tcBorders>
              <w:top w:val="single" w:color="000000" w:sz="4" w:space="0"/>
              <w:left w:val="nil"/>
              <w:right w:val="single" w:color="000000" w:sz="4" w:space="0"/>
            </w:tcBorders>
            <w:vAlign w:val="center"/>
          </w:tcPr>
          <w:p>
            <w:pPr>
              <w:spacing w:line="336" w:lineRule="auto"/>
              <w:jc w:val="center"/>
              <w:rPr>
                <w:rFonts w:ascii="宋体" w:hAnsi="宋体" w:cs="宋体"/>
                <w:sz w:val="24"/>
              </w:rPr>
            </w:pPr>
            <w:r>
              <w:rPr>
                <w:rFonts w:hint="eastAsia" w:ascii="宋体" w:hAnsi="宋体" w:cs="宋体"/>
                <w:sz w:val="24"/>
              </w:rPr>
              <w:t>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z w:val="24"/>
              </w:rPr>
              <w:t>2</w:t>
            </w:r>
          </w:p>
        </w:tc>
        <w:tc>
          <w:tcPr>
            <w:tcW w:w="5124" w:type="dxa"/>
            <w:tcBorders>
              <w:top w:val="single" w:color="000000" w:sz="4" w:space="0"/>
              <w:left w:val="nil"/>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napToGrid w:val="0"/>
                <w:kern w:val="0"/>
                <w:sz w:val="24"/>
              </w:rPr>
              <w:t>应用节点1</w:t>
            </w:r>
          </w:p>
        </w:tc>
        <w:tc>
          <w:tcPr>
            <w:tcW w:w="2246" w:type="dxa"/>
            <w:tcBorders>
              <w:top w:val="single" w:color="000000" w:sz="4" w:space="0"/>
              <w:left w:val="nil"/>
              <w:right w:val="single" w:color="000000" w:sz="4" w:space="0"/>
            </w:tcBorders>
            <w:vAlign w:val="center"/>
          </w:tcPr>
          <w:p>
            <w:pPr>
              <w:spacing w:line="336" w:lineRule="auto"/>
              <w:jc w:val="center"/>
              <w:rPr>
                <w:rFonts w:ascii="宋体" w:hAnsi="宋体" w:cs="宋体"/>
                <w:sz w:val="24"/>
              </w:rPr>
            </w:pPr>
            <w:r>
              <w:rPr>
                <w:rFonts w:hint="eastAsia" w:ascii="宋体" w:hAnsi="宋体" w:cs="宋体"/>
                <w:sz w:val="24"/>
              </w:rPr>
              <w:t xml:space="preserve"> 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napToGrid w:val="0"/>
                <w:kern w:val="0"/>
                <w:sz w:val="24"/>
              </w:rPr>
              <w:t>应用节点2</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sz w:val="24"/>
              </w:rPr>
            </w:pPr>
            <w:r>
              <w:rPr>
                <w:rFonts w:hint="eastAsia" w:ascii="宋体" w:hAnsi="宋体" w:cs="宋体"/>
                <w:sz w:val="24"/>
              </w:rPr>
              <w:t xml:space="preserve"> 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z w:val="24"/>
              </w:rPr>
              <w:t>4</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napToGrid w:val="0"/>
                <w:kern w:val="0"/>
                <w:sz w:val="24"/>
              </w:rPr>
              <w:t>数据库主</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sz w:val="24"/>
              </w:rPr>
            </w:pPr>
            <w:r>
              <w:rPr>
                <w:rFonts w:hint="eastAsia" w:ascii="宋体" w:hAnsi="宋体" w:cs="宋体"/>
                <w:sz w:val="24"/>
              </w:rPr>
              <w:t xml:space="preserve"> 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z w:val="24"/>
              </w:rPr>
              <w:t>5</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napToGrid w:val="0"/>
                <w:kern w:val="0"/>
                <w:sz w:val="24"/>
              </w:rPr>
              <w:t>数据库从</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sz w:val="24"/>
              </w:rPr>
            </w:pPr>
            <w:r>
              <w:rPr>
                <w:rFonts w:hint="eastAsia" w:ascii="宋体" w:hAnsi="宋体" w:cs="宋体"/>
                <w:sz w:val="24"/>
              </w:rPr>
              <w:t xml:space="preserve"> 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z w:val="24"/>
              </w:rPr>
              <w:t>6</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napToGrid w:val="0"/>
                <w:kern w:val="0"/>
                <w:sz w:val="24"/>
              </w:rPr>
              <w:t>VR全景服务</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sz w:val="24"/>
              </w:rPr>
            </w:pPr>
            <w:r>
              <w:rPr>
                <w:rFonts w:hint="eastAsia" w:ascii="宋体" w:hAnsi="宋体" w:cs="宋体"/>
                <w:sz w:val="24"/>
              </w:rPr>
              <w:t xml:space="preserve"> 1项/年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z w:val="24"/>
              </w:rPr>
              <w:t>7</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napToGrid w:val="0"/>
                <w:kern w:val="0"/>
                <w:sz w:val="24"/>
              </w:rPr>
              <w:t>语音导览系统</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sz w:val="24"/>
              </w:rPr>
            </w:pPr>
            <w:r>
              <w:rPr>
                <w:rFonts w:hint="eastAsia" w:ascii="宋体" w:hAnsi="宋体" w:cs="宋体"/>
                <w:sz w:val="24"/>
              </w:rPr>
              <w:t xml:space="preserve"> 1项/年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z w:val="24"/>
              </w:rPr>
              <w:t>8</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snapToGrid w:val="0"/>
                <w:kern w:val="0"/>
                <w:sz w:val="24"/>
              </w:rPr>
            </w:pPr>
            <w:r>
              <w:rPr>
                <w:rFonts w:hint="eastAsia" w:ascii="宋体" w:hAnsi="宋体" w:cs="宋体"/>
                <w:snapToGrid w:val="0"/>
                <w:kern w:val="0"/>
                <w:sz w:val="24"/>
              </w:rPr>
              <w:t>百物展云服务系统</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sz w:val="24"/>
              </w:rPr>
            </w:pPr>
            <w:r>
              <w:rPr>
                <w:rFonts w:hint="eastAsia" w:ascii="宋体" w:hAnsi="宋体" w:cs="宋体"/>
                <w:sz w:val="24"/>
              </w:rPr>
              <w:t xml:space="preserve"> 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z w:val="24"/>
              </w:rPr>
              <w:t>9</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snapToGrid w:val="0"/>
                <w:kern w:val="0"/>
                <w:sz w:val="24"/>
              </w:rPr>
            </w:pPr>
            <w:r>
              <w:rPr>
                <w:rFonts w:hint="eastAsia" w:ascii="宋体" w:hAnsi="宋体" w:cs="宋体"/>
                <w:snapToGrid w:val="0"/>
                <w:kern w:val="0"/>
                <w:sz w:val="24"/>
              </w:rPr>
              <w:t>访问域名</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sz w:val="24"/>
              </w:rPr>
            </w:pPr>
            <w:r>
              <w:rPr>
                <w:rFonts w:hint="eastAsia" w:ascii="宋体" w:hAnsi="宋体" w:cs="宋体"/>
                <w:sz w:val="24"/>
              </w:rPr>
              <w:t xml:space="preserve"> 1个/年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z w:val="24"/>
              </w:rPr>
              <w:t>10</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snapToGrid w:val="0"/>
                <w:kern w:val="0"/>
                <w:sz w:val="24"/>
              </w:rPr>
            </w:pPr>
            <w:r>
              <w:rPr>
                <w:rFonts w:hint="eastAsia" w:ascii="宋体" w:hAnsi="宋体" w:cs="宋体"/>
                <w:snapToGrid w:val="0"/>
                <w:kern w:val="0"/>
                <w:sz w:val="24"/>
              </w:rPr>
              <w:t>互联网ip</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sz w:val="24"/>
              </w:rPr>
            </w:pPr>
            <w:r>
              <w:rPr>
                <w:rFonts w:hint="eastAsia" w:ascii="宋体" w:hAnsi="宋体" w:cs="宋体"/>
                <w:sz w:val="24"/>
              </w:rPr>
              <w:t xml:space="preserve"> 7个/年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z w:val="24"/>
              </w:rPr>
              <w:t>11</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snapToGrid w:val="0"/>
                <w:kern w:val="0"/>
                <w:sz w:val="24"/>
              </w:rPr>
            </w:pPr>
            <w:r>
              <w:rPr>
                <w:rFonts w:hint="eastAsia" w:ascii="宋体" w:hAnsi="宋体" w:cs="宋体"/>
                <w:snapToGrid w:val="0"/>
                <w:kern w:val="0"/>
                <w:sz w:val="24"/>
              </w:rPr>
              <w:t>证书</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sz w:val="24"/>
              </w:rPr>
            </w:pPr>
            <w:r>
              <w:rPr>
                <w:rFonts w:hint="eastAsia" w:ascii="宋体" w:hAnsi="宋体" w:cs="宋体"/>
                <w:sz w:val="24"/>
              </w:rPr>
              <w:t xml:space="preserve"> 1个/年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sz w:val="24"/>
              </w:rPr>
            </w:pPr>
            <w:r>
              <w:rPr>
                <w:rFonts w:hint="eastAsia" w:ascii="宋体" w:hAnsi="宋体" w:cs="宋体"/>
                <w:sz w:val="24"/>
              </w:rPr>
              <w:t>12</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snapToGrid w:val="0"/>
                <w:kern w:val="0"/>
                <w:sz w:val="24"/>
              </w:rPr>
            </w:pPr>
            <w:r>
              <w:rPr>
                <w:rFonts w:hint="eastAsia" w:ascii="宋体" w:hAnsi="宋体" w:cs="宋体"/>
                <w:snapToGrid w:val="0"/>
                <w:kern w:val="0"/>
                <w:sz w:val="24"/>
              </w:rPr>
              <w:t>网络安全防护</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sz w:val="24"/>
              </w:rPr>
            </w:pPr>
            <w:r>
              <w:rPr>
                <w:rFonts w:hint="eastAsia" w:ascii="宋体" w:hAnsi="宋体" w:cs="宋体"/>
                <w:sz w:val="24"/>
              </w:rPr>
              <w:t xml:space="preserve"> 1项/年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before="100" w:beforeAutospacing="1" w:after="100" w:afterAutospacing="1" w:line="336" w:lineRule="auto"/>
              <w:jc w:val="center"/>
              <w:textAlignment w:val="bottom"/>
              <w:rPr>
                <w:rFonts w:ascii="宋体" w:hAnsi="宋体" w:cs="宋体"/>
                <w:b w:val="0"/>
                <w:bCs w:val="0"/>
                <w:sz w:val="24"/>
                <w:highlight w:val="none"/>
              </w:rPr>
            </w:pPr>
            <w:r>
              <w:rPr>
                <w:rFonts w:ascii="宋体" w:hAnsi="宋体" w:cs="宋体"/>
                <w:sz w:val="24"/>
                <w:highlight w:val="none"/>
              </w:rPr>
              <w:t>13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before="100" w:beforeAutospacing="1" w:after="100" w:afterAutospacing="1" w:line="336" w:lineRule="auto"/>
              <w:jc w:val="center"/>
              <w:textAlignment w:val="bottom"/>
              <w:rPr>
                <w:rFonts w:ascii="宋体" w:hAnsi="宋体" w:cs="宋体"/>
                <w:b w:val="0"/>
                <w:bCs w:val="0"/>
                <w:snapToGrid w:val="0"/>
                <w:kern w:val="0"/>
                <w:sz w:val="24"/>
                <w:highlight w:val="none"/>
              </w:rPr>
            </w:pPr>
            <w:r>
              <w:rPr>
                <w:rFonts w:ascii="宋体" w:hAnsi="宋体" w:cs="宋体"/>
                <w:snapToGrid w:val="0"/>
                <w:kern w:val="0"/>
                <w:sz w:val="24"/>
                <w:highlight w:val="none"/>
              </w:rPr>
              <w:t>OA系统</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sz w:val="24"/>
              </w:rPr>
            </w:pPr>
            <w:r>
              <w:rPr>
                <w:rFonts w:hint="eastAsia" w:ascii="宋体" w:hAnsi="宋体" w:cs="宋体"/>
                <w:sz w:val="24"/>
              </w:rPr>
              <w:t xml:space="preserve"> 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before="100" w:beforeAutospacing="1" w:after="100" w:afterAutospacing="1" w:line="336" w:lineRule="auto"/>
              <w:jc w:val="center"/>
              <w:textAlignment w:val="bottom"/>
              <w:rPr>
                <w:rFonts w:ascii="宋体" w:hAnsi="宋体" w:cs="宋体"/>
                <w:b w:val="0"/>
                <w:bCs w:val="0"/>
                <w:sz w:val="24"/>
                <w:highlight w:val="none"/>
              </w:rPr>
            </w:pPr>
            <w:r>
              <w:rPr>
                <w:rFonts w:ascii="宋体" w:hAnsi="宋体" w:cs="宋体"/>
                <w:sz w:val="24"/>
                <w:highlight w:val="none"/>
              </w:rPr>
              <w:t>14</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before="100" w:beforeAutospacing="1" w:after="100" w:afterAutospacing="1" w:line="336" w:lineRule="auto"/>
              <w:jc w:val="center"/>
              <w:textAlignment w:val="bottom"/>
              <w:rPr>
                <w:rFonts w:ascii="宋体" w:hAnsi="宋体" w:cs="宋体"/>
                <w:b w:val="0"/>
                <w:bCs w:val="0"/>
                <w:snapToGrid w:val="0"/>
                <w:kern w:val="0"/>
                <w:sz w:val="24"/>
                <w:highlight w:val="none"/>
              </w:rPr>
            </w:pPr>
            <w:r>
              <w:rPr>
                <w:rFonts w:hint="eastAsia" w:ascii="宋体" w:hAnsi="宋体" w:cs="宋体"/>
                <w:snapToGrid w:val="0"/>
                <w:kern w:val="0"/>
                <w:sz w:val="24"/>
                <w:highlight w:val="none"/>
              </w:rPr>
              <w:t>业务系统维护服务</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sz w:val="24"/>
              </w:rPr>
            </w:pPr>
            <w:r>
              <w:rPr>
                <w:rFonts w:hint="eastAsia" w:ascii="宋体" w:hAnsi="宋体" w:cs="宋体"/>
                <w:sz w:val="24"/>
              </w:rPr>
              <w:t xml:space="preserve"> 1项/年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before="100" w:beforeAutospacing="1" w:after="100" w:afterAutospacing="1" w:line="336" w:lineRule="auto"/>
              <w:jc w:val="center"/>
              <w:textAlignment w:val="bottom"/>
              <w:rPr>
                <w:rFonts w:ascii="宋体" w:hAnsi="宋体" w:cs="宋体"/>
                <w:sz w:val="24"/>
              </w:rPr>
            </w:pPr>
            <w:r>
              <w:rPr>
                <w:rFonts w:hint="eastAsia" w:ascii="宋体" w:hAnsi="宋体" w:cs="宋体"/>
                <w:sz w:val="24"/>
              </w:rPr>
              <w:t>15</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before="100" w:beforeAutospacing="1" w:after="100" w:afterAutospacing="1" w:line="336" w:lineRule="auto"/>
              <w:jc w:val="center"/>
              <w:textAlignment w:val="bottom"/>
              <w:rPr>
                <w:rFonts w:hint="eastAsia" w:ascii="宋体" w:hAnsi="宋体" w:cs="宋体"/>
                <w:snapToGrid w:val="0"/>
                <w:kern w:val="0"/>
                <w:sz w:val="24"/>
              </w:rPr>
            </w:pPr>
            <w:r>
              <w:rPr>
                <w:rFonts w:hint="eastAsia" w:ascii="宋体" w:hAnsi="宋体" w:cs="宋体"/>
                <w:snapToGrid w:val="0"/>
                <w:kern w:val="0"/>
                <w:sz w:val="24"/>
              </w:rPr>
              <w:t>云上业务部署</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hint="eastAsia" w:ascii="宋体" w:hAnsi="宋体" w:cs="宋体"/>
                <w:sz w:val="24"/>
              </w:rPr>
            </w:pPr>
            <w:r>
              <w:rPr>
                <w:rFonts w:hint="eastAsia" w:ascii="宋体" w:hAnsi="宋体" w:cs="宋体"/>
                <w:sz w:val="24"/>
              </w:rPr>
              <w:t xml:space="preserve"> 1项/年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before="100" w:beforeAutospacing="1" w:after="100" w:afterAutospacing="1" w:line="336" w:lineRule="auto"/>
              <w:jc w:val="center"/>
              <w:textAlignment w:val="bottom"/>
              <w:rPr>
                <w:rFonts w:hint="eastAsia" w:ascii="宋体" w:hAnsi="宋体" w:cs="宋体"/>
                <w:sz w:val="24"/>
              </w:rPr>
            </w:pPr>
            <w:r>
              <w:rPr>
                <w:rFonts w:hint="eastAsia" w:ascii="宋体" w:hAnsi="宋体" w:cs="宋体"/>
                <w:sz w:val="24"/>
              </w:rPr>
              <w:t>16</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before="100" w:beforeAutospacing="1" w:after="100" w:afterAutospacing="1" w:line="336" w:lineRule="auto"/>
              <w:jc w:val="center"/>
              <w:textAlignment w:val="bottom"/>
              <w:rPr>
                <w:rFonts w:hint="eastAsia" w:ascii="宋体" w:hAnsi="宋体" w:cs="宋体"/>
                <w:snapToGrid w:val="0"/>
                <w:kern w:val="0"/>
                <w:sz w:val="24"/>
              </w:rPr>
            </w:pPr>
            <w:r>
              <w:rPr>
                <w:rFonts w:hint="eastAsia" w:ascii="宋体" w:hAnsi="宋体" w:cs="宋体"/>
                <w:snapToGrid w:val="0"/>
                <w:kern w:val="0"/>
                <w:sz w:val="24"/>
              </w:rPr>
              <w:t>系统迁移服务</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hint="eastAsia" w:ascii="宋体" w:hAnsi="宋体" w:cs="宋体"/>
                <w:sz w:val="24"/>
              </w:rPr>
            </w:pPr>
            <w:r>
              <w:rPr>
                <w:rFonts w:hint="eastAsia" w:ascii="宋体" w:hAnsi="宋体" w:cs="宋体"/>
                <w:sz w:val="24"/>
              </w:rPr>
              <w:t xml:space="preserve"> 1项/年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before="100" w:beforeAutospacing="1" w:after="100" w:afterAutospacing="1" w:line="336" w:lineRule="auto"/>
              <w:jc w:val="center"/>
              <w:textAlignment w:val="bottom"/>
              <w:rPr>
                <w:rFonts w:hint="eastAsia" w:ascii="宋体" w:hAnsi="宋体" w:cs="宋体"/>
                <w:sz w:val="24"/>
              </w:rPr>
            </w:pPr>
            <w:r>
              <w:rPr>
                <w:rFonts w:hint="eastAsia" w:ascii="宋体" w:hAnsi="宋体" w:cs="宋体"/>
                <w:sz w:val="24"/>
              </w:rPr>
              <w:t>17</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before="100" w:beforeAutospacing="1" w:after="100" w:afterAutospacing="1" w:line="336" w:lineRule="auto"/>
              <w:jc w:val="center"/>
              <w:textAlignment w:val="bottom"/>
              <w:rPr>
                <w:rFonts w:hint="eastAsia" w:ascii="宋体" w:hAnsi="宋体" w:cs="宋体"/>
                <w:snapToGrid w:val="0"/>
                <w:kern w:val="0"/>
                <w:sz w:val="24"/>
              </w:rPr>
            </w:pPr>
            <w:r>
              <w:rPr>
                <w:rFonts w:hint="eastAsia" w:ascii="宋体" w:hAnsi="宋体" w:cs="宋体"/>
                <w:snapToGrid w:val="0"/>
                <w:kern w:val="0"/>
                <w:sz w:val="24"/>
              </w:rPr>
              <w:t>云上安全巡检服务</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hint="eastAsia" w:ascii="宋体" w:hAnsi="宋体" w:cs="宋体"/>
                <w:sz w:val="24"/>
              </w:rPr>
            </w:pPr>
            <w:r>
              <w:rPr>
                <w:rFonts w:hint="eastAsia" w:ascii="宋体" w:hAnsi="宋体" w:cs="宋体"/>
                <w:sz w:val="24"/>
              </w:rPr>
              <w:t xml:space="preserve"> 1项/年</w:t>
            </w:r>
          </w:p>
        </w:tc>
      </w:tr>
    </w:tbl>
    <w:p>
      <w:pPr>
        <w:spacing w:line="336" w:lineRule="auto"/>
        <w:ind w:firstLine="480"/>
        <w:rPr>
          <w:rFonts w:cs="宋体"/>
          <w:sz w:val="24"/>
        </w:rPr>
      </w:pPr>
    </w:p>
    <w:p>
      <w:pPr>
        <w:pStyle w:val="71"/>
        <w:rPr>
          <w:color w:val="auto"/>
        </w:rPr>
      </w:pPr>
    </w:p>
    <w:p>
      <w:pPr>
        <w:spacing w:line="336" w:lineRule="auto"/>
        <w:ind w:firstLine="480"/>
        <w:rPr>
          <w:rFonts w:cs="宋体"/>
          <w:sz w:val="24"/>
          <w:highlight w:val="yellow"/>
        </w:rPr>
      </w:pPr>
      <w:r>
        <w:rPr>
          <w:rFonts w:hint="eastAsia" w:cs="宋体"/>
          <w:sz w:val="24"/>
        </w:rPr>
        <w:t>四、采购预算：</w:t>
      </w:r>
      <w:r>
        <w:rPr>
          <w:rFonts w:cs="宋体"/>
          <w:sz w:val="24"/>
          <w:highlight w:val="none"/>
        </w:rPr>
        <w:t>469876.98</w:t>
      </w:r>
      <w:r>
        <w:rPr>
          <w:rFonts w:hint="eastAsia" w:cs="宋体"/>
          <w:sz w:val="24"/>
          <w:highlight w:val="none"/>
        </w:rPr>
        <w:t>元</w:t>
      </w:r>
    </w:p>
    <w:p>
      <w:pPr>
        <w:spacing w:line="336" w:lineRule="auto"/>
        <w:ind w:firstLine="480"/>
        <w:rPr>
          <w:rFonts w:cs="宋体"/>
          <w:sz w:val="24"/>
        </w:rPr>
      </w:pPr>
      <w:r>
        <w:rPr>
          <w:rFonts w:hint="eastAsia" w:cs="宋体"/>
          <w:sz w:val="24"/>
        </w:rPr>
        <w:t>五、供应商资格条件：详见《供应商须知前附表》。</w:t>
      </w:r>
    </w:p>
    <w:p>
      <w:pPr>
        <w:spacing w:line="336" w:lineRule="auto"/>
        <w:ind w:firstLine="480"/>
        <w:rPr>
          <w:rFonts w:cs="宋体"/>
          <w:sz w:val="24"/>
        </w:rPr>
      </w:pPr>
      <w:r>
        <w:rPr>
          <w:rFonts w:hint="eastAsia" w:cs="宋体"/>
          <w:sz w:val="24"/>
        </w:rPr>
        <w:t>六、竞争性磋商文件的获得</w:t>
      </w:r>
    </w:p>
    <w:p>
      <w:pPr>
        <w:spacing w:line="336" w:lineRule="auto"/>
        <w:ind w:firstLine="480"/>
        <w:rPr>
          <w:sz w:val="24"/>
        </w:rPr>
      </w:pPr>
      <w:r>
        <w:rPr>
          <w:rFonts w:hint="eastAsia" w:cs="宋体"/>
          <w:sz w:val="24"/>
        </w:rPr>
        <w:t>（一）获取时间：</w:t>
      </w:r>
      <w:r>
        <w:rPr>
          <w:rFonts w:hint="eastAsia"/>
          <w:sz w:val="24"/>
          <w:highlight w:val="yellow"/>
        </w:rPr>
        <w:t>2023</w:t>
      </w:r>
      <w:r>
        <w:rPr>
          <w:rFonts w:hint="eastAsia" w:cs="宋体"/>
          <w:sz w:val="24"/>
          <w:highlight w:val="yellow"/>
        </w:rPr>
        <w:t>年</w:t>
      </w:r>
      <w:r>
        <w:rPr>
          <w:rFonts w:hint="eastAsia"/>
          <w:sz w:val="24"/>
          <w:highlight w:val="yellow"/>
        </w:rPr>
        <w:t>3</w:t>
      </w:r>
      <w:r>
        <w:rPr>
          <w:rFonts w:hint="eastAsia" w:cs="宋体"/>
          <w:sz w:val="24"/>
          <w:highlight w:val="yellow"/>
        </w:rPr>
        <w:t>月2</w:t>
      </w:r>
      <w:r>
        <w:rPr>
          <w:rFonts w:hint="eastAsia" w:cs="宋体"/>
          <w:sz w:val="24"/>
          <w:highlight w:val="yellow"/>
          <w:lang w:val="en-US" w:eastAsia="zh-CN"/>
        </w:rPr>
        <w:t>8</w:t>
      </w:r>
      <w:r>
        <w:rPr>
          <w:rFonts w:hint="eastAsia" w:cs="宋体"/>
          <w:sz w:val="24"/>
          <w:highlight w:val="yellow"/>
        </w:rPr>
        <w:t>日（工作时间）。</w:t>
      </w:r>
    </w:p>
    <w:p>
      <w:pPr>
        <w:spacing w:line="336" w:lineRule="auto"/>
        <w:ind w:firstLine="480"/>
        <w:rPr>
          <w:sz w:val="24"/>
        </w:rPr>
      </w:pPr>
      <w:r>
        <w:rPr>
          <w:rFonts w:hint="eastAsia" w:cs="宋体"/>
          <w:sz w:val="24"/>
        </w:rPr>
        <w:t>（二）领取方式：湖北省博物馆官网上获取。</w:t>
      </w:r>
    </w:p>
    <w:p>
      <w:pPr>
        <w:spacing w:line="336" w:lineRule="auto"/>
        <w:ind w:firstLine="480"/>
        <w:rPr>
          <w:sz w:val="24"/>
        </w:rPr>
      </w:pPr>
      <w:r>
        <w:rPr>
          <w:rFonts w:hint="eastAsia" w:cs="宋体"/>
          <w:sz w:val="24"/>
        </w:rPr>
        <w:t>七、递交响应文件截止时间和磋商时间：详见《供应商须知前附表》。</w:t>
      </w:r>
    </w:p>
    <w:p>
      <w:pPr>
        <w:spacing w:line="336" w:lineRule="auto"/>
        <w:ind w:firstLine="480"/>
        <w:rPr>
          <w:sz w:val="24"/>
        </w:rPr>
      </w:pPr>
      <w:r>
        <w:rPr>
          <w:rFonts w:hint="eastAsia" w:cs="宋体"/>
          <w:sz w:val="24"/>
        </w:rPr>
        <w:t>八、响应文件送达地点：详见《供应商须知前附表》。</w:t>
      </w:r>
    </w:p>
    <w:p>
      <w:pPr>
        <w:spacing w:line="336" w:lineRule="auto"/>
        <w:ind w:firstLine="480" w:firstLineChars="200"/>
        <w:jc w:val="left"/>
        <w:rPr>
          <w:sz w:val="24"/>
        </w:rPr>
      </w:pPr>
      <w:r>
        <w:rPr>
          <w:rFonts w:hint="eastAsia" w:cs="宋体"/>
          <w:sz w:val="24"/>
        </w:rPr>
        <w:t>九、联系方式：详见《供应商须知前附表》。</w:t>
      </w: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jc w:val="center"/>
        <w:rPr>
          <w:sz w:val="24"/>
        </w:rPr>
      </w:pPr>
      <w:r>
        <w:rPr>
          <w:rFonts w:hint="eastAsia"/>
          <w:sz w:val="24"/>
        </w:rPr>
        <w:t xml:space="preserve">                                       </w:t>
      </w:r>
      <w:r>
        <w:rPr>
          <w:rFonts w:hint="eastAsia"/>
          <w:sz w:val="24"/>
          <w:highlight w:val="yellow"/>
        </w:rPr>
        <w:t xml:space="preserve">   2023</w:t>
      </w:r>
      <w:r>
        <w:rPr>
          <w:sz w:val="24"/>
          <w:highlight w:val="yellow"/>
        </w:rPr>
        <w:t>年</w:t>
      </w:r>
      <w:r>
        <w:rPr>
          <w:rFonts w:hint="eastAsia"/>
          <w:sz w:val="24"/>
          <w:highlight w:val="yellow"/>
        </w:rPr>
        <w:t>3</w:t>
      </w:r>
      <w:r>
        <w:rPr>
          <w:sz w:val="24"/>
          <w:highlight w:val="yellow"/>
        </w:rPr>
        <w:t>月</w:t>
      </w:r>
      <w:r>
        <w:rPr>
          <w:rFonts w:hint="eastAsia"/>
          <w:sz w:val="24"/>
          <w:highlight w:val="yellow"/>
        </w:rPr>
        <w:t>2</w:t>
      </w:r>
      <w:r>
        <w:rPr>
          <w:rFonts w:hint="eastAsia"/>
          <w:sz w:val="24"/>
          <w:highlight w:val="yellow"/>
          <w:lang w:val="en-US" w:eastAsia="zh-CN"/>
        </w:rPr>
        <w:t>7</w:t>
      </w:r>
      <w:r>
        <w:rPr>
          <w:sz w:val="24"/>
          <w:highlight w:val="yellow"/>
        </w:rPr>
        <w:t>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磋商须知</w:t>
      </w:r>
    </w:p>
    <w:p>
      <w:pPr>
        <w:jc w:val="center"/>
        <w:rPr>
          <w:szCs w:val="28"/>
        </w:rPr>
      </w:pPr>
    </w:p>
    <w:p>
      <w:pPr>
        <w:jc w:val="center"/>
        <w:rPr>
          <w:szCs w:val="28"/>
        </w:rPr>
      </w:pPr>
      <w:r>
        <w:rPr>
          <w:rFonts w:hint="eastAsia"/>
          <w:szCs w:val="28"/>
        </w:rPr>
        <w:t>一、供应商</w:t>
      </w:r>
      <w:r>
        <w:rPr>
          <w:szCs w:val="28"/>
        </w:rPr>
        <w:t>须知前附表</w:t>
      </w:r>
    </w:p>
    <w:tbl>
      <w:tblPr>
        <w:tblStyle w:val="34"/>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2" w:leftChars="-50" w:right="-106" w:rightChars="-38" w:hanging="142"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kern w:val="0"/>
                <w:sz w:val="24"/>
              </w:rPr>
            </w:pPr>
            <w:r>
              <w:rPr>
                <w:rFonts w:hint="eastAsia" w:cs="宋体"/>
                <w:kern w:val="0"/>
                <w:sz w:val="24"/>
              </w:rPr>
              <w:t>项目名称</w:t>
            </w:r>
          </w:p>
        </w:tc>
        <w:tc>
          <w:tcPr>
            <w:tcW w:w="6429" w:type="dxa"/>
            <w:vAlign w:val="center"/>
          </w:tcPr>
          <w:p>
            <w:pPr>
              <w:spacing w:line="440" w:lineRule="exact"/>
              <w:rPr>
                <w:bCs/>
                <w:kern w:val="0"/>
                <w:sz w:val="24"/>
              </w:rPr>
            </w:pPr>
            <w:r>
              <w:rPr>
                <w:rFonts w:hint="eastAsia"/>
                <w:bCs/>
                <w:sz w:val="24"/>
              </w:rPr>
              <w:t>湖北省博物馆2023年门票预约系统、OA系统、</w:t>
            </w:r>
            <w:r>
              <w:rPr>
                <w:rFonts w:hint="eastAsia" w:ascii="宋体" w:hAnsi="宋体" w:cs="宋体"/>
                <w:bCs/>
                <w:sz w:val="24"/>
              </w:rPr>
              <w:t>陂安南导览等云托管项目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采购内容</w:t>
            </w:r>
          </w:p>
        </w:tc>
        <w:tc>
          <w:tcPr>
            <w:tcW w:w="6429" w:type="dxa"/>
            <w:vAlign w:val="center"/>
          </w:tcPr>
          <w:p>
            <w:pPr>
              <w:rPr>
                <w:bCs/>
                <w:kern w:val="0"/>
                <w:sz w:val="24"/>
              </w:rPr>
            </w:pPr>
            <w:r>
              <w:rPr>
                <w:rFonts w:hint="eastAsia"/>
                <w:bCs/>
                <w:sz w:val="24"/>
              </w:rPr>
              <w:t>2023年门票预约系统、OA系统、</w:t>
            </w:r>
            <w:r>
              <w:rPr>
                <w:rFonts w:hint="eastAsia" w:ascii="宋体" w:hAnsi="宋体" w:cs="宋体"/>
                <w:bCs/>
                <w:sz w:val="24"/>
              </w:rPr>
              <w:t>陂安南导览等云托管项目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采购预算</w:t>
            </w:r>
          </w:p>
        </w:tc>
        <w:tc>
          <w:tcPr>
            <w:tcW w:w="6429" w:type="dxa"/>
            <w:vAlign w:val="center"/>
          </w:tcPr>
          <w:p>
            <w:pPr>
              <w:rPr>
                <w:kern w:val="0"/>
                <w:sz w:val="24"/>
              </w:rPr>
            </w:pPr>
            <w:r>
              <w:rPr>
                <w:rFonts w:hint="eastAsia" w:cs="宋体"/>
                <w:sz w:val="24"/>
              </w:rPr>
              <w:t>469876.98</w:t>
            </w:r>
            <w:r>
              <w:rPr>
                <w:rFonts w:hint="eastAsia" w:cs="宋体"/>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kern w:val="0"/>
                <w:sz w:val="24"/>
              </w:rPr>
              <w:t>采购人</w:t>
            </w:r>
          </w:p>
        </w:tc>
        <w:tc>
          <w:tcPr>
            <w:tcW w:w="6429" w:type="dxa"/>
            <w:vAlign w:val="center"/>
          </w:tcPr>
          <w:p>
            <w:pPr>
              <w:rPr>
                <w:rFonts w:cs="宋体"/>
                <w:kern w:val="0"/>
                <w:sz w:val="24"/>
              </w:rPr>
            </w:pPr>
            <w:r>
              <w:rPr>
                <w:rFonts w:hint="eastAsia" w:cs="宋体"/>
                <w:kern w:val="0"/>
                <w:sz w:val="24"/>
              </w:rPr>
              <w:t>名称：湖北省博物馆</w:t>
            </w:r>
          </w:p>
          <w:p>
            <w:pPr>
              <w:rPr>
                <w:kern w:val="0"/>
                <w:sz w:val="24"/>
              </w:rPr>
            </w:pPr>
            <w:r>
              <w:rPr>
                <w:rFonts w:hint="eastAsia" w:cs="宋体"/>
                <w:kern w:val="0"/>
                <w:sz w:val="24"/>
              </w:rPr>
              <w:t>联系人：杨理胜</w:t>
            </w:r>
            <w:r>
              <w:rPr>
                <w:kern w:val="0"/>
                <w:sz w:val="24"/>
              </w:rPr>
              <w:fldChar w:fldCharType="begin"/>
            </w:r>
            <w:r>
              <w:rPr>
                <w:kern w:val="0"/>
                <w:sz w:val="24"/>
              </w:rPr>
              <w:instrText xml:space="preserve">&lt;MK&gt;buyers.ownerlinkman &lt;/MK&gt;</w:instrText>
            </w:r>
            <w:r>
              <w:rPr>
                <w:kern w:val="0"/>
                <w:sz w:val="24"/>
              </w:rPr>
              <w:fldChar w:fldCharType="end"/>
            </w:r>
          </w:p>
          <w:p>
            <w:pPr>
              <w:rPr>
                <w:kern w:val="0"/>
                <w:sz w:val="24"/>
              </w:rPr>
            </w:pPr>
            <w:r>
              <w:rPr>
                <w:rFonts w:hint="eastAsia" w:cs="宋体"/>
                <w:kern w:val="0"/>
                <w:sz w:val="24"/>
              </w:rPr>
              <w:t>联系方式：027-86793565</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磋商小组从公开征集的供应商名单中确定不少于三家符合本项目资格条件要求的供应商参加磋商。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供应商资格要求</w:t>
            </w:r>
          </w:p>
        </w:tc>
        <w:tc>
          <w:tcPr>
            <w:tcW w:w="6429" w:type="dxa"/>
            <w:vAlign w:val="center"/>
          </w:tcPr>
          <w:p>
            <w:pPr>
              <w:rPr>
                <w:bCs/>
                <w:sz w:val="24"/>
              </w:rPr>
            </w:pPr>
            <w:r>
              <w:rPr>
                <w:rFonts w:hint="eastAsia"/>
                <w:bCs/>
                <w:sz w:val="24"/>
              </w:rPr>
              <w:t>（1）应具备《中华人民共和国政府采购法》第二十二条第一款规定的条件。</w:t>
            </w:r>
          </w:p>
          <w:p>
            <w:pPr>
              <w:rPr>
                <w:bCs/>
                <w:sz w:val="24"/>
              </w:rPr>
            </w:pPr>
            <w:r>
              <w:rPr>
                <w:rFonts w:hint="eastAsia"/>
                <w:bCs/>
                <w:sz w:val="24"/>
              </w:rPr>
              <w:t>（2）未被列入“信用中国”网站（www.creditchina.gov.cn）失信被执行人、重大税收违法案件当事人名单、政府采购严重违法失信行为记录名单。</w:t>
            </w:r>
          </w:p>
          <w:p>
            <w:pPr>
              <w:rPr>
                <w:bCs/>
                <w:sz w:val="24"/>
              </w:rPr>
            </w:pPr>
            <w:r>
              <w:rPr>
                <w:rFonts w:hint="eastAsia"/>
                <w:bCs/>
                <w:sz w:val="24"/>
              </w:rPr>
              <w:t>（3）投标方提供承诺函，所投云计算服务厂商不含外资背景。</w:t>
            </w:r>
          </w:p>
          <w:p>
            <w:pPr>
              <w:rPr>
                <w:bCs/>
                <w:sz w:val="24"/>
              </w:rPr>
            </w:pPr>
            <w:r>
              <w:rPr>
                <w:rFonts w:hint="eastAsia"/>
                <w:bCs/>
                <w:sz w:val="24"/>
              </w:rPr>
              <w:t>（4）提供云服务的云计算平台需通过三级安全保护等级测评，并提供证明材料。</w:t>
            </w:r>
          </w:p>
          <w:p>
            <w:pPr>
              <w:rPr>
                <w:bCs/>
                <w:sz w:val="24"/>
              </w:rPr>
            </w:pPr>
            <w:r>
              <w:rPr>
                <w:rFonts w:hint="eastAsia"/>
                <w:bCs/>
                <w:sz w:val="24"/>
              </w:rPr>
              <w:t>（</w:t>
            </w:r>
            <w:r>
              <w:rPr>
                <w:bCs/>
                <w:sz w:val="24"/>
              </w:rPr>
              <w:t>5</w:t>
            </w:r>
            <w:r>
              <w:rPr>
                <w:rFonts w:hint="eastAsia"/>
                <w:bCs/>
                <w:sz w:val="24"/>
              </w:rPr>
              <w:t>）投标方需出示所投云厂家开具的投标授权函。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kern w:val="0"/>
                <w:sz w:val="24"/>
              </w:rPr>
            </w:pPr>
            <w:r>
              <w:rPr>
                <w:rFonts w:hint="eastAsia"/>
                <w:bCs/>
                <w:sz w:val="24"/>
              </w:rPr>
              <w:t>其他资格证明文件及资料</w:t>
            </w:r>
          </w:p>
        </w:tc>
        <w:tc>
          <w:tcPr>
            <w:tcW w:w="6429" w:type="dxa"/>
            <w:vAlign w:val="center"/>
          </w:tcPr>
          <w:p>
            <w:pPr>
              <w:rPr>
                <w:kern w:val="0"/>
                <w:sz w:val="24"/>
              </w:rPr>
            </w:pPr>
            <w:r>
              <w:rPr>
                <w:rFonts w:hint="eastAsia"/>
                <w:bCs/>
                <w:sz w:val="24"/>
              </w:rPr>
              <w:t>具有云服务资质或云服务授权资质，并提供相关资质文件。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bCs/>
                <w:sz w:val="24"/>
              </w:rPr>
              <w:t>磋商之日算起90日历日内保持有效。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6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6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p>
          <w:p>
            <w:pPr>
              <w:pStyle w:val="6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6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6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6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hint="eastAsia" w:ascii="Times New Roman" w:hAnsi="Times New Roman" w:cs="宋体"/>
                <w:sz w:val="24"/>
                <w:szCs w:val="24"/>
                <w:highlight w:val="yellow"/>
                <w:lang w:val="en-US"/>
              </w:rPr>
              <w:t>：</w:t>
            </w:r>
            <w:r>
              <w:rPr>
                <w:rFonts w:hint="eastAsia" w:ascii="Times New Roman" w:hAnsi="Times New Roman" w:cs="Times New Roman"/>
                <w:color w:val="FF0000"/>
                <w:sz w:val="24"/>
                <w:szCs w:val="24"/>
                <w:highlight w:val="yellow"/>
                <w:lang w:val="en-US"/>
              </w:rPr>
              <w:t>2023</w:t>
            </w:r>
            <w:r>
              <w:rPr>
                <w:rFonts w:hint="eastAsia" w:ascii="Times New Roman" w:hAnsi="Times New Roman" w:cs="宋体"/>
                <w:color w:val="FF0000"/>
                <w:sz w:val="24"/>
                <w:szCs w:val="24"/>
                <w:highlight w:val="yellow"/>
                <w:lang w:val="en-US"/>
              </w:rPr>
              <w:t>年</w:t>
            </w:r>
            <w:r>
              <w:rPr>
                <w:rFonts w:ascii="Times New Roman" w:hAnsi="Times New Roman" w:cs="Times New Roman"/>
                <w:color w:val="FF0000"/>
                <w:sz w:val="24"/>
                <w:szCs w:val="24"/>
                <w:highlight w:val="yellow"/>
                <w:lang w:val="en-US"/>
              </w:rPr>
              <w:t>3</w:t>
            </w:r>
            <w:r>
              <w:rPr>
                <w:rFonts w:hint="eastAsia" w:ascii="Times New Roman" w:hAnsi="Times New Roman" w:cs="宋体"/>
                <w:color w:val="FF0000"/>
                <w:sz w:val="24"/>
                <w:szCs w:val="24"/>
                <w:highlight w:val="yellow"/>
                <w:lang w:val="en-US"/>
              </w:rPr>
              <w:t>月</w:t>
            </w:r>
            <w:r>
              <w:rPr>
                <w:rFonts w:hint="eastAsia" w:ascii="Times New Roman" w:hAnsi="Times New Roman" w:cs="Times New Roman"/>
                <w:color w:val="FF0000"/>
                <w:sz w:val="24"/>
                <w:szCs w:val="24"/>
                <w:highlight w:val="yellow"/>
                <w:lang w:val="en-US" w:eastAsia="zh-CN"/>
              </w:rPr>
              <w:t>30</w:t>
            </w:r>
            <w:r>
              <w:rPr>
                <w:rFonts w:hint="eastAsia" w:ascii="Times New Roman" w:hAnsi="Times New Roman" w:cs="宋体"/>
                <w:color w:val="FF0000"/>
                <w:sz w:val="24"/>
                <w:szCs w:val="24"/>
                <w:highlight w:val="yellow"/>
                <w:lang w:val="en-US"/>
              </w:rPr>
              <w:t>日</w:t>
            </w:r>
            <w:r>
              <w:rPr>
                <w:rFonts w:hint="eastAsia" w:ascii="Times New Roman" w:hAnsi="Times New Roman" w:cs="Times New Roman"/>
                <w:color w:val="FF0000"/>
                <w:sz w:val="24"/>
                <w:szCs w:val="24"/>
                <w:highlight w:val="yellow"/>
                <w:lang w:val="en-US"/>
              </w:rPr>
              <w:t>17</w:t>
            </w:r>
            <w:r>
              <w:rPr>
                <w:rFonts w:hint="eastAsia" w:ascii="Times New Roman" w:hAnsi="Times New Roman" w:cs="宋体"/>
                <w:color w:val="FF0000"/>
                <w:sz w:val="24"/>
                <w:szCs w:val="24"/>
                <w:highlight w:val="yellow"/>
                <w:lang w:val="en-US"/>
              </w:rPr>
              <w:t>时</w:t>
            </w:r>
            <w:r>
              <w:rPr>
                <w:rFonts w:hint="eastAsia" w:ascii="Times New Roman" w:hAnsi="Times New Roman" w:cs="Times New Roman"/>
                <w:color w:val="FF0000"/>
                <w:sz w:val="24"/>
                <w:szCs w:val="24"/>
                <w:highlight w:val="yellow"/>
                <w:lang w:val="en-US"/>
              </w:rPr>
              <w:t>00</w:t>
            </w:r>
            <w:r>
              <w:rPr>
                <w:rFonts w:hint="eastAsia" w:ascii="Times New Roman" w:hAnsi="Times New Roman" w:cs="宋体"/>
                <w:color w:val="FF0000"/>
                <w:sz w:val="24"/>
                <w:szCs w:val="24"/>
                <w:highlight w:val="yellow"/>
                <w:lang w:val="en-US"/>
              </w:rPr>
              <w:t>分</w:t>
            </w:r>
            <w:r>
              <w:rPr>
                <w:rFonts w:hint="eastAsia" w:ascii="Times New Roman" w:hAnsi="Times New Roman" w:cs="宋体"/>
                <w:sz w:val="24"/>
                <w:szCs w:val="24"/>
                <w:highlight w:val="yellow"/>
                <w:lang w:val="en-US"/>
              </w:rPr>
              <w:t>。</w:t>
            </w:r>
          </w:p>
          <w:p>
            <w:pPr>
              <w:pStyle w:val="6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62"/>
              <w:jc w:val="both"/>
              <w:rPr>
                <w:rFonts w:ascii="Times New Roman" w:hAnsi="Times New Roman" w:cs="Times New Roman"/>
              </w:rPr>
            </w:pPr>
            <w:r>
              <w:rPr>
                <w:rFonts w:hint="eastAsia" w:ascii="Times New Roman" w:hAnsi="Times New Roman" w:cs="宋体"/>
                <w:sz w:val="24"/>
                <w:szCs w:val="24"/>
                <w:lang w:val="en-US"/>
              </w:rPr>
              <w:t>磋商时间和地点</w:t>
            </w:r>
          </w:p>
        </w:tc>
        <w:tc>
          <w:tcPr>
            <w:tcW w:w="6429" w:type="dxa"/>
            <w:vAlign w:val="center"/>
          </w:tcPr>
          <w:p>
            <w:pPr>
              <w:pStyle w:val="62"/>
              <w:ind w:left="107"/>
              <w:jc w:val="both"/>
              <w:rPr>
                <w:rFonts w:ascii="Times New Roman" w:hAnsi="Times New Roman" w:cs="Times New Roman"/>
                <w:sz w:val="24"/>
                <w:szCs w:val="24"/>
                <w:highlight w:val="yellow"/>
                <w:lang w:val="en-US"/>
              </w:rPr>
            </w:pPr>
            <w:r>
              <w:rPr>
                <w:rFonts w:hint="eastAsia" w:ascii="Times New Roman" w:hAnsi="Times New Roman" w:cs="宋体"/>
                <w:sz w:val="24"/>
                <w:szCs w:val="24"/>
                <w:lang w:val="en-US"/>
              </w:rPr>
              <w:t>磋商时间：</w:t>
            </w:r>
            <w:r>
              <w:rPr>
                <w:rFonts w:hint="eastAsia" w:ascii="Times New Roman" w:hAnsi="Times New Roman" w:cs="Times New Roman"/>
                <w:color w:val="FF0000"/>
                <w:sz w:val="24"/>
                <w:szCs w:val="24"/>
                <w:highlight w:val="yellow"/>
                <w:lang w:val="en-US"/>
              </w:rPr>
              <w:t>2023</w:t>
            </w:r>
            <w:r>
              <w:rPr>
                <w:rFonts w:hint="eastAsia" w:ascii="Times New Roman" w:hAnsi="Times New Roman" w:cs="宋体"/>
                <w:color w:val="FF0000"/>
                <w:sz w:val="24"/>
                <w:szCs w:val="24"/>
                <w:highlight w:val="yellow"/>
                <w:lang w:val="en-US"/>
              </w:rPr>
              <w:t>年</w:t>
            </w:r>
            <w:r>
              <w:rPr>
                <w:rFonts w:ascii="Times New Roman" w:hAnsi="Times New Roman" w:cs="Times New Roman"/>
                <w:color w:val="FF0000"/>
                <w:sz w:val="24"/>
                <w:szCs w:val="24"/>
                <w:highlight w:val="yellow"/>
                <w:lang w:val="en-US"/>
              </w:rPr>
              <w:t>3</w:t>
            </w:r>
            <w:r>
              <w:rPr>
                <w:rFonts w:hint="eastAsia" w:ascii="Times New Roman" w:hAnsi="Times New Roman" w:cs="宋体"/>
                <w:color w:val="FF0000"/>
                <w:sz w:val="24"/>
                <w:szCs w:val="24"/>
                <w:highlight w:val="yellow"/>
                <w:lang w:val="en-US"/>
              </w:rPr>
              <w:t>月</w:t>
            </w:r>
            <w:r>
              <w:rPr>
                <w:rFonts w:hint="eastAsia" w:ascii="Times New Roman" w:hAnsi="Times New Roman" w:cs="Times New Roman"/>
                <w:color w:val="FF0000"/>
                <w:sz w:val="24"/>
                <w:szCs w:val="24"/>
                <w:highlight w:val="yellow"/>
                <w:lang w:val="en-US"/>
              </w:rPr>
              <w:t>3</w:t>
            </w:r>
            <w:r>
              <w:rPr>
                <w:rFonts w:hint="eastAsia" w:ascii="Times New Roman" w:hAnsi="Times New Roman" w:cs="Times New Roman"/>
                <w:color w:val="FF0000"/>
                <w:sz w:val="24"/>
                <w:szCs w:val="24"/>
                <w:highlight w:val="yellow"/>
                <w:lang w:val="en-US" w:eastAsia="zh-CN"/>
              </w:rPr>
              <w:t>1</w:t>
            </w:r>
            <w:bookmarkStart w:id="1" w:name="_GoBack"/>
            <w:bookmarkEnd w:id="1"/>
            <w:r>
              <w:rPr>
                <w:rFonts w:hint="eastAsia" w:ascii="Times New Roman" w:hAnsi="Times New Roman" w:cs="宋体"/>
                <w:color w:val="FF0000"/>
                <w:sz w:val="24"/>
                <w:szCs w:val="24"/>
                <w:highlight w:val="yellow"/>
                <w:lang w:val="en-US"/>
              </w:rPr>
              <w:t>日</w:t>
            </w:r>
            <w:r>
              <w:rPr>
                <w:rFonts w:hint="eastAsia" w:ascii="Times New Roman" w:hAnsi="Times New Roman" w:cs="Times New Roman"/>
                <w:color w:val="FF0000"/>
                <w:sz w:val="24"/>
                <w:szCs w:val="24"/>
                <w:highlight w:val="yellow"/>
                <w:lang w:val="en-US"/>
              </w:rPr>
              <w:t>10</w:t>
            </w:r>
            <w:r>
              <w:rPr>
                <w:rFonts w:hint="eastAsia" w:ascii="Times New Roman" w:hAnsi="Times New Roman" w:cs="宋体"/>
                <w:color w:val="FF0000"/>
                <w:sz w:val="24"/>
                <w:szCs w:val="24"/>
                <w:highlight w:val="yellow"/>
                <w:lang w:val="en-US"/>
              </w:rPr>
              <w:t>时</w:t>
            </w:r>
            <w:r>
              <w:rPr>
                <w:rFonts w:hint="eastAsia" w:ascii="Times New Roman" w:hAnsi="Times New Roman" w:cs="Times New Roman"/>
                <w:color w:val="FF0000"/>
                <w:sz w:val="24"/>
                <w:szCs w:val="24"/>
                <w:highlight w:val="yellow"/>
                <w:lang w:val="en-US"/>
              </w:rPr>
              <w:t>00</w:t>
            </w:r>
            <w:r>
              <w:rPr>
                <w:rFonts w:hint="eastAsia" w:ascii="Times New Roman" w:hAnsi="Times New Roman" w:cs="宋体"/>
                <w:color w:val="FF0000"/>
                <w:sz w:val="24"/>
                <w:szCs w:val="24"/>
                <w:highlight w:val="yellow"/>
                <w:lang w:val="en-US"/>
              </w:rPr>
              <w:t>分</w:t>
            </w:r>
            <w:r>
              <w:rPr>
                <w:rFonts w:hint="eastAsia" w:ascii="Times New Roman" w:hAnsi="Times New Roman" w:cs="宋体"/>
                <w:sz w:val="24"/>
                <w:szCs w:val="24"/>
                <w:highlight w:val="yellow"/>
                <w:lang w:val="en-US"/>
              </w:rPr>
              <w:t>。</w:t>
            </w:r>
          </w:p>
          <w:p>
            <w:pPr>
              <w:pStyle w:val="6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磋商地点：湖北省博物馆。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62"/>
              <w:jc w:val="both"/>
              <w:rPr>
                <w:rFonts w:ascii="Times New Roman" w:hAnsi="Times New Roman" w:cs="Times New Roman"/>
                <w:sz w:val="24"/>
                <w:szCs w:val="24"/>
                <w:lang w:val="en-US"/>
              </w:rPr>
            </w:pPr>
            <w:r>
              <w:rPr>
                <w:rFonts w:hint="eastAsia" w:ascii="Times New Roman" w:hAnsi="Times New Roman" w:cs="宋体"/>
                <w:sz w:val="24"/>
                <w:szCs w:val="24"/>
                <w:lang w:val="en-US"/>
              </w:rPr>
              <w:t>磋商小组</w:t>
            </w:r>
          </w:p>
        </w:tc>
        <w:tc>
          <w:tcPr>
            <w:tcW w:w="6429" w:type="dxa"/>
            <w:vAlign w:val="center"/>
          </w:tcPr>
          <w:p>
            <w:pPr>
              <w:pStyle w:val="6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由采购部门安排三人、监察部门、计财部门各安排一人参加。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6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6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采购人从磋商小组提出的成交候选人中根据符合采购需求、质量和服务相等且评审价最低的原则确定成交供应商。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6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6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是指：获得该项目磋商小组确定参加磋商的法人或者其他组织及自然人，确定办法见</w:t>
      </w:r>
      <w:r>
        <w:rPr>
          <w:rFonts w:hint="eastAsia" w:cs="宋体"/>
          <w:b/>
          <w:bCs/>
          <w:sz w:val="24"/>
        </w:rPr>
        <w:t>《供应商须知前附表》</w:t>
      </w:r>
      <w:r>
        <w:rPr>
          <w:rFonts w:hint="eastAsia" w:cs="宋体"/>
          <w:sz w:val="24"/>
        </w:rPr>
        <w:t>。如供应商在本次磋商中成交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对于未提供或提供的材料不符合本文件要求的，磋商小组将拒绝其参加磋商。资格证明文件应真实可靠、不得伪造。响应文件正本中提交的资格证明文件为复印件的，应加盖公章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4.1供应商应自行承担所有与编写和提交响应文件有关的费用，不论磋商结果如何，采购人和集中采购机构在任何情况下无义务和责任承担此类费用。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参与磋商活动的各方应对竞争性磋商文件和响应文件中的商业和技术等秘密保密，违者应对此造成的后果承担法律责任。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响应文件应完全响应竞争性磋商文件规定的实质性内容和条件。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竞争性磋商文件中如有描述歧义或前后不一致的地方，磋商小组有权按公平、合理的原则进行评判，但对同一条款的评判适用于每个供应商。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响应文件的响应内容应当真实、明确、准确。否则，磋商小组将对其作出不利的评审。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响应文件以及与集中采购机构和采购人就有关磋商的所有来往函电均应使用简体中文。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响应文件应按本文件的全部内容，包括所有的补充通知及附件进行编制。供应商受邀参加本文件多个包磋商的，其响应文件的编制应按每包要求分别装订和封装。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如因供应商只提供本文件要求的部分内容或附件的，磋商小组有权拒绝其补充和磋商。</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不限于以下内容，如未提供，磋商小组有权拒绝其响应文件：</w:t>
      </w:r>
    </w:p>
    <w:p>
      <w:pPr>
        <w:spacing w:line="440" w:lineRule="exact"/>
        <w:ind w:left="363" w:leftChars="1" w:hanging="360" w:hangingChars="150"/>
        <w:rPr>
          <w:bCs/>
          <w:sz w:val="24"/>
        </w:rPr>
      </w:pPr>
      <w:r>
        <w:rPr>
          <w:rFonts w:hint="eastAsia"/>
          <w:bCs/>
          <w:sz w:val="24"/>
        </w:rPr>
        <w:t>1）磋商书(附件1)；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pStyle w:val="71"/>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r>
        <w:rPr>
          <w:rFonts w:hint="eastAsia" w:eastAsia="黑体"/>
          <w:bCs/>
          <w:sz w:val="24"/>
        </w:rPr>
        <w:t>---</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本项目磋商有效期按</w:t>
      </w:r>
      <w:r>
        <w:rPr>
          <w:rFonts w:hint="eastAsia" w:cs="宋体"/>
          <w:b/>
          <w:bCs/>
          <w:sz w:val="24"/>
        </w:rPr>
        <w:t>《供应商须知前附表》</w:t>
      </w:r>
      <w:r>
        <w:rPr>
          <w:rFonts w:hint="eastAsia" w:cs="宋体"/>
          <w:sz w:val="24"/>
        </w:rPr>
        <w:t>规定的期间内保持有效，在此期间响应文件有效。磋商结束后，在有效期内磋商供应商不得改变磋商报价、服务期及承诺的全部义务。响应文件有效期比本文件规定短的，磋商小组将视响应文件无效予以拒绝。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磋商有效期满之前，集中采购机构可向磋商供应商提出延长磋商有效期的要求。这种要求与答复均应采用书面形式。磋商供应商可以拒绝集中采购机构的要求。同意延长磋商有效期的磋商供应商不允许修改其响应文件。</w:t>
      </w:r>
    </w:p>
    <w:p/>
    <w:p>
      <w:pPr>
        <w:spacing w:line="440" w:lineRule="exact"/>
        <w:ind w:left="420" w:hanging="420"/>
        <w:rPr>
          <w:rFonts w:eastAsia="黑体"/>
          <w:bCs/>
          <w:sz w:val="24"/>
        </w:rPr>
      </w:pPr>
      <w:r>
        <w:rPr>
          <w:rFonts w:eastAsia="黑体"/>
          <w:bCs/>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磋商时间和地点：详见</w:t>
      </w:r>
      <w:r>
        <w:rPr>
          <w:rFonts w:hint="eastAsia" w:cs="宋体"/>
          <w:b/>
          <w:bCs/>
          <w:sz w:val="24"/>
        </w:rPr>
        <w:t>《供应商须知前附表》</w:t>
      </w:r>
      <w:r>
        <w:rPr>
          <w:rFonts w:hint="eastAsia" w:cs="宋体"/>
          <w:sz w:val="24"/>
        </w:rPr>
        <w:t>。</w:t>
      </w:r>
    </w:p>
    <w:p>
      <w:pPr>
        <w:spacing w:line="440" w:lineRule="exact"/>
        <w:ind w:left="401" w:hanging="401"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bCs/>
          <w:sz w:val="24"/>
        </w:rPr>
      </w:pPr>
    </w:p>
    <w:p>
      <w:pPr>
        <w:spacing w:line="440" w:lineRule="exact"/>
        <w:rPr>
          <w:rFonts w:eastAsia="黑体"/>
          <w:bCs/>
          <w:sz w:val="24"/>
        </w:rPr>
      </w:pPr>
      <w:r>
        <w:rPr>
          <w:rFonts w:eastAsia="黑体"/>
          <w:bCs/>
          <w:sz w:val="24"/>
        </w:rPr>
        <w:t>六、磋商小组的组成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本次磋商由湖北省博物馆依法组建的磋商小组进行，磋商小组负责制定磋商文件、确定磋商供应商名单、响应文件的评审、磋商、根据磋商情况编写评审报告，协助处理质疑等工作。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磋商小组组成见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七、磋商的步骤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磋商供应商授权代表及其商务技术人员按要求参加本项目磋商过程。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磋商小组验证各供应商法人（负责人）或委托授权人的身份。供应商法人（负责人）或委托授权人身份与响应文件不符的、响应文件未按要求加盖印章和签字的，磋商小组将拒绝该供应商参加磋商。</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磋商小组根据磋商文件规定的供应商资格条件、评定成交的标准等事项对供应商提交的响应文件进行评审，资格性评审不符合磋商文件要求的响应文件按无效文件处理，不进入磋商，并告知有关供应商。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第一轮磋商</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磋商小组将按照随机抽签的顺序决定磋商供应商的磋商顺序，并与单一磋商供应商分别进行磋商。</w:t>
      </w:r>
    </w:p>
    <w:p>
      <w:pPr>
        <w:spacing w:line="440" w:lineRule="exact"/>
        <w:ind w:left="360" w:hanging="360" w:hangingChars="150"/>
        <w:rPr>
          <w:sz w:val="24"/>
        </w:rPr>
      </w:pPr>
      <w:r>
        <w:rPr>
          <w:rFonts w:hint="eastAsia"/>
          <w:sz w:val="24"/>
        </w:rPr>
        <w:t>22</w:t>
      </w:r>
      <w:r>
        <w:rPr>
          <w:sz w:val="24"/>
        </w:rPr>
        <w:t>.2</w:t>
      </w:r>
      <w:r>
        <w:rPr>
          <w:rFonts w:hint="eastAsia" w:cs="宋体"/>
          <w:sz w:val="24"/>
        </w:rPr>
        <w:t>磋商小组对照磋商文件与供应商的响应文件分别就采购需求、质量和服务等进行磋商，并了解其报价组成情况。磋商中，磋商的任何一方不得透露与磋商有关的其他供应商的技术资料、价格和其他信息。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磋商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）磋商小组要求供应商澄清、说明或者更正响应文件应以书面形式作出。供应商的澄清、说明或者更正应当由法定代表人（负责人）或其授权代表签字或者加盖印章。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）供应商可以对参加磋商项目的采购需求提出优化建议，并以书面提交磋商小组。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磋商小组按磋商文件设定的方法和标准确定磋商供应商符合磋商文件要求的，该磋商供应商即为合格的供应商。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磋商后，合格的供应商超过三家的，磋商小组可根据采购项目的特点、采购人的实际需求及与各供应商的磋商情况对磋商文件作出实质性变动，并进行下一轮磋商，或直接进入最后报价。变动后的磋商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家的，磋商小组、采购人在降低采购需求中的技术、服务要求以及合同草案条款后进行下一轮磋商。否则，本次磋商终止，重新开展采购活动。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磋商文件修正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磋商小组将磋商文件的修改结果以书面形式通知参加磋商的供应商。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磋商供应商根据第一轮磋商情况和磋商文件修改书面通知，对原响应文件进行修正，并将修正文件签字（或盖章）后密封送交磋商小组。逾时不交的，视同放弃磋商。修正文件与响应文件同具法律效应。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对无法详细描述需求，需要供应商提供设计或者解决方案的项目，磋商小组可以根据采购人对需求确认情况，进行多轮磋商，直至采购人代表最终确认采购需求为止。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第二轮磋商</w:t>
      </w:r>
    </w:p>
    <w:p>
      <w:pPr>
        <w:spacing w:line="440" w:lineRule="exact"/>
        <w:rPr>
          <w:sz w:val="24"/>
        </w:rPr>
      </w:pPr>
      <w:r>
        <w:rPr>
          <w:sz w:val="24"/>
        </w:rPr>
        <w:t>2</w:t>
      </w:r>
      <w:r>
        <w:rPr>
          <w:rFonts w:hint="eastAsia"/>
          <w:sz w:val="24"/>
        </w:rPr>
        <w:t>4</w:t>
      </w:r>
      <w:r>
        <w:rPr>
          <w:sz w:val="24"/>
        </w:rPr>
        <w:t>.1</w:t>
      </w:r>
      <w:r>
        <w:rPr>
          <w:rFonts w:hint="eastAsia" w:cs="宋体"/>
          <w:sz w:val="24"/>
        </w:rPr>
        <w:t>磋商小组就修正后的磋商文件与磋商供应商分别进行磋商。</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第二轮磋商结束后，实质性响应磋商文件及变动后磋商文件要求的供应商超过或不足</w:t>
      </w:r>
      <w:r>
        <w:rPr>
          <w:sz w:val="24"/>
        </w:rPr>
        <w:t>3</w:t>
      </w:r>
      <w:r>
        <w:rPr>
          <w:rFonts w:hint="eastAsia" w:cs="宋体"/>
          <w:sz w:val="24"/>
        </w:rPr>
        <w:t>家的，按照上一轮磋商程序办理，以此类推。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磋商小组对磋商文件中能够详细列明采购标的的技术、服务要求的，在磋商结束后，所有继续参加磋商合格的供应商应在规定时间内提交最后报价。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磋商小组对磋商文件中不能详细描述和列明采购标的的技术、服务要求，需通过磋商由供应商提供最终设计方案或解决方案的，在磋商结束后，磋商小组按照少数服从多数的原则投票推荐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如果出现相同最低报价，磋商小组将要求相同最低报价的磋商供应商再次报价，直至确定只有一个最低报价为止。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磋商供应商的报价均超过了政府采购预算或报价未超过采购预算的供应商不足三家的，磋商活动终止。</w:t>
      </w:r>
    </w:p>
    <w:p>
      <w:pPr>
        <w:spacing w:line="440" w:lineRule="exact"/>
        <w:ind w:left="363" w:leftChars="1" w:hanging="360" w:hangingChars="150"/>
        <w:rPr>
          <w:rFonts w:eastAsia="黑体"/>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cs="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磋商小组从质量和服务均能满足本文件实质性要求的供应商中，按照评审价或报价由低到高的顺序提出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名以上成交候选人，也可按事先授权直接确定成交供应商，并编写评审报告。当出现两个及以上相同最低评审价时，磋商小组按报价由低到高确定评审结果排序。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成交候选供应商因特殊原因放弃或因不可抗力提出不能履行合同，才可依据磋商小组评审结果次序依次递补。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十一、付款方式</w:t>
      </w:r>
    </w:p>
    <w:p>
      <w:pPr>
        <w:spacing w:line="440" w:lineRule="exact"/>
        <w:ind w:left="363" w:leftChars="1" w:hanging="360" w:hangingChars="150"/>
        <w:rPr>
          <w:rFonts w:eastAsia="黑体"/>
          <w:sz w:val="24"/>
        </w:rPr>
      </w:pPr>
      <w:r>
        <w:rPr>
          <w:sz w:val="24"/>
        </w:rPr>
        <w:t>3</w:t>
      </w:r>
      <w:r>
        <w:rPr>
          <w:rFonts w:hint="eastAsia"/>
          <w:sz w:val="24"/>
        </w:rPr>
        <w:t>2</w:t>
      </w:r>
      <w:r>
        <w:rPr>
          <w:sz w:val="24"/>
        </w:rPr>
        <w:t xml:space="preserve">. </w:t>
      </w:r>
      <w:r>
        <w:rPr>
          <w:rFonts w:hint="eastAsia"/>
          <w:sz w:val="24"/>
        </w:rPr>
        <w:t>本项目无预付款，中标人开通相关服务功能，经验收合格后，中标人提供票据后15日之内，采购人按湖北省财政厅相关规定将款项从国库支付至中标人对公账户。中标人认可采购人按约定的付款时间向湖北省财政厅提出了资金支付申请，则视同采购人已履行了合同付款时间义务。中标人必须按国家有关财税规定开具发票。</w:t>
      </w:r>
    </w:p>
    <w:p>
      <w:pPr>
        <w:spacing w:line="440" w:lineRule="exact"/>
        <w:rPr>
          <w:rFonts w:eastAsia="黑体"/>
          <w:sz w:val="24"/>
        </w:rPr>
      </w:pPr>
      <w:r>
        <w:rPr>
          <w:rFonts w:hint="eastAsia" w:eastAsia="黑体" w:cs="黑体"/>
          <w:sz w:val="24"/>
        </w:rPr>
        <w:t>十三、适用法律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7" w:type="default"/>
          <w:pgSz w:w="11906" w:h="16838"/>
          <w:pgMar w:top="1440" w:right="1800" w:bottom="1440" w:left="1800" w:header="851" w:footer="992" w:gutter="0"/>
          <w:cols w:space="720" w:num="1"/>
          <w:docGrid w:type="lines" w:linePitch="312" w:charSpace="0"/>
        </w:sectPr>
      </w:pPr>
    </w:p>
    <w:p>
      <w:pPr>
        <w:adjustRightInd w:val="0"/>
        <w:snapToGrid w:val="0"/>
        <w:ind w:left="-146" w:leftChars="-52" w:right="-196" w:rightChars="-70" w:firstLine="1"/>
        <w:jc w:val="center"/>
        <w:outlineLvl w:val="0"/>
        <w:rPr>
          <w:b/>
          <w:sz w:val="36"/>
          <w:szCs w:val="36"/>
        </w:rPr>
      </w:pPr>
      <w:r>
        <w:rPr>
          <w:b/>
          <w:sz w:val="36"/>
          <w:szCs w:val="36"/>
        </w:rPr>
        <w:t>第三章  采购货物（服务）技术规格、参数及要求</w:t>
      </w:r>
    </w:p>
    <w:p>
      <w:pPr>
        <w:pStyle w:val="5"/>
        <w:ind w:left="0" w:firstLine="0"/>
      </w:pPr>
      <w:r>
        <w:rPr>
          <w:rFonts w:hint="eastAsia"/>
        </w:rPr>
        <w:t>一、采购服务具体技术参数及要求</w:t>
      </w:r>
    </w:p>
    <w:p>
      <w:pPr>
        <w:tabs>
          <w:tab w:val="left" w:pos="432"/>
          <w:tab w:val="left" w:pos="576"/>
        </w:tabs>
        <w:ind w:firstLine="560" w:firstLineChars="200"/>
      </w:pPr>
      <w:r>
        <w:rPr>
          <w:rFonts w:hint="eastAsia"/>
        </w:rPr>
        <w:t>本次采购主要包括门票预约系统、办公OA系统、新馆展厅VR全景展示导览系统、陂安南革命旧址语音导览系统、长江文明百物展等的云托管运维服务。供应商需配置相应云计算资源，提供容灾备份服务，门票预约系统、OA系统的安全防护需达到网络安全等保2.0的三级等保要求。</w:t>
      </w:r>
    </w:p>
    <w:tbl>
      <w:tblPr>
        <w:tblStyle w:val="34"/>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1130"/>
        <w:gridCol w:w="929"/>
        <w:gridCol w:w="3791"/>
        <w:gridCol w:w="124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411" w:type="dxa"/>
            <w:shd w:val="clear" w:color="auto" w:fill="D6DCE5"/>
            <w:vAlign w:val="center"/>
          </w:tcPr>
          <w:p>
            <w:pPr>
              <w:jc w:val="center"/>
              <w:rPr>
                <w:rFonts w:ascii="宋体" w:hAnsi="宋体" w:cs="宋体"/>
                <w:sz w:val="24"/>
              </w:rPr>
            </w:pPr>
            <w:r>
              <w:rPr>
                <w:rFonts w:hint="eastAsia" w:ascii="宋体" w:hAnsi="宋体" w:cs="宋体"/>
                <w:sz w:val="24"/>
              </w:rPr>
              <w:t>序号</w:t>
            </w:r>
          </w:p>
        </w:tc>
        <w:tc>
          <w:tcPr>
            <w:tcW w:w="1130" w:type="dxa"/>
            <w:shd w:val="clear" w:color="auto" w:fill="D6DCE5"/>
            <w:vAlign w:val="center"/>
          </w:tcPr>
          <w:p>
            <w:pPr>
              <w:jc w:val="center"/>
              <w:rPr>
                <w:rFonts w:ascii="宋体" w:hAnsi="宋体" w:cs="宋体"/>
                <w:sz w:val="24"/>
              </w:rPr>
            </w:pPr>
            <w:r>
              <w:rPr>
                <w:rFonts w:hint="eastAsia" w:ascii="宋体" w:hAnsi="宋体" w:cs="宋体"/>
                <w:sz w:val="24"/>
              </w:rPr>
              <w:t>名称</w:t>
            </w:r>
          </w:p>
        </w:tc>
        <w:tc>
          <w:tcPr>
            <w:tcW w:w="929" w:type="dxa"/>
            <w:shd w:val="clear" w:color="auto" w:fill="D6DCE5"/>
            <w:vAlign w:val="center"/>
          </w:tcPr>
          <w:p>
            <w:pPr>
              <w:jc w:val="center"/>
              <w:rPr>
                <w:rFonts w:ascii="宋体" w:hAnsi="宋体" w:cs="宋体"/>
                <w:sz w:val="24"/>
              </w:rPr>
            </w:pPr>
            <w:r>
              <w:rPr>
                <w:rFonts w:hint="eastAsia" w:ascii="宋体" w:hAnsi="宋体" w:cs="宋体"/>
                <w:sz w:val="24"/>
              </w:rPr>
              <w:t>数量</w:t>
            </w:r>
          </w:p>
        </w:tc>
        <w:tc>
          <w:tcPr>
            <w:tcW w:w="3791" w:type="dxa"/>
            <w:shd w:val="clear" w:color="auto" w:fill="D6DCE5"/>
            <w:vAlign w:val="center"/>
          </w:tcPr>
          <w:p>
            <w:pPr>
              <w:jc w:val="center"/>
              <w:rPr>
                <w:rFonts w:ascii="宋体" w:hAnsi="宋体" w:cs="宋体"/>
                <w:sz w:val="24"/>
              </w:rPr>
            </w:pPr>
            <w:r>
              <w:rPr>
                <w:rFonts w:hint="eastAsia" w:ascii="宋体" w:hAnsi="宋体" w:cs="宋体"/>
                <w:sz w:val="24"/>
              </w:rPr>
              <w:t>参数或指标需求</w:t>
            </w:r>
          </w:p>
        </w:tc>
        <w:tc>
          <w:tcPr>
            <w:tcW w:w="1247" w:type="dxa"/>
            <w:shd w:val="clear" w:color="auto" w:fill="D6DCE5"/>
            <w:vAlign w:val="center"/>
          </w:tcPr>
          <w:p>
            <w:pPr>
              <w:jc w:val="center"/>
              <w:rPr>
                <w:rFonts w:ascii="宋体" w:hAnsi="宋体" w:cs="宋体"/>
                <w:sz w:val="24"/>
              </w:rPr>
            </w:pPr>
            <w:r>
              <w:rPr>
                <w:rFonts w:hint="eastAsia" w:ascii="宋体" w:hAnsi="宋体" w:cs="宋体"/>
                <w:sz w:val="24"/>
              </w:rPr>
              <w:t>报价</w:t>
            </w:r>
          </w:p>
          <w:p>
            <w:pPr>
              <w:jc w:val="center"/>
              <w:rPr>
                <w:rFonts w:ascii="宋体" w:hAnsi="宋体" w:cs="宋体"/>
                <w:sz w:val="24"/>
              </w:rPr>
            </w:pPr>
            <w:r>
              <w:rPr>
                <w:rFonts w:hint="eastAsia" w:ascii="宋体" w:hAnsi="宋体" w:cs="宋体"/>
                <w:sz w:val="24"/>
              </w:rPr>
              <w:t>限价</w:t>
            </w:r>
          </w:p>
        </w:tc>
        <w:tc>
          <w:tcPr>
            <w:tcW w:w="1233" w:type="dxa"/>
            <w:shd w:val="clear" w:color="auto" w:fill="D6DCE5"/>
            <w:vAlign w:val="center"/>
          </w:tcPr>
          <w:p>
            <w:pPr>
              <w:jc w:val="center"/>
              <w:rPr>
                <w:rFonts w:ascii="宋体" w:hAnsi="宋体" w:cs="宋体"/>
                <w:sz w:val="24"/>
              </w:rPr>
            </w:pPr>
            <w:r>
              <w:rPr>
                <w:rFonts w:hint="eastAsia" w:ascii="宋体" w:hAnsi="宋体" w:cs="宋体"/>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1</w:t>
            </w:r>
          </w:p>
        </w:tc>
        <w:tc>
          <w:tcPr>
            <w:tcW w:w="1130" w:type="dxa"/>
            <w:vAlign w:val="center"/>
          </w:tcPr>
          <w:p>
            <w:pPr>
              <w:jc w:val="center"/>
              <w:rPr>
                <w:rFonts w:ascii="宋体" w:hAnsi="宋体" w:cs="宋体"/>
                <w:caps/>
                <w:sz w:val="18"/>
                <w:szCs w:val="18"/>
              </w:rPr>
            </w:pPr>
            <w:r>
              <w:rPr>
                <w:rFonts w:hint="eastAsia" w:ascii="宋体" w:hAnsi="宋体" w:cs="宋体"/>
                <w:snapToGrid w:val="0"/>
                <w:kern w:val="0"/>
                <w:sz w:val="18"/>
                <w:szCs w:val="18"/>
              </w:rPr>
              <w:t>入口负载</w:t>
            </w:r>
          </w:p>
        </w:tc>
        <w:tc>
          <w:tcPr>
            <w:tcW w:w="929" w:type="dxa"/>
            <w:vAlign w:val="center"/>
          </w:tcPr>
          <w:p>
            <w:pPr>
              <w:jc w:val="center"/>
              <w:rPr>
                <w:rFonts w:ascii="宋体" w:hAnsi="宋体" w:cs="宋体"/>
                <w:caps/>
                <w:sz w:val="18"/>
                <w:szCs w:val="18"/>
              </w:rPr>
            </w:pPr>
            <w:r>
              <w:rPr>
                <w:rFonts w:hint="eastAsia" w:ascii="宋体" w:hAnsi="宋体" w:cs="宋体"/>
                <w:caps/>
                <w:sz w:val="18"/>
                <w:szCs w:val="18"/>
              </w:rPr>
              <w:t>1台/年</w:t>
            </w:r>
          </w:p>
        </w:tc>
        <w:tc>
          <w:tcPr>
            <w:tcW w:w="3791" w:type="dxa"/>
            <w:vAlign w:val="center"/>
          </w:tcPr>
          <w:p>
            <w:pPr>
              <w:jc w:val="center"/>
              <w:rPr>
                <w:rFonts w:ascii="宋体" w:hAnsi="宋体" w:cs="宋体"/>
                <w:caps/>
                <w:sz w:val="18"/>
                <w:szCs w:val="18"/>
              </w:rPr>
            </w:pPr>
            <w:r>
              <w:rPr>
                <w:rFonts w:hint="eastAsia" w:ascii="宋体" w:hAnsi="宋体" w:cs="宋体"/>
                <w:caps/>
                <w:sz w:val="18"/>
                <w:szCs w:val="18"/>
              </w:rPr>
              <w:t>通用型  | 8核CPU | 16G内存</w:t>
            </w:r>
          </w:p>
          <w:p>
            <w:pPr>
              <w:jc w:val="center"/>
              <w:rPr>
                <w:rFonts w:ascii="宋体" w:hAnsi="宋体" w:cs="宋体"/>
                <w:caps/>
                <w:sz w:val="18"/>
                <w:szCs w:val="18"/>
              </w:rPr>
            </w:pPr>
            <w:r>
              <w:rPr>
                <w:rFonts w:hint="eastAsia" w:ascii="宋体" w:hAnsi="宋体" w:cs="宋体"/>
                <w:caps/>
                <w:sz w:val="18"/>
                <w:szCs w:val="18"/>
              </w:rPr>
              <w:t>系统盘：高性能型 | 50GB</w:t>
            </w:r>
          </w:p>
          <w:p>
            <w:pPr>
              <w:jc w:val="center"/>
              <w:rPr>
                <w:rFonts w:ascii="宋体" w:hAnsi="宋体" w:cs="宋体"/>
                <w:caps/>
                <w:sz w:val="18"/>
                <w:szCs w:val="18"/>
              </w:rPr>
            </w:pPr>
            <w:r>
              <w:rPr>
                <w:rFonts w:hint="eastAsia" w:ascii="宋体" w:hAnsi="宋体" w:cs="宋体"/>
                <w:caps/>
                <w:sz w:val="18"/>
                <w:szCs w:val="18"/>
              </w:rPr>
              <w:t>数据盘：高性能型 | 200GB</w:t>
            </w:r>
          </w:p>
          <w:p>
            <w:pPr>
              <w:jc w:val="center"/>
              <w:rPr>
                <w:rFonts w:ascii="宋体" w:hAnsi="宋体" w:cs="宋体"/>
                <w:caps/>
                <w:sz w:val="18"/>
                <w:szCs w:val="18"/>
              </w:rPr>
            </w:pPr>
            <w:r>
              <w:rPr>
                <w:rFonts w:hint="eastAsia" w:ascii="宋体" w:hAnsi="宋体" w:cs="宋体"/>
                <w:caps/>
                <w:sz w:val="18"/>
                <w:szCs w:val="18"/>
              </w:rPr>
              <w:t>弹性公网IP：</w:t>
            </w:r>
            <w:r>
              <w:rPr>
                <w:rFonts w:ascii="宋体" w:hAnsi="宋体" w:cs="宋体"/>
                <w:b w:val="0"/>
                <w:bCs w:val="0"/>
                <w:caps/>
                <w:color w:val="auto"/>
                <w:sz w:val="18"/>
                <w:szCs w:val="18"/>
              </w:rPr>
              <w:t>60M</w:t>
            </w:r>
            <w:r>
              <w:rPr>
                <w:rFonts w:ascii="宋体" w:hAnsi="宋体" w:cs="宋体"/>
                <w:b w:val="0"/>
                <w:bCs w:val="0"/>
                <w:color w:val="auto"/>
                <w:sz w:val="18"/>
                <w:szCs w:val="18"/>
              </w:rPr>
              <w:t>bps</w:t>
            </w:r>
            <w:r>
              <w:rPr>
                <w:rFonts w:hint="eastAsia" w:ascii="宋体" w:hAnsi="宋体" w:cs="宋体"/>
                <w:caps/>
                <w:sz w:val="18"/>
                <w:szCs w:val="18"/>
              </w:rPr>
              <w:t>独享（包含一个独立公网IP+带宽）</w:t>
            </w:r>
          </w:p>
          <w:p>
            <w:pPr>
              <w:jc w:val="center"/>
              <w:rPr>
                <w:rFonts w:ascii="宋体" w:hAnsi="宋体" w:cs="宋体"/>
                <w:caps/>
                <w:sz w:val="18"/>
                <w:szCs w:val="18"/>
              </w:rPr>
            </w:pPr>
            <w:r>
              <w:rPr>
                <w:rFonts w:hint="eastAsia" w:ascii="宋体" w:hAnsi="宋体" w:cs="宋体"/>
                <w:caps/>
                <w:sz w:val="18"/>
                <w:szCs w:val="18"/>
              </w:rPr>
              <w:t>操作系统：</w:t>
            </w:r>
            <w:r>
              <w:rPr>
                <w:rFonts w:hint="eastAsia" w:ascii="宋体" w:hAnsi="宋体" w:cs="宋体"/>
                <w:b w:val="0"/>
                <w:bCs w:val="0"/>
                <w:caps/>
                <w:color w:val="auto"/>
                <w:sz w:val="18"/>
                <w:szCs w:val="18"/>
              </w:rPr>
              <w:t>正版</w:t>
            </w:r>
            <w:r>
              <w:rPr>
                <w:rFonts w:ascii="宋体" w:hAnsi="宋体" w:cs="宋体"/>
                <w:b w:val="0"/>
                <w:bCs w:val="0"/>
                <w:caps/>
                <w:color w:val="auto"/>
                <w:sz w:val="18"/>
                <w:szCs w:val="18"/>
              </w:rPr>
              <w:t>D</w:t>
            </w:r>
            <w:r>
              <w:rPr>
                <w:rFonts w:ascii="宋体" w:hAnsi="宋体" w:cs="宋体"/>
                <w:b w:val="0"/>
                <w:bCs w:val="0"/>
                <w:color w:val="auto"/>
                <w:sz w:val="18"/>
                <w:szCs w:val="18"/>
              </w:rPr>
              <w:t>ebian</w:t>
            </w:r>
            <w:r>
              <w:rPr>
                <w:rFonts w:ascii="宋体" w:hAnsi="宋体" w:cs="宋体"/>
                <w:b w:val="0"/>
                <w:bCs w:val="0"/>
                <w:caps/>
                <w:color w:val="auto"/>
                <w:sz w:val="18"/>
                <w:szCs w:val="18"/>
              </w:rPr>
              <w:t>10</w:t>
            </w:r>
          </w:p>
        </w:tc>
        <w:tc>
          <w:tcPr>
            <w:tcW w:w="1247" w:type="dxa"/>
            <w:vAlign w:val="center"/>
          </w:tcPr>
          <w:p>
            <w:pPr>
              <w:jc w:val="center"/>
              <w:rPr>
                <w:rFonts w:ascii="宋体" w:hAnsi="宋体" w:cs="宋体"/>
                <w:snapToGrid w:val="0"/>
                <w:kern w:val="0"/>
                <w:sz w:val="18"/>
                <w:szCs w:val="18"/>
              </w:rPr>
            </w:pPr>
            <w:r>
              <w:rPr>
                <w:rFonts w:hint="eastAsia" w:ascii="宋体" w:hAnsi="宋体" w:cs="宋体"/>
                <w:snapToGrid w:val="0"/>
                <w:kern w:val="0"/>
                <w:sz w:val="18"/>
                <w:szCs w:val="18"/>
              </w:rPr>
              <w:t>36278元</w:t>
            </w:r>
          </w:p>
        </w:tc>
        <w:tc>
          <w:tcPr>
            <w:tcW w:w="1233" w:type="dxa"/>
            <w:vAlign w:val="center"/>
          </w:tcPr>
          <w:p>
            <w:pPr>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2</w:t>
            </w:r>
          </w:p>
        </w:tc>
        <w:tc>
          <w:tcPr>
            <w:tcW w:w="1130" w:type="dxa"/>
            <w:vAlign w:val="center"/>
          </w:tcPr>
          <w:p>
            <w:pPr>
              <w:jc w:val="center"/>
              <w:rPr>
                <w:rFonts w:ascii="宋体" w:hAnsi="宋体" w:cs="宋体"/>
                <w:sz w:val="18"/>
                <w:szCs w:val="18"/>
              </w:rPr>
            </w:pPr>
            <w:r>
              <w:rPr>
                <w:rFonts w:hint="eastAsia" w:ascii="宋体" w:hAnsi="宋体" w:cs="宋体"/>
                <w:snapToGrid w:val="0"/>
                <w:kern w:val="0"/>
                <w:sz w:val="18"/>
                <w:szCs w:val="18"/>
              </w:rPr>
              <w:t>应用节点1</w:t>
            </w:r>
          </w:p>
        </w:tc>
        <w:tc>
          <w:tcPr>
            <w:tcW w:w="929" w:type="dxa"/>
            <w:vAlign w:val="center"/>
          </w:tcPr>
          <w:p>
            <w:pPr>
              <w:jc w:val="center"/>
              <w:rPr>
                <w:rFonts w:ascii="宋体" w:hAnsi="宋体" w:cs="宋体"/>
                <w:caps/>
                <w:sz w:val="18"/>
                <w:szCs w:val="18"/>
              </w:rPr>
            </w:pPr>
            <w:r>
              <w:rPr>
                <w:rFonts w:hint="eastAsia" w:ascii="宋体" w:hAnsi="宋体" w:cs="宋体"/>
                <w:caps/>
                <w:sz w:val="18"/>
                <w:szCs w:val="18"/>
              </w:rPr>
              <w:t>1台/年</w:t>
            </w:r>
          </w:p>
        </w:tc>
        <w:tc>
          <w:tcPr>
            <w:tcW w:w="3791" w:type="dxa"/>
            <w:vAlign w:val="center"/>
          </w:tcPr>
          <w:p>
            <w:pPr>
              <w:jc w:val="center"/>
              <w:rPr>
                <w:rFonts w:ascii="宋体" w:hAnsi="宋体" w:cs="宋体"/>
                <w:caps/>
                <w:sz w:val="18"/>
                <w:szCs w:val="18"/>
              </w:rPr>
            </w:pPr>
            <w:r>
              <w:rPr>
                <w:rFonts w:hint="eastAsia" w:ascii="宋体" w:hAnsi="宋体" w:cs="宋体"/>
                <w:caps/>
                <w:sz w:val="18"/>
                <w:szCs w:val="18"/>
              </w:rPr>
              <w:t>通用型 |8核CPU | 32G内存</w:t>
            </w:r>
          </w:p>
          <w:p>
            <w:pPr>
              <w:jc w:val="center"/>
              <w:rPr>
                <w:rFonts w:ascii="宋体" w:hAnsi="宋体" w:cs="宋体"/>
                <w:caps/>
                <w:sz w:val="18"/>
                <w:szCs w:val="18"/>
              </w:rPr>
            </w:pPr>
            <w:r>
              <w:rPr>
                <w:rFonts w:hint="eastAsia" w:ascii="宋体" w:hAnsi="宋体" w:cs="宋体"/>
                <w:caps/>
                <w:sz w:val="18"/>
                <w:szCs w:val="18"/>
              </w:rPr>
              <w:t>系统盘：高性能型 | 50GB</w:t>
            </w:r>
          </w:p>
          <w:p>
            <w:pPr>
              <w:jc w:val="center"/>
              <w:rPr>
                <w:rFonts w:ascii="宋体" w:hAnsi="宋体" w:cs="宋体"/>
                <w:caps/>
                <w:sz w:val="18"/>
                <w:szCs w:val="18"/>
              </w:rPr>
            </w:pPr>
            <w:r>
              <w:rPr>
                <w:rFonts w:hint="eastAsia" w:ascii="宋体" w:hAnsi="宋体" w:cs="宋体"/>
                <w:caps/>
                <w:sz w:val="18"/>
                <w:szCs w:val="18"/>
              </w:rPr>
              <w:t>数据盘：高性能型 | 300GB</w:t>
            </w:r>
          </w:p>
          <w:p>
            <w:pPr>
              <w:jc w:val="center"/>
              <w:rPr>
                <w:rFonts w:ascii="宋体" w:hAnsi="宋体" w:cs="宋体"/>
                <w:caps/>
                <w:sz w:val="18"/>
                <w:szCs w:val="18"/>
              </w:rPr>
            </w:pPr>
            <w:r>
              <w:rPr>
                <w:rFonts w:hint="eastAsia" w:ascii="宋体" w:hAnsi="宋体" w:cs="宋体"/>
                <w:caps/>
                <w:sz w:val="18"/>
                <w:szCs w:val="18"/>
              </w:rPr>
              <w:t>弹性公网IP：</w:t>
            </w:r>
            <w:r>
              <w:rPr>
                <w:rFonts w:ascii="宋体" w:hAnsi="宋体" w:cs="宋体"/>
                <w:b w:val="0"/>
                <w:bCs w:val="0"/>
                <w:caps/>
                <w:color w:val="auto"/>
                <w:sz w:val="18"/>
                <w:szCs w:val="18"/>
              </w:rPr>
              <w:t>2M</w:t>
            </w:r>
            <w:r>
              <w:rPr>
                <w:rFonts w:ascii="宋体" w:hAnsi="宋体" w:cs="宋体"/>
                <w:b w:val="0"/>
                <w:bCs w:val="0"/>
                <w:color w:val="auto"/>
                <w:sz w:val="18"/>
                <w:szCs w:val="18"/>
              </w:rPr>
              <w:t>bps</w:t>
            </w:r>
            <w:r>
              <w:rPr>
                <w:rFonts w:hint="eastAsia" w:ascii="宋体" w:hAnsi="宋体" w:cs="宋体"/>
                <w:caps/>
                <w:sz w:val="18"/>
                <w:szCs w:val="18"/>
              </w:rPr>
              <w:t>独享（包含一个独立公网IP+带宽）</w:t>
            </w:r>
          </w:p>
          <w:p>
            <w:pPr>
              <w:jc w:val="center"/>
              <w:rPr>
                <w:rFonts w:ascii="宋体" w:hAnsi="宋体" w:cs="宋体"/>
                <w:caps/>
                <w:sz w:val="18"/>
                <w:szCs w:val="18"/>
              </w:rPr>
            </w:pPr>
            <w:r>
              <w:rPr>
                <w:rFonts w:hint="eastAsia" w:ascii="宋体" w:hAnsi="宋体" w:cs="宋体"/>
                <w:caps/>
                <w:sz w:val="18"/>
                <w:szCs w:val="18"/>
              </w:rPr>
              <w:t>操作系统：正版D</w:t>
            </w:r>
            <w:r>
              <w:rPr>
                <w:rFonts w:ascii="宋体" w:hAnsi="宋体" w:cs="宋体"/>
                <w:sz w:val="18"/>
                <w:szCs w:val="18"/>
              </w:rPr>
              <w:t>ebian</w:t>
            </w:r>
            <w:r>
              <w:rPr>
                <w:rFonts w:hint="eastAsia" w:ascii="宋体" w:hAnsi="宋体" w:cs="宋体"/>
                <w:sz w:val="18"/>
                <w:szCs w:val="18"/>
              </w:rPr>
              <w:t>10</w:t>
            </w:r>
          </w:p>
        </w:tc>
        <w:tc>
          <w:tcPr>
            <w:tcW w:w="1247" w:type="dxa"/>
            <w:vAlign w:val="center"/>
          </w:tcPr>
          <w:p>
            <w:pPr>
              <w:jc w:val="center"/>
              <w:rPr>
                <w:rFonts w:ascii="宋体" w:hAnsi="宋体" w:cs="宋体"/>
                <w:snapToGrid w:val="0"/>
                <w:kern w:val="0"/>
                <w:sz w:val="18"/>
                <w:szCs w:val="18"/>
              </w:rPr>
            </w:pPr>
            <w:r>
              <w:rPr>
                <w:rFonts w:hint="eastAsia" w:ascii="宋体" w:hAnsi="宋体" w:cs="宋体"/>
                <w:snapToGrid w:val="0"/>
                <w:kern w:val="0"/>
                <w:sz w:val="18"/>
                <w:szCs w:val="18"/>
              </w:rPr>
              <w:t>13813.1元</w:t>
            </w:r>
          </w:p>
        </w:tc>
        <w:tc>
          <w:tcPr>
            <w:tcW w:w="1233" w:type="dxa"/>
            <w:vAlign w:val="center"/>
          </w:tcPr>
          <w:p>
            <w:pPr>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3</w:t>
            </w:r>
          </w:p>
        </w:tc>
        <w:tc>
          <w:tcPr>
            <w:tcW w:w="1130" w:type="dxa"/>
            <w:vAlign w:val="center"/>
          </w:tcPr>
          <w:p>
            <w:pPr>
              <w:ind w:left="180" w:hanging="180" w:hangingChars="100"/>
              <w:jc w:val="center"/>
              <w:rPr>
                <w:rFonts w:ascii="宋体" w:hAnsi="宋体" w:cs="宋体"/>
                <w:caps/>
                <w:sz w:val="18"/>
                <w:szCs w:val="18"/>
              </w:rPr>
            </w:pPr>
            <w:r>
              <w:rPr>
                <w:rFonts w:hint="eastAsia" w:ascii="宋体" w:hAnsi="宋体" w:cs="宋体"/>
                <w:caps/>
                <w:sz w:val="18"/>
                <w:szCs w:val="18"/>
              </w:rPr>
              <w:t>应用节点2</w:t>
            </w:r>
          </w:p>
        </w:tc>
        <w:tc>
          <w:tcPr>
            <w:tcW w:w="929" w:type="dxa"/>
            <w:vAlign w:val="center"/>
          </w:tcPr>
          <w:p>
            <w:pPr>
              <w:jc w:val="center"/>
              <w:rPr>
                <w:rFonts w:ascii="宋体" w:hAnsi="宋体" w:cs="宋体"/>
                <w:caps/>
                <w:sz w:val="18"/>
                <w:szCs w:val="18"/>
              </w:rPr>
            </w:pPr>
            <w:r>
              <w:rPr>
                <w:rFonts w:hint="eastAsia" w:ascii="宋体" w:hAnsi="宋体" w:cs="宋体"/>
                <w:caps/>
                <w:sz w:val="18"/>
                <w:szCs w:val="18"/>
              </w:rPr>
              <w:t>1台/年</w:t>
            </w:r>
          </w:p>
        </w:tc>
        <w:tc>
          <w:tcPr>
            <w:tcW w:w="3791" w:type="dxa"/>
            <w:vAlign w:val="center"/>
          </w:tcPr>
          <w:p>
            <w:pPr>
              <w:jc w:val="center"/>
              <w:rPr>
                <w:rFonts w:ascii="宋体" w:hAnsi="宋体" w:cs="宋体"/>
                <w:caps/>
                <w:sz w:val="18"/>
                <w:szCs w:val="18"/>
              </w:rPr>
            </w:pPr>
            <w:r>
              <w:rPr>
                <w:rFonts w:hint="eastAsia" w:ascii="宋体" w:hAnsi="宋体" w:cs="宋体"/>
                <w:caps/>
                <w:sz w:val="18"/>
                <w:szCs w:val="18"/>
              </w:rPr>
              <w:t>通用型 | 8核CPU | 32G内存</w:t>
            </w:r>
          </w:p>
          <w:p>
            <w:pPr>
              <w:jc w:val="center"/>
              <w:rPr>
                <w:rFonts w:ascii="宋体" w:hAnsi="宋体" w:cs="宋体"/>
                <w:caps/>
                <w:sz w:val="18"/>
                <w:szCs w:val="18"/>
              </w:rPr>
            </w:pPr>
            <w:r>
              <w:rPr>
                <w:rFonts w:hint="eastAsia" w:ascii="宋体" w:hAnsi="宋体" w:cs="宋体"/>
                <w:caps/>
                <w:sz w:val="18"/>
                <w:szCs w:val="18"/>
              </w:rPr>
              <w:t>系统盘：高性能型 | 50GB</w:t>
            </w:r>
          </w:p>
          <w:p>
            <w:pPr>
              <w:jc w:val="center"/>
              <w:rPr>
                <w:rFonts w:ascii="宋体" w:hAnsi="宋体" w:cs="宋体"/>
                <w:caps/>
                <w:sz w:val="18"/>
                <w:szCs w:val="18"/>
              </w:rPr>
            </w:pPr>
            <w:r>
              <w:rPr>
                <w:rFonts w:hint="eastAsia" w:ascii="宋体" w:hAnsi="宋体" w:cs="宋体"/>
                <w:caps/>
                <w:sz w:val="18"/>
                <w:szCs w:val="18"/>
              </w:rPr>
              <w:t>数据盘：高性能型 | 300GB</w:t>
            </w:r>
          </w:p>
          <w:p>
            <w:pPr>
              <w:jc w:val="center"/>
              <w:rPr>
                <w:rFonts w:ascii="宋体" w:hAnsi="宋体" w:cs="宋体"/>
                <w:caps/>
                <w:sz w:val="18"/>
                <w:szCs w:val="18"/>
              </w:rPr>
            </w:pPr>
            <w:r>
              <w:rPr>
                <w:rFonts w:hint="eastAsia" w:ascii="宋体" w:hAnsi="宋体" w:cs="宋体"/>
                <w:caps/>
                <w:sz w:val="18"/>
                <w:szCs w:val="18"/>
              </w:rPr>
              <w:t>弹性公网IP：</w:t>
            </w:r>
            <w:r>
              <w:rPr>
                <w:rFonts w:ascii="宋体" w:hAnsi="宋体" w:cs="宋体"/>
                <w:b w:val="0"/>
                <w:bCs w:val="0"/>
                <w:caps/>
                <w:color w:val="auto"/>
                <w:sz w:val="18"/>
                <w:szCs w:val="18"/>
              </w:rPr>
              <w:t>2M</w:t>
            </w:r>
            <w:r>
              <w:rPr>
                <w:rFonts w:ascii="宋体" w:hAnsi="宋体" w:cs="宋体"/>
                <w:b w:val="0"/>
                <w:bCs w:val="0"/>
                <w:color w:val="auto"/>
                <w:sz w:val="18"/>
                <w:szCs w:val="18"/>
              </w:rPr>
              <w:t>bps</w:t>
            </w:r>
            <w:r>
              <w:rPr>
                <w:rFonts w:hint="eastAsia" w:ascii="宋体" w:hAnsi="宋体" w:cs="宋体"/>
                <w:caps/>
                <w:sz w:val="18"/>
                <w:szCs w:val="18"/>
              </w:rPr>
              <w:t>独享（包含一个独立公网IP+带宽）</w:t>
            </w:r>
          </w:p>
          <w:p>
            <w:pPr>
              <w:jc w:val="center"/>
              <w:rPr>
                <w:rFonts w:ascii="宋体" w:hAnsi="宋体" w:cs="宋体"/>
                <w:caps/>
                <w:sz w:val="18"/>
                <w:szCs w:val="18"/>
              </w:rPr>
            </w:pPr>
            <w:r>
              <w:rPr>
                <w:rFonts w:hint="eastAsia" w:ascii="宋体" w:hAnsi="宋体" w:cs="宋体"/>
                <w:caps/>
                <w:sz w:val="18"/>
                <w:szCs w:val="18"/>
              </w:rPr>
              <w:t>操作系统：</w:t>
            </w:r>
            <w:r>
              <w:rPr>
                <w:rFonts w:hint="eastAsia" w:ascii="宋体" w:hAnsi="宋体" w:cs="宋体"/>
                <w:b w:val="0"/>
                <w:bCs w:val="0"/>
                <w:caps/>
                <w:color w:val="auto"/>
                <w:sz w:val="18"/>
                <w:szCs w:val="18"/>
              </w:rPr>
              <w:t>正版</w:t>
            </w:r>
            <w:r>
              <w:rPr>
                <w:rFonts w:hint="eastAsia" w:ascii="宋体" w:hAnsi="宋体" w:cs="宋体"/>
                <w:caps/>
                <w:sz w:val="18"/>
                <w:szCs w:val="18"/>
              </w:rPr>
              <w:t>D</w:t>
            </w:r>
            <w:r>
              <w:rPr>
                <w:rFonts w:ascii="宋体" w:hAnsi="宋体" w:cs="宋体"/>
                <w:sz w:val="18"/>
                <w:szCs w:val="18"/>
              </w:rPr>
              <w:t>ebian</w:t>
            </w:r>
            <w:r>
              <w:rPr>
                <w:rFonts w:ascii="宋体" w:hAnsi="宋体" w:cs="宋体"/>
                <w:b w:val="0"/>
                <w:bCs w:val="0"/>
                <w:color w:val="auto"/>
                <w:sz w:val="18"/>
                <w:szCs w:val="18"/>
              </w:rPr>
              <w:t>10</w:t>
            </w:r>
          </w:p>
        </w:tc>
        <w:tc>
          <w:tcPr>
            <w:tcW w:w="1247" w:type="dxa"/>
            <w:vAlign w:val="center"/>
          </w:tcPr>
          <w:p>
            <w:pPr>
              <w:jc w:val="center"/>
              <w:rPr>
                <w:rFonts w:ascii="宋体" w:hAnsi="宋体" w:cs="宋体"/>
                <w:snapToGrid w:val="0"/>
                <w:kern w:val="0"/>
                <w:sz w:val="18"/>
                <w:szCs w:val="18"/>
              </w:rPr>
            </w:pPr>
            <w:r>
              <w:rPr>
                <w:rFonts w:hint="eastAsia" w:ascii="宋体" w:hAnsi="宋体" w:cs="宋体"/>
                <w:snapToGrid w:val="0"/>
                <w:kern w:val="0"/>
                <w:sz w:val="18"/>
                <w:szCs w:val="18"/>
              </w:rPr>
              <w:t>13813.1元</w:t>
            </w:r>
          </w:p>
        </w:tc>
        <w:tc>
          <w:tcPr>
            <w:tcW w:w="1233" w:type="dxa"/>
            <w:vAlign w:val="center"/>
          </w:tcPr>
          <w:p>
            <w:pPr>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4</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数据库主</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caps/>
                <w:sz w:val="18"/>
                <w:szCs w:val="18"/>
              </w:rPr>
              <w:t>1台/年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8核CPU | 32G内存</w:t>
            </w:r>
          </w:p>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系统盘：高性能型 | 50GB</w:t>
            </w:r>
          </w:p>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数据盘：高性能型 | 500GB</w:t>
            </w:r>
          </w:p>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弹性公网IP：</w:t>
            </w:r>
            <w:r>
              <w:rPr>
                <w:rFonts w:ascii="宋体" w:hAnsi="宋体" w:cs="宋体"/>
                <w:b w:val="0"/>
                <w:bCs w:val="0"/>
                <w:snapToGrid w:val="0"/>
                <w:color w:val="auto"/>
                <w:kern w:val="0"/>
                <w:sz w:val="18"/>
                <w:szCs w:val="18"/>
              </w:rPr>
              <w:t>2Mbps</w:t>
            </w:r>
            <w:r>
              <w:rPr>
                <w:rFonts w:hint="eastAsia" w:ascii="宋体" w:hAnsi="宋体" w:cs="宋体"/>
                <w:snapToGrid w:val="0"/>
                <w:kern w:val="0"/>
                <w:sz w:val="18"/>
                <w:szCs w:val="18"/>
              </w:rPr>
              <w:t>独享（包含一个独立公网IP+带宽）</w:t>
            </w:r>
          </w:p>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操作系统：正版Debian10</w:t>
            </w:r>
          </w:p>
        </w:tc>
        <w:tc>
          <w:tcPr>
            <w:tcW w:w="1247"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16813.1元</w:t>
            </w:r>
          </w:p>
        </w:tc>
        <w:tc>
          <w:tcPr>
            <w:tcW w:w="1233" w:type="dxa"/>
            <w:vAlign w:val="center"/>
          </w:tcPr>
          <w:p>
            <w:pPr>
              <w:ind w:left="180" w:hanging="180" w:hangingChars="1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5</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数据库从</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caps/>
                <w:sz w:val="18"/>
                <w:szCs w:val="18"/>
              </w:rPr>
              <w:t>1台/年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 xml:space="preserve"> 8核CPU | 32G内存</w:t>
            </w:r>
          </w:p>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系统盘：高性能型 | 50GB</w:t>
            </w:r>
          </w:p>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数据盘：高性能型 | 500GB</w:t>
            </w:r>
          </w:p>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弹性公网IP：</w:t>
            </w:r>
            <w:r>
              <w:rPr>
                <w:rFonts w:ascii="宋体" w:hAnsi="宋体" w:cs="宋体"/>
                <w:b w:val="0"/>
                <w:bCs w:val="0"/>
                <w:snapToGrid w:val="0"/>
                <w:color w:val="auto"/>
                <w:kern w:val="0"/>
                <w:sz w:val="18"/>
                <w:szCs w:val="18"/>
              </w:rPr>
              <w:t>2Mbps</w:t>
            </w:r>
            <w:r>
              <w:rPr>
                <w:rFonts w:hint="eastAsia" w:ascii="宋体" w:hAnsi="宋体" w:cs="宋体"/>
                <w:snapToGrid w:val="0"/>
                <w:kern w:val="0"/>
                <w:sz w:val="18"/>
                <w:szCs w:val="18"/>
              </w:rPr>
              <w:t>独享（包含一个独立公网IP+带宽）</w:t>
            </w:r>
          </w:p>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操作系统：正版Debian10</w:t>
            </w:r>
          </w:p>
        </w:tc>
        <w:tc>
          <w:tcPr>
            <w:tcW w:w="1247"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16813.1元</w:t>
            </w:r>
          </w:p>
        </w:tc>
        <w:tc>
          <w:tcPr>
            <w:tcW w:w="1233" w:type="dxa"/>
            <w:vAlign w:val="center"/>
          </w:tcPr>
          <w:p>
            <w:pPr>
              <w:ind w:left="180" w:hanging="180" w:hangingChars="1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6</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z w:val="18"/>
                <w:szCs w:val="18"/>
              </w:rPr>
              <w:t>VR全景导览</w:t>
            </w:r>
          </w:p>
        </w:tc>
        <w:tc>
          <w:tcPr>
            <w:tcW w:w="929" w:type="dxa"/>
            <w:vAlign w:val="center"/>
          </w:tcPr>
          <w:p>
            <w:pPr>
              <w:ind w:left="180" w:hanging="180" w:hangingChars="100"/>
              <w:jc w:val="center"/>
              <w:rPr>
                <w:rFonts w:ascii="宋体" w:hAnsi="宋体" w:cs="宋体"/>
                <w:caps/>
                <w:sz w:val="18"/>
                <w:szCs w:val="18"/>
              </w:rPr>
            </w:pPr>
            <w:r>
              <w:rPr>
                <w:rFonts w:ascii="宋体" w:hAnsi="宋体" w:cs="宋体"/>
                <w:b w:val="0"/>
                <w:bCs w:val="0"/>
                <w:caps/>
                <w:color w:val="auto"/>
                <w:sz w:val="18"/>
                <w:szCs w:val="18"/>
              </w:rPr>
              <w:t>1项</w:t>
            </w:r>
            <w:r>
              <w:rPr>
                <w:rFonts w:hint="eastAsia" w:ascii="宋体" w:hAnsi="宋体" w:cs="宋体"/>
                <w:caps/>
                <w:sz w:val="18"/>
                <w:szCs w:val="18"/>
              </w:rPr>
              <w:t>/年</w:t>
            </w:r>
          </w:p>
        </w:tc>
        <w:tc>
          <w:tcPr>
            <w:tcW w:w="3791" w:type="dxa"/>
            <w:vAlign w:val="center"/>
          </w:tcPr>
          <w:p>
            <w:pPr>
              <w:ind w:left="180" w:hanging="180" w:hangingChars="100"/>
              <w:jc w:val="center"/>
              <w:rPr>
                <w:rFonts w:ascii="宋体" w:hAnsi="宋体" w:cs="宋体"/>
                <w:snapToGrid w:val="0"/>
                <w:color w:val="FF0000"/>
                <w:kern w:val="0"/>
                <w:sz w:val="18"/>
                <w:szCs w:val="18"/>
              </w:rPr>
            </w:pPr>
            <w:r>
              <w:rPr>
                <w:rFonts w:hint="eastAsia" w:ascii="宋体" w:hAnsi="宋体" w:cs="宋体"/>
                <w:snapToGrid w:val="0"/>
                <w:color w:val="000000"/>
                <w:kern w:val="0"/>
                <w:sz w:val="18"/>
                <w:szCs w:val="18"/>
              </w:rPr>
              <w:t>数据盘通用型SSD 60G</w:t>
            </w:r>
            <w:r>
              <w:rPr>
                <w:rFonts w:hint="eastAsia" w:ascii="宋体" w:hAnsi="宋体" w:cs="宋体"/>
                <w:snapToGrid w:val="0"/>
                <w:color w:val="FF0000"/>
                <w:kern w:val="0"/>
                <w:sz w:val="18"/>
                <w:szCs w:val="18"/>
              </w:rPr>
              <w:t xml:space="preserve"> </w:t>
            </w:r>
          </w:p>
          <w:p>
            <w:pPr>
              <w:shd w:val="clear" w:color="000000" w:fill="C0C0C0"/>
              <w:spacing w:before="100" w:beforeAutospacing="1" w:after="100" w:afterAutospacing="1"/>
              <w:ind w:left="180" w:hanging="180" w:hangingChars="100"/>
              <w:jc w:val="center"/>
              <w:textAlignment w:val="bottom"/>
              <w:rPr>
                <w:rFonts w:ascii="Times New Roman" w:hAnsi="Times New Roman" w:cs="Times New Roman"/>
                <w:b w:val="0"/>
                <w:bCs w:val="0"/>
                <w:color w:val="auto"/>
                <w:kern w:val="0"/>
                <w:sz w:val="18"/>
                <w:szCs w:val="20"/>
                <w:lang w:bidi="ar-SA"/>
              </w:rPr>
            </w:pPr>
            <w:r>
              <w:rPr>
                <w:sz w:val="18"/>
              </w:rPr>
              <w:t>最终部署在</w:t>
            </w:r>
            <w:r>
              <w:rPr>
                <w:rFonts w:hint="eastAsia"/>
                <w:sz w:val="18"/>
              </w:rPr>
              <w:t>百物展云服务系统</w:t>
            </w:r>
          </w:p>
        </w:tc>
        <w:tc>
          <w:tcPr>
            <w:tcW w:w="1247"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420元</w:t>
            </w:r>
          </w:p>
        </w:tc>
        <w:tc>
          <w:tcPr>
            <w:tcW w:w="1233" w:type="dxa"/>
            <w:vAlign w:val="center"/>
          </w:tcPr>
          <w:p>
            <w:pP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7</w:t>
            </w:r>
          </w:p>
        </w:tc>
        <w:tc>
          <w:tcPr>
            <w:tcW w:w="1130" w:type="dxa"/>
            <w:vAlign w:val="center"/>
          </w:tcPr>
          <w:p>
            <w:pPr>
              <w:ind w:left="180" w:hanging="180" w:hangingChars="100"/>
              <w:jc w:val="center"/>
              <w:rPr>
                <w:rFonts w:ascii="宋体" w:hAnsi="宋体" w:cs="宋体"/>
                <w:sz w:val="18"/>
                <w:szCs w:val="18"/>
              </w:rPr>
            </w:pPr>
            <w:r>
              <w:rPr>
                <w:rFonts w:hint="eastAsia" w:ascii="宋体" w:hAnsi="宋体" w:cs="宋体"/>
                <w:sz w:val="18"/>
                <w:szCs w:val="18"/>
              </w:rPr>
              <w:t>语音导览系统</w:t>
            </w:r>
          </w:p>
        </w:tc>
        <w:tc>
          <w:tcPr>
            <w:tcW w:w="929" w:type="dxa"/>
            <w:vAlign w:val="center"/>
          </w:tcPr>
          <w:p>
            <w:pPr>
              <w:ind w:left="180" w:hanging="180" w:hangingChars="100"/>
              <w:jc w:val="center"/>
              <w:rPr>
                <w:rFonts w:ascii="宋体" w:hAnsi="宋体" w:cs="宋体"/>
                <w:caps/>
                <w:sz w:val="18"/>
                <w:szCs w:val="18"/>
              </w:rPr>
            </w:pPr>
            <w:r>
              <w:rPr>
                <w:rFonts w:ascii="宋体" w:hAnsi="宋体" w:cs="宋体"/>
                <w:caps/>
                <w:color w:val="auto"/>
                <w:sz w:val="18"/>
                <w:szCs w:val="18"/>
              </w:rPr>
              <w:t>1项</w:t>
            </w:r>
            <w:r>
              <w:rPr>
                <w:rFonts w:hint="eastAsia" w:ascii="宋体" w:hAnsi="宋体" w:cs="宋体"/>
                <w:caps/>
                <w:sz w:val="18"/>
                <w:szCs w:val="18"/>
              </w:rPr>
              <w:t>/年</w:t>
            </w:r>
          </w:p>
        </w:tc>
        <w:tc>
          <w:tcPr>
            <w:tcW w:w="3791" w:type="dxa"/>
            <w:vAlign w:val="center"/>
          </w:tcPr>
          <w:p>
            <w:pPr>
              <w:ind w:left="180" w:hanging="180" w:hangingChars="100"/>
              <w:jc w:val="center"/>
              <w:rPr>
                <w:rFonts w:ascii="宋体" w:hAnsi="宋体" w:cs="宋体"/>
                <w:color w:val="000000"/>
                <w:sz w:val="18"/>
                <w:szCs w:val="18"/>
              </w:rPr>
            </w:pPr>
            <w:r>
              <w:rPr>
                <w:rFonts w:hint="eastAsia" w:ascii="宋体" w:hAnsi="宋体" w:cs="宋体"/>
                <w:color w:val="000000"/>
                <w:sz w:val="18"/>
                <w:szCs w:val="18"/>
              </w:rPr>
              <w:t>数据盘通用型SSD 10G</w:t>
            </w:r>
          </w:p>
          <w:p>
            <w:pPr>
              <w:shd w:val="clear" w:color="000000" w:fill="C0C0C0"/>
              <w:spacing w:before="100" w:beforeAutospacing="1" w:after="100" w:afterAutospacing="1"/>
              <w:ind w:left="180" w:hanging="180" w:hangingChars="100"/>
              <w:jc w:val="center"/>
              <w:textAlignment w:val="bottom"/>
              <w:rPr>
                <w:rFonts w:ascii="Times New Roman" w:hAnsi="Times New Roman" w:cs="Times New Roman"/>
                <w:b w:val="0"/>
                <w:bCs w:val="0"/>
                <w:color w:val="auto"/>
                <w:kern w:val="0"/>
                <w:sz w:val="18"/>
                <w:szCs w:val="20"/>
                <w:lang w:bidi="ar-SA"/>
              </w:rPr>
            </w:pPr>
            <w:r>
              <w:rPr>
                <w:sz w:val="18"/>
              </w:rPr>
              <w:t>最终部署在</w:t>
            </w:r>
            <w:r>
              <w:rPr>
                <w:rFonts w:hint="eastAsia"/>
                <w:sz w:val="18"/>
              </w:rPr>
              <w:t>百物展云服务系统内</w:t>
            </w:r>
          </w:p>
        </w:tc>
        <w:tc>
          <w:tcPr>
            <w:tcW w:w="1247"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60元</w:t>
            </w:r>
          </w:p>
        </w:tc>
        <w:tc>
          <w:tcPr>
            <w:tcW w:w="1233" w:type="dxa"/>
            <w:vAlign w:val="center"/>
          </w:tcPr>
          <w:p>
            <w:pPr>
              <w:ind w:left="180" w:hanging="180" w:hangingChars="1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8</w:t>
            </w:r>
          </w:p>
        </w:tc>
        <w:tc>
          <w:tcPr>
            <w:tcW w:w="1130" w:type="dxa"/>
            <w:vAlign w:val="center"/>
          </w:tcPr>
          <w:p>
            <w:pPr>
              <w:ind w:left="180" w:hanging="180" w:hangingChars="100"/>
              <w:jc w:val="center"/>
              <w:rPr>
                <w:rFonts w:ascii="宋体" w:hAnsi="宋体" w:cs="宋体"/>
                <w:sz w:val="18"/>
                <w:szCs w:val="18"/>
              </w:rPr>
            </w:pPr>
            <w:r>
              <w:rPr>
                <w:rFonts w:hint="eastAsia" w:ascii="宋体" w:hAnsi="宋体" w:cs="宋体"/>
                <w:sz w:val="18"/>
                <w:szCs w:val="18"/>
              </w:rPr>
              <w:t>百物展云</w:t>
            </w:r>
          </w:p>
          <w:p>
            <w:pPr>
              <w:ind w:left="180" w:hanging="180" w:hangingChars="100"/>
              <w:jc w:val="center"/>
              <w:rPr>
                <w:rFonts w:ascii="宋体" w:hAnsi="宋体" w:cs="宋体"/>
                <w:sz w:val="18"/>
                <w:szCs w:val="18"/>
              </w:rPr>
            </w:pPr>
            <w:r>
              <w:rPr>
                <w:rFonts w:hint="eastAsia" w:ascii="宋体" w:hAnsi="宋体" w:cs="宋体"/>
                <w:sz w:val="18"/>
                <w:szCs w:val="18"/>
              </w:rPr>
              <w:t>服务系统</w:t>
            </w:r>
          </w:p>
        </w:tc>
        <w:tc>
          <w:tcPr>
            <w:tcW w:w="929" w:type="dxa"/>
            <w:vAlign w:val="center"/>
          </w:tcPr>
          <w:p>
            <w:pPr>
              <w:ind w:left="180" w:hanging="180" w:hangingChars="100"/>
              <w:jc w:val="center"/>
              <w:rPr>
                <w:rFonts w:ascii="宋体" w:hAnsi="宋体" w:cs="宋体"/>
                <w:caps/>
                <w:sz w:val="18"/>
                <w:szCs w:val="18"/>
              </w:rPr>
            </w:pPr>
            <w:r>
              <w:rPr>
                <w:rFonts w:hint="eastAsia" w:ascii="宋体" w:hAnsi="宋体" w:cs="宋体"/>
                <w:caps/>
                <w:sz w:val="18"/>
                <w:szCs w:val="18"/>
              </w:rPr>
              <w:t>1台/年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通用型| 8核CPU | 32G内存</w:t>
            </w:r>
          </w:p>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系统盘：高性能型 | 50GB</w:t>
            </w:r>
          </w:p>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数据盘1：高性能型 | 150GB</w:t>
            </w:r>
          </w:p>
          <w:p>
            <w:pPr>
              <w:ind w:left="180" w:hanging="180" w:hangingChars="100"/>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数据盘2：高性能型 | 60GB（挂载VR全景导览数据盘）</w:t>
            </w:r>
          </w:p>
          <w:p>
            <w:pPr>
              <w:ind w:left="180" w:hanging="180" w:hangingChars="100"/>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数据盘3：高性能型 | 10GB（挂载语言导览系统数据盘）</w:t>
            </w:r>
          </w:p>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弹性公网IP：</w:t>
            </w:r>
            <w:r>
              <w:rPr>
                <w:rFonts w:ascii="宋体" w:hAnsi="宋体" w:cs="宋体"/>
                <w:snapToGrid w:val="0"/>
                <w:color w:val="auto"/>
                <w:kern w:val="0"/>
                <w:sz w:val="18"/>
                <w:szCs w:val="18"/>
              </w:rPr>
              <w:t>20Mbps</w:t>
            </w:r>
            <w:r>
              <w:rPr>
                <w:rFonts w:hint="eastAsia" w:ascii="宋体" w:hAnsi="宋体" w:cs="宋体"/>
                <w:snapToGrid w:val="0"/>
                <w:kern w:val="0"/>
                <w:sz w:val="18"/>
                <w:szCs w:val="18"/>
              </w:rPr>
              <w:t>独享（包含一个独立公网IP+带宽）</w:t>
            </w:r>
          </w:p>
          <w:p>
            <w:pPr>
              <w:ind w:left="180" w:hanging="180" w:hangingChars="100"/>
              <w:jc w:val="center"/>
              <w:rPr>
                <w:rFonts w:ascii="宋体" w:hAnsi="宋体" w:cs="宋体"/>
                <w:sz w:val="18"/>
                <w:szCs w:val="18"/>
              </w:rPr>
            </w:pPr>
            <w:r>
              <w:rPr>
                <w:rFonts w:hint="eastAsia" w:ascii="宋体" w:hAnsi="宋体" w:cs="宋体"/>
                <w:snapToGrid w:val="0"/>
                <w:kern w:val="0"/>
                <w:sz w:val="18"/>
                <w:szCs w:val="18"/>
              </w:rPr>
              <w:t>操作系统：正版Windows</w:t>
            </w:r>
          </w:p>
        </w:tc>
        <w:tc>
          <w:tcPr>
            <w:tcW w:w="1247"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20,799.10元</w:t>
            </w:r>
          </w:p>
        </w:tc>
        <w:tc>
          <w:tcPr>
            <w:tcW w:w="1233" w:type="dxa"/>
            <w:vAlign w:val="center"/>
          </w:tcPr>
          <w:p>
            <w:pPr>
              <w:ind w:left="180" w:hanging="180" w:hangingChars="1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9</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访问域名</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1个/年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访问域名，完成空间备案。</w:t>
            </w:r>
          </w:p>
        </w:tc>
        <w:tc>
          <w:tcPr>
            <w:tcW w:w="1247"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62元</w:t>
            </w:r>
          </w:p>
        </w:tc>
        <w:tc>
          <w:tcPr>
            <w:tcW w:w="1233" w:type="dxa"/>
            <w:vAlign w:val="center"/>
          </w:tcPr>
          <w:p>
            <w:pPr>
              <w:ind w:left="180" w:hanging="180" w:hangingChars="1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10</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互联网ip</w:t>
            </w:r>
          </w:p>
        </w:tc>
        <w:tc>
          <w:tcPr>
            <w:tcW w:w="929" w:type="dxa"/>
            <w:vAlign w:val="center"/>
          </w:tcPr>
          <w:p>
            <w:pPr>
              <w:ind w:left="180" w:hanging="180" w:hangingChars="100"/>
              <w:jc w:val="center"/>
              <w:rPr>
                <w:rFonts w:ascii="宋体" w:hAnsi="宋体" w:cs="宋体"/>
                <w:snapToGrid w:val="0"/>
                <w:kern w:val="0"/>
                <w:sz w:val="18"/>
                <w:szCs w:val="18"/>
              </w:rPr>
            </w:pPr>
            <w:r>
              <w:rPr>
                <w:rFonts w:ascii="宋体" w:hAnsi="宋体" w:cs="宋体"/>
                <w:snapToGrid w:val="0"/>
                <w:color w:val="auto"/>
                <w:kern w:val="0"/>
                <w:sz w:val="18"/>
                <w:szCs w:val="18"/>
              </w:rPr>
              <w:t>7个</w:t>
            </w:r>
            <w:r>
              <w:rPr>
                <w:rFonts w:hint="eastAsia" w:ascii="宋体" w:hAnsi="宋体" w:cs="宋体"/>
                <w:snapToGrid w:val="0"/>
                <w:kern w:val="0"/>
                <w:sz w:val="18"/>
                <w:szCs w:val="18"/>
              </w:rPr>
              <w:t>/年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w:t>
            </w:r>
          </w:p>
        </w:tc>
        <w:tc>
          <w:tcPr>
            <w:tcW w:w="1247"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2240元</w:t>
            </w:r>
          </w:p>
        </w:tc>
        <w:tc>
          <w:tcPr>
            <w:tcW w:w="1233" w:type="dxa"/>
            <w:vAlign w:val="center"/>
          </w:tcPr>
          <w:p>
            <w:pPr>
              <w:ind w:left="180" w:hanging="180" w:hangingChars="1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11</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证书</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1个/年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加密标准：国际标准</w:t>
            </w:r>
          </w:p>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证书类型：企业型（OV）</w:t>
            </w:r>
          </w:p>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域名类型：通配符</w:t>
            </w:r>
          </w:p>
        </w:tc>
        <w:tc>
          <w:tcPr>
            <w:tcW w:w="1247"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6064.74元</w:t>
            </w:r>
          </w:p>
        </w:tc>
        <w:tc>
          <w:tcPr>
            <w:tcW w:w="1233" w:type="dxa"/>
            <w:vAlign w:val="center"/>
          </w:tcPr>
          <w:p>
            <w:pPr>
              <w:ind w:left="180" w:hanging="180" w:hangingChars="1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12</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网络安全防护</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1项/年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云安全中心、堡垒机、防火墙、增强版漏洞扫描、Web全栈防护、日志审计、数据库审计、DDoS高防。必须达到网络安全等保2.0三级等保要求，测评分数≥85</w:t>
            </w:r>
          </w:p>
        </w:tc>
        <w:tc>
          <w:tcPr>
            <w:tcW w:w="1247"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311586.64元</w:t>
            </w:r>
          </w:p>
        </w:tc>
        <w:tc>
          <w:tcPr>
            <w:tcW w:w="1233" w:type="dxa"/>
            <w:vAlign w:val="center"/>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13</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OA系统</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w:t>
            </w:r>
            <w:r>
              <w:rPr>
                <w:rFonts w:hint="eastAsia" w:ascii="宋体" w:hAnsi="宋体" w:cs="宋体"/>
                <w:snapToGrid w:val="0"/>
                <w:color w:val="auto"/>
                <w:kern w:val="0"/>
                <w:sz w:val="18"/>
                <w:szCs w:val="18"/>
              </w:rPr>
              <w:t>台</w:t>
            </w:r>
            <w:r>
              <w:rPr>
                <w:rFonts w:hint="eastAsia" w:ascii="宋体" w:hAnsi="宋体" w:cs="宋体"/>
                <w:snapToGrid w:val="0"/>
                <w:kern w:val="0"/>
                <w:sz w:val="18"/>
                <w:szCs w:val="18"/>
              </w:rPr>
              <w:t>/年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16核CPU | 64G内存</w:t>
            </w:r>
          </w:p>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系统盘SSD：高性能型 | 100GB</w:t>
            </w:r>
          </w:p>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数据盘：高性能型 | 1024GB</w:t>
            </w:r>
          </w:p>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弹性公网IP：</w:t>
            </w:r>
            <w:r>
              <w:rPr>
                <w:rFonts w:ascii="宋体" w:hAnsi="宋体" w:cs="宋体"/>
                <w:snapToGrid w:val="0"/>
                <w:color w:val="auto"/>
                <w:kern w:val="0"/>
                <w:sz w:val="18"/>
                <w:szCs w:val="18"/>
              </w:rPr>
              <w:t>20Mbps</w:t>
            </w:r>
            <w:r>
              <w:rPr>
                <w:rFonts w:hint="eastAsia" w:ascii="宋体" w:hAnsi="宋体" w:cs="宋体"/>
                <w:snapToGrid w:val="0"/>
                <w:kern w:val="0"/>
                <w:sz w:val="18"/>
                <w:szCs w:val="18"/>
              </w:rPr>
              <w:t>独享（包含一个独立公网IP+带宽）</w:t>
            </w:r>
          </w:p>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操作系统：正版CentosOS</w:t>
            </w:r>
          </w:p>
        </w:tc>
        <w:tc>
          <w:tcPr>
            <w:tcW w:w="1247" w:type="dxa"/>
            <w:vAlign w:val="center"/>
          </w:tcPr>
          <w:p>
            <w:pPr>
              <w:ind w:left="180" w:hanging="180" w:hangingChars="100"/>
              <w:jc w:val="center"/>
              <w:rPr>
                <w:rFonts w:ascii="宋体" w:hAnsi="宋体" w:cs="宋体"/>
                <w:snapToGrid w:val="0"/>
                <w:kern w:val="0"/>
                <w:sz w:val="18"/>
                <w:szCs w:val="18"/>
              </w:rPr>
            </w:pPr>
            <w:r>
              <w:rPr>
                <w:rFonts w:ascii="宋体" w:hAnsi="宋体" w:cs="宋体"/>
                <w:snapToGrid w:val="0"/>
                <w:kern w:val="0"/>
                <w:sz w:val="18"/>
                <w:szCs w:val="18"/>
              </w:rPr>
              <w:t>31,114.1</w:t>
            </w:r>
            <w:r>
              <w:rPr>
                <w:rFonts w:hint="eastAsia" w:ascii="宋体" w:hAnsi="宋体" w:cs="宋体"/>
                <w:snapToGrid w:val="0"/>
                <w:kern w:val="0"/>
                <w:sz w:val="18"/>
                <w:szCs w:val="18"/>
              </w:rPr>
              <w:t>元</w:t>
            </w:r>
          </w:p>
        </w:tc>
        <w:tc>
          <w:tcPr>
            <w:tcW w:w="1233" w:type="dxa"/>
            <w:vAlign w:val="center"/>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14</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业务系统维护服务</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1项/年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门票预约系统、OA系统、VR全景服务、语音导览系统、百物展等业务系统维护</w:t>
            </w:r>
          </w:p>
        </w:tc>
        <w:tc>
          <w:tcPr>
            <w:tcW w:w="1247"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免费</w:t>
            </w:r>
          </w:p>
        </w:tc>
        <w:tc>
          <w:tcPr>
            <w:tcW w:w="1233" w:type="dxa"/>
            <w:vAlign w:val="center"/>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15</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云上业务部署</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1项/年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门票预约系统、OA系统、VR全景服务、语音导览系统、百物展云服务系统部署</w:t>
            </w:r>
          </w:p>
        </w:tc>
        <w:tc>
          <w:tcPr>
            <w:tcW w:w="1247"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免费</w:t>
            </w:r>
          </w:p>
        </w:tc>
        <w:tc>
          <w:tcPr>
            <w:tcW w:w="1233" w:type="dxa"/>
            <w:vAlign w:val="center"/>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16</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系统迁移服务</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1项/年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门票预约系统、OA系统、VR全景服务、语音导览系统、百物展云服务系统数据迁移（含法人登记）</w:t>
            </w:r>
          </w:p>
        </w:tc>
        <w:tc>
          <w:tcPr>
            <w:tcW w:w="1247"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免费</w:t>
            </w:r>
          </w:p>
        </w:tc>
        <w:tc>
          <w:tcPr>
            <w:tcW w:w="1233" w:type="dxa"/>
            <w:vAlign w:val="center"/>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17</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云上安全巡检服务</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1项/年</w:t>
            </w:r>
          </w:p>
        </w:tc>
        <w:tc>
          <w:tcPr>
            <w:tcW w:w="3791" w:type="dxa"/>
            <w:vAlign w:val="center"/>
          </w:tcPr>
          <w:p>
            <w:pPr>
              <w:ind w:left="180" w:hanging="180" w:hangingChars="100"/>
              <w:jc w:val="center"/>
              <w:rPr>
                <w:rFonts w:ascii="宋体" w:hAnsi="宋体" w:cs="宋体"/>
                <w:snapToGrid w:val="0"/>
                <w:kern w:val="0"/>
                <w:sz w:val="18"/>
                <w:szCs w:val="18"/>
              </w:rPr>
            </w:pPr>
          </w:p>
        </w:tc>
        <w:tc>
          <w:tcPr>
            <w:tcW w:w="1247"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免费</w:t>
            </w:r>
          </w:p>
        </w:tc>
        <w:tc>
          <w:tcPr>
            <w:tcW w:w="1233" w:type="dxa"/>
            <w:vAlign w:val="center"/>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261" w:type="dxa"/>
            <w:gridSpan w:val="4"/>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总计</w:t>
            </w:r>
          </w:p>
        </w:tc>
        <w:tc>
          <w:tcPr>
            <w:tcW w:w="1247" w:type="dxa"/>
            <w:vAlign w:val="center"/>
          </w:tcPr>
          <w:p>
            <w:pPr>
              <w:ind w:left="180" w:hanging="180" w:hangingChars="100"/>
              <w:jc w:val="center"/>
              <w:rPr>
                <w:rFonts w:ascii="宋体" w:hAnsi="宋体" w:cs="宋体"/>
                <w:snapToGrid w:val="0"/>
                <w:kern w:val="0"/>
                <w:sz w:val="18"/>
                <w:szCs w:val="18"/>
              </w:rPr>
            </w:pPr>
            <w:r>
              <w:rPr>
                <w:rFonts w:ascii="宋体" w:hAnsi="宋体" w:cs="宋体"/>
                <w:snapToGrid w:val="0"/>
                <w:kern w:val="0"/>
                <w:sz w:val="18"/>
                <w:szCs w:val="18"/>
                <w:highlight w:val="none"/>
              </w:rPr>
              <w:t>469876.98</w:t>
            </w:r>
            <w:r>
              <w:rPr>
                <w:rFonts w:hint="eastAsia" w:ascii="宋体" w:hAnsi="宋体" w:cs="宋体"/>
                <w:snapToGrid w:val="0"/>
                <w:kern w:val="0"/>
                <w:sz w:val="18"/>
                <w:szCs w:val="18"/>
                <w:highlight w:val="none"/>
              </w:rPr>
              <w:t>元</w:t>
            </w:r>
          </w:p>
        </w:tc>
        <w:tc>
          <w:tcPr>
            <w:tcW w:w="1233" w:type="dxa"/>
            <w:vAlign w:val="center"/>
          </w:tcPr>
          <w:p>
            <w:pPr>
              <w:ind w:left="180" w:hanging="180" w:hangingChars="100"/>
              <w:jc w:val="center"/>
              <w:rPr>
                <w:rFonts w:ascii="宋体" w:hAnsi="宋体" w:cs="宋体"/>
                <w:snapToGrid w:val="0"/>
                <w:kern w:val="0"/>
                <w:sz w:val="18"/>
                <w:szCs w:val="18"/>
              </w:rPr>
            </w:pPr>
          </w:p>
        </w:tc>
      </w:tr>
    </w:tbl>
    <w:p>
      <w:pPr>
        <w:pStyle w:val="5"/>
        <w:tabs>
          <w:tab w:val="clear" w:pos="576"/>
        </w:tabs>
        <w:ind w:left="0" w:firstLine="0"/>
      </w:pPr>
      <w:r>
        <w:rPr>
          <w:rFonts w:hint="eastAsia"/>
        </w:rPr>
        <w:t>1、云服务要求</w:t>
      </w:r>
    </w:p>
    <w:p>
      <w:pPr>
        <w:pStyle w:val="71"/>
        <w:spacing w:line="360" w:lineRule="auto"/>
        <w:outlineLvl w:val="2"/>
        <w:rPr>
          <w:rFonts w:hAnsi="宋体"/>
          <w:b/>
          <w:bCs/>
          <w:color w:val="auto"/>
          <w:sz w:val="28"/>
          <w:szCs w:val="28"/>
        </w:rPr>
      </w:pPr>
      <w:r>
        <w:rPr>
          <w:rFonts w:hint="eastAsia" w:hAnsi="宋体"/>
          <w:b/>
          <w:bCs/>
          <w:color w:val="auto"/>
          <w:sz w:val="28"/>
          <w:szCs w:val="28"/>
        </w:rPr>
        <w:t>1</w:t>
      </w:r>
      <w:r>
        <w:rPr>
          <w:rFonts w:hAnsi="宋体"/>
          <w:b/>
          <w:bCs/>
          <w:color w:val="auto"/>
          <w:sz w:val="28"/>
          <w:szCs w:val="28"/>
        </w:rPr>
        <w:t xml:space="preserve">.1 </w:t>
      </w:r>
      <w:r>
        <w:rPr>
          <w:rFonts w:hint="eastAsia" w:hAnsi="宋体"/>
          <w:b/>
          <w:bCs/>
          <w:color w:val="auto"/>
          <w:sz w:val="28"/>
          <w:szCs w:val="28"/>
        </w:rPr>
        <w:t>系统上云服务</w:t>
      </w:r>
    </w:p>
    <w:p>
      <w:pPr>
        <w:pStyle w:val="71"/>
        <w:spacing w:line="360" w:lineRule="auto"/>
        <w:rPr>
          <w:rFonts w:hAnsi="宋体"/>
          <w:b/>
          <w:bCs/>
          <w:color w:val="auto"/>
          <w:sz w:val="28"/>
          <w:szCs w:val="28"/>
        </w:rPr>
      </w:pPr>
      <w:r>
        <w:rPr>
          <w:rFonts w:hint="eastAsia" w:hAnsi="宋体"/>
          <w:b/>
          <w:bCs/>
          <w:color w:val="auto"/>
          <w:sz w:val="28"/>
          <w:szCs w:val="28"/>
        </w:rPr>
        <w:t>1</w:t>
      </w:r>
      <w:r>
        <w:rPr>
          <w:rFonts w:hAnsi="宋体"/>
          <w:b/>
          <w:bCs/>
          <w:color w:val="auto"/>
          <w:sz w:val="28"/>
          <w:szCs w:val="28"/>
        </w:rPr>
        <w:t xml:space="preserve">.1.1 </w:t>
      </w:r>
      <w:r>
        <w:rPr>
          <w:rFonts w:hint="eastAsia" w:hAnsi="宋体"/>
          <w:b/>
          <w:bCs/>
          <w:color w:val="auto"/>
          <w:sz w:val="28"/>
          <w:szCs w:val="28"/>
        </w:rPr>
        <w:t>云主机</w:t>
      </w:r>
    </w:p>
    <w:p>
      <w:pPr>
        <w:snapToGrid w:val="0"/>
        <w:spacing w:line="360" w:lineRule="auto"/>
        <w:ind w:firstLine="420"/>
        <w:rPr>
          <w:rFonts w:ascii="宋体" w:hAnsi="宋体" w:cs="宋体"/>
          <w:kern w:val="0"/>
          <w:sz w:val="24"/>
        </w:rPr>
      </w:pPr>
      <w:r>
        <w:rPr>
          <w:rFonts w:hint="eastAsia" w:ascii="宋体" w:hAnsi="宋体" w:cs="宋体"/>
          <w:kern w:val="0"/>
          <w:sz w:val="24"/>
        </w:rPr>
        <w:t>通过虚拟化技术整合IT资源，提高资源利用率和稳定性，降低使用成本，提供按需使用的计算资源服务。云主机应满足如下功能：</w:t>
      </w:r>
    </w:p>
    <w:p>
      <w:pPr>
        <w:pStyle w:val="36"/>
        <w:numPr>
          <w:ilvl w:val="0"/>
          <w:numId w:val="2"/>
        </w:numPr>
        <w:snapToGrid w:val="0"/>
        <w:spacing w:line="360" w:lineRule="auto"/>
        <w:ind w:firstLineChars="0"/>
        <w:rPr>
          <w:rFonts w:ascii="宋体" w:hAnsi="宋体" w:cs="宋体"/>
          <w:kern w:val="0"/>
          <w:sz w:val="24"/>
        </w:rPr>
      </w:pPr>
      <w:r>
        <w:rPr>
          <w:rFonts w:hint="eastAsia" w:ascii="宋体" w:hAnsi="宋体" w:cs="宋体"/>
          <w:kern w:val="0"/>
          <w:sz w:val="24"/>
        </w:rPr>
        <w:t>提供多种规格类型。不同的规格类型，提供不同的</w:t>
      </w:r>
      <w:r>
        <w:rPr>
          <w:rFonts w:ascii="宋体" w:hAnsi="宋体" w:cs="宋体"/>
          <w:kern w:val="0"/>
          <w:sz w:val="24"/>
        </w:rPr>
        <w:t>vCPU</w:t>
      </w:r>
      <w:r>
        <w:rPr>
          <w:rFonts w:hint="eastAsia" w:ascii="宋体" w:hAnsi="宋体" w:cs="宋体"/>
          <w:kern w:val="0"/>
          <w:sz w:val="24"/>
        </w:rPr>
        <w:t>和内存等配置，包括物理</w:t>
      </w:r>
      <w:r>
        <w:rPr>
          <w:rFonts w:ascii="宋体" w:hAnsi="宋体" w:cs="宋体"/>
          <w:kern w:val="0"/>
          <w:sz w:val="24"/>
        </w:rPr>
        <w:t>CPU</w:t>
      </w:r>
      <w:r>
        <w:rPr>
          <w:rFonts w:hint="eastAsia" w:ascii="宋体" w:hAnsi="宋体" w:cs="宋体"/>
          <w:kern w:val="0"/>
          <w:sz w:val="24"/>
        </w:rPr>
        <w:t>型号、主频等；同一个规格类型里，根据</w:t>
      </w:r>
      <w:r>
        <w:rPr>
          <w:rFonts w:ascii="宋体" w:hAnsi="宋体" w:cs="宋体"/>
          <w:kern w:val="0"/>
          <w:sz w:val="24"/>
        </w:rPr>
        <w:t>vCPU</w:t>
      </w:r>
      <w:r>
        <w:rPr>
          <w:rFonts w:hint="eastAsia" w:ascii="宋体" w:hAnsi="宋体" w:cs="宋体"/>
          <w:kern w:val="0"/>
          <w:sz w:val="24"/>
        </w:rPr>
        <w:t>和内存的配置，可以分为多种不同的规格。可根据业务场景的需求，选择合适的云主机类型。</w:t>
      </w:r>
    </w:p>
    <w:p>
      <w:pPr>
        <w:pStyle w:val="36"/>
        <w:numPr>
          <w:ilvl w:val="0"/>
          <w:numId w:val="2"/>
        </w:numPr>
        <w:snapToGrid w:val="0"/>
        <w:spacing w:line="360" w:lineRule="auto"/>
        <w:ind w:firstLineChars="0"/>
        <w:rPr>
          <w:rFonts w:ascii="宋体" w:hAnsi="宋体" w:cs="宋体"/>
          <w:kern w:val="0"/>
          <w:sz w:val="24"/>
        </w:rPr>
      </w:pPr>
      <w:r>
        <w:rPr>
          <w:rFonts w:hint="eastAsia" w:ascii="宋体" w:hAnsi="宋体" w:cs="宋体"/>
          <w:kern w:val="0"/>
          <w:sz w:val="24"/>
        </w:rPr>
        <w:t>支持多种操作系统：云平台公共镜像中提供各类版本的</w:t>
      </w:r>
      <w:r>
        <w:rPr>
          <w:rFonts w:ascii="宋体" w:hAnsi="宋体" w:cs="宋体"/>
          <w:kern w:val="0"/>
          <w:sz w:val="24"/>
        </w:rPr>
        <w:t xml:space="preserve"> Windows </w:t>
      </w:r>
      <w:r>
        <w:rPr>
          <w:rFonts w:hint="eastAsia" w:ascii="宋体" w:hAnsi="宋体" w:cs="宋体"/>
          <w:kern w:val="0"/>
          <w:sz w:val="24"/>
        </w:rPr>
        <w:t>或者</w:t>
      </w:r>
      <w:r>
        <w:rPr>
          <w:rFonts w:ascii="宋体" w:hAnsi="宋体" w:cs="宋体"/>
          <w:kern w:val="0"/>
          <w:sz w:val="24"/>
        </w:rPr>
        <w:t xml:space="preserve"> Linux </w:t>
      </w:r>
      <w:r>
        <w:rPr>
          <w:rFonts w:hint="eastAsia" w:ascii="宋体" w:hAnsi="宋体" w:cs="宋体"/>
          <w:kern w:val="0"/>
          <w:sz w:val="24"/>
        </w:rPr>
        <w:t>操作系统。</w:t>
      </w:r>
      <w:r>
        <w:rPr>
          <w:rFonts w:ascii="宋体" w:hAnsi="宋体" w:cs="宋体"/>
          <w:kern w:val="0"/>
          <w:sz w:val="24"/>
        </w:rPr>
        <w:t xml:space="preserve"> </w:t>
      </w:r>
    </w:p>
    <w:p>
      <w:pPr>
        <w:pStyle w:val="36"/>
        <w:numPr>
          <w:ilvl w:val="0"/>
          <w:numId w:val="2"/>
        </w:numPr>
        <w:snapToGrid w:val="0"/>
        <w:spacing w:line="360" w:lineRule="auto"/>
        <w:ind w:firstLineChars="0"/>
        <w:rPr>
          <w:rFonts w:ascii="宋体" w:hAnsi="宋体" w:cs="宋体"/>
          <w:kern w:val="0"/>
          <w:sz w:val="24"/>
        </w:rPr>
      </w:pPr>
      <w:r>
        <w:rPr>
          <w:rFonts w:hint="eastAsia" w:ascii="宋体" w:hAnsi="宋体" w:cs="宋体"/>
          <w:kern w:val="0"/>
          <w:sz w:val="24"/>
        </w:rPr>
        <w:t>支持自定义镜像：可以为已部署好应用环境的云主机创建自定义镜像，或者通过对象存储上传私有镜像并注册为自定义镜像。利用自定义镜像创建云主机，快速复制应用环境。</w:t>
      </w:r>
    </w:p>
    <w:p>
      <w:pPr>
        <w:pStyle w:val="36"/>
        <w:numPr>
          <w:ilvl w:val="0"/>
          <w:numId w:val="2"/>
        </w:numPr>
        <w:snapToGrid w:val="0"/>
        <w:spacing w:line="360" w:lineRule="auto"/>
        <w:ind w:firstLineChars="0"/>
        <w:rPr>
          <w:rFonts w:ascii="宋体" w:hAnsi="宋体" w:cs="宋体"/>
          <w:kern w:val="0"/>
          <w:sz w:val="24"/>
        </w:rPr>
      </w:pPr>
      <w:r>
        <w:rPr>
          <w:rFonts w:hint="eastAsia" w:ascii="宋体" w:hAnsi="宋体" w:cs="宋体"/>
          <w:kern w:val="0"/>
          <w:sz w:val="24"/>
        </w:rPr>
        <w:t>支持云主机备份：可以为已有的云主机创建云主机备份，可用于快速恢复数据状态，保障系统数据安全。</w:t>
      </w:r>
    </w:p>
    <w:p>
      <w:pPr>
        <w:pStyle w:val="36"/>
        <w:numPr>
          <w:ilvl w:val="0"/>
          <w:numId w:val="2"/>
        </w:numPr>
        <w:snapToGrid w:val="0"/>
        <w:spacing w:line="360" w:lineRule="auto"/>
        <w:ind w:firstLineChars="0"/>
        <w:rPr>
          <w:rFonts w:ascii="宋体" w:hAnsi="宋体" w:cs="宋体"/>
          <w:kern w:val="0"/>
          <w:sz w:val="24"/>
        </w:rPr>
      </w:pPr>
      <w:r>
        <w:rPr>
          <w:rFonts w:hint="eastAsia" w:ascii="宋体" w:hAnsi="宋体" w:cs="宋体"/>
          <w:kern w:val="0"/>
          <w:sz w:val="24"/>
        </w:rPr>
        <w:t>支持挂载云硬盘：云平台支持三种不同性能的云硬盘。可以根据对数据存储速度及容量的需求，合理选择。</w:t>
      </w:r>
    </w:p>
    <w:p>
      <w:pPr>
        <w:pStyle w:val="36"/>
        <w:numPr>
          <w:ilvl w:val="0"/>
          <w:numId w:val="2"/>
        </w:numPr>
        <w:snapToGrid w:val="0"/>
        <w:spacing w:line="360" w:lineRule="auto"/>
        <w:ind w:firstLineChars="0"/>
        <w:rPr>
          <w:rFonts w:ascii="宋体" w:hAnsi="宋体" w:cs="宋体"/>
          <w:kern w:val="0"/>
          <w:sz w:val="24"/>
        </w:rPr>
      </w:pPr>
      <w:r>
        <w:rPr>
          <w:rFonts w:hint="eastAsia" w:ascii="宋体" w:hAnsi="宋体" w:cs="宋体"/>
          <w:kern w:val="0"/>
          <w:sz w:val="24"/>
        </w:rPr>
        <w:t>支持多个虚拟网卡：一台云主机可以同时绑定多个虚拟网卡，每个虚拟网卡支持一个内网</w:t>
      </w:r>
      <w:r>
        <w:rPr>
          <w:rFonts w:ascii="宋体" w:hAnsi="宋体" w:cs="宋体"/>
          <w:kern w:val="0"/>
          <w:sz w:val="24"/>
        </w:rPr>
        <w:t xml:space="preserve"> IP</w:t>
      </w:r>
      <w:r>
        <w:rPr>
          <w:rFonts w:hint="eastAsia" w:ascii="宋体" w:hAnsi="宋体" w:cs="宋体"/>
          <w:kern w:val="0"/>
          <w:sz w:val="24"/>
        </w:rPr>
        <w:t>，同时可绑定</w:t>
      </w:r>
      <w:r>
        <w:rPr>
          <w:rFonts w:ascii="宋体" w:hAnsi="宋体" w:cs="宋体"/>
          <w:kern w:val="0"/>
          <w:sz w:val="24"/>
        </w:rPr>
        <w:t xml:space="preserve"> 1 </w:t>
      </w:r>
      <w:r>
        <w:rPr>
          <w:rFonts w:hint="eastAsia" w:ascii="宋体" w:hAnsi="宋体" w:cs="宋体"/>
          <w:kern w:val="0"/>
          <w:sz w:val="24"/>
        </w:rPr>
        <w:t>个公网</w:t>
      </w:r>
      <w:r>
        <w:rPr>
          <w:rFonts w:ascii="宋体" w:hAnsi="宋体" w:cs="宋体"/>
          <w:kern w:val="0"/>
          <w:sz w:val="24"/>
        </w:rPr>
        <w:t xml:space="preserve"> IP</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配合</w:t>
      </w:r>
      <w:r>
        <w:rPr>
          <w:rFonts w:ascii="宋体" w:hAnsi="宋体" w:cs="宋体"/>
          <w:kern w:val="0"/>
          <w:sz w:val="24"/>
        </w:rPr>
        <w:t xml:space="preserve"> VPC </w:t>
      </w:r>
      <w:r>
        <w:rPr>
          <w:rFonts w:hint="eastAsia" w:ascii="宋体" w:hAnsi="宋体" w:cs="宋体"/>
          <w:kern w:val="0"/>
          <w:sz w:val="24"/>
        </w:rPr>
        <w:t>灵活构建网络。</w:t>
      </w:r>
    </w:p>
    <w:p>
      <w:pPr>
        <w:pStyle w:val="36"/>
        <w:numPr>
          <w:ilvl w:val="0"/>
          <w:numId w:val="2"/>
        </w:numPr>
        <w:snapToGrid w:val="0"/>
        <w:spacing w:line="360" w:lineRule="auto"/>
        <w:ind w:firstLineChars="0"/>
        <w:rPr>
          <w:rFonts w:ascii="宋体" w:hAnsi="宋体" w:cs="宋体"/>
          <w:kern w:val="0"/>
          <w:sz w:val="24"/>
        </w:rPr>
      </w:pPr>
      <w:r>
        <w:rPr>
          <w:rFonts w:hint="eastAsia" w:ascii="宋体" w:hAnsi="宋体" w:cs="宋体"/>
          <w:kern w:val="0"/>
          <w:sz w:val="24"/>
        </w:rPr>
        <w:t>支持多种登录方式：支持</w:t>
      </w:r>
      <w:r>
        <w:rPr>
          <w:rFonts w:ascii="宋体" w:hAnsi="宋体" w:cs="宋体"/>
          <w:kern w:val="0"/>
          <w:sz w:val="24"/>
        </w:rPr>
        <w:t xml:space="preserve"> VNC </w:t>
      </w:r>
      <w:r>
        <w:rPr>
          <w:rFonts w:hint="eastAsia" w:ascii="宋体" w:hAnsi="宋体" w:cs="宋体"/>
          <w:kern w:val="0"/>
          <w:sz w:val="24"/>
        </w:rPr>
        <w:t>和远程登录方式，</w:t>
      </w:r>
      <w:r>
        <w:rPr>
          <w:rFonts w:ascii="宋体" w:hAnsi="宋体" w:cs="宋体"/>
          <w:kern w:val="0"/>
          <w:sz w:val="24"/>
        </w:rPr>
        <w:t xml:space="preserve">VNC </w:t>
      </w:r>
      <w:r>
        <w:rPr>
          <w:rFonts w:hint="eastAsia" w:ascii="宋体" w:hAnsi="宋体" w:cs="宋体"/>
          <w:kern w:val="0"/>
          <w:sz w:val="24"/>
        </w:rPr>
        <w:t>登录允许</w:t>
      </w:r>
      <w:r>
        <w:rPr>
          <w:rFonts w:ascii="宋体" w:hAnsi="宋体" w:cs="宋体"/>
          <w:kern w:val="0"/>
          <w:sz w:val="24"/>
        </w:rPr>
        <w:t xml:space="preserve"> VPC </w:t>
      </w:r>
      <w:r>
        <w:rPr>
          <w:rFonts w:hint="eastAsia" w:ascii="宋体" w:hAnsi="宋体" w:cs="宋体"/>
          <w:kern w:val="0"/>
          <w:sz w:val="24"/>
        </w:rPr>
        <w:t>内部网络中的云主机在控制台界面上完成登录。</w:t>
      </w:r>
    </w:p>
    <w:p>
      <w:pPr>
        <w:pStyle w:val="36"/>
        <w:snapToGrid w:val="0"/>
        <w:spacing w:line="360" w:lineRule="auto"/>
        <w:ind w:firstLine="0" w:firstLineChars="0"/>
        <w:rPr>
          <w:rFonts w:ascii="宋体" w:hAnsi="宋体" w:cs="宋体"/>
          <w:kern w:val="0"/>
          <w:sz w:val="24"/>
        </w:rPr>
      </w:pPr>
      <w:r>
        <w:rPr>
          <w:rFonts w:hint="eastAsia" w:ascii="宋体" w:hAnsi="宋体" w:cs="宋体"/>
          <w:kern w:val="0"/>
          <w:sz w:val="24"/>
        </w:rPr>
        <w:t>云主机主要技术指标如下：</w:t>
      </w:r>
    </w:p>
    <w:tbl>
      <w:tblPr>
        <w:tblStyle w:val="3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71"/>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rPr>
                <w:rFonts w:ascii="宋体" w:hAnsi="宋体"/>
                <w:sz w:val="22"/>
                <w:szCs w:val="22"/>
              </w:rPr>
            </w:pPr>
            <w:r>
              <w:rPr>
                <w:rFonts w:hint="eastAsia" w:ascii="宋体" w:hAnsi="宋体"/>
                <w:sz w:val="22"/>
                <w:szCs w:val="22"/>
              </w:rPr>
              <w:t>编号</w:t>
            </w:r>
          </w:p>
        </w:tc>
        <w:tc>
          <w:tcPr>
            <w:tcW w:w="1271" w:type="dxa"/>
            <w:vAlign w:val="top"/>
          </w:tcPr>
          <w:p>
            <w:pPr>
              <w:rPr>
                <w:rFonts w:ascii="宋体" w:hAnsi="宋体"/>
                <w:sz w:val="22"/>
                <w:szCs w:val="22"/>
              </w:rPr>
            </w:pPr>
            <w:r>
              <w:rPr>
                <w:rFonts w:hint="eastAsia" w:ascii="宋体" w:hAnsi="宋体"/>
                <w:sz w:val="22"/>
                <w:szCs w:val="22"/>
              </w:rPr>
              <w:t>重要性</w:t>
            </w:r>
          </w:p>
        </w:tc>
        <w:tc>
          <w:tcPr>
            <w:tcW w:w="6133" w:type="dxa"/>
            <w:vAlign w:val="top"/>
          </w:tcPr>
          <w:p>
            <w:pPr>
              <w:rPr>
                <w:rFonts w:ascii="宋体" w:hAnsi="宋体"/>
                <w:sz w:val="22"/>
                <w:szCs w:val="22"/>
              </w:rPr>
            </w:pPr>
            <w:r>
              <w:rPr>
                <w:rFonts w:hint="eastAsia" w:ascii="宋体" w:hAnsi="宋体"/>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numPr>
                <w:ilvl w:val="0"/>
                <w:numId w:val="3"/>
              </w:numPr>
              <w:rPr>
                <w:rFonts w:ascii="宋体" w:hAnsi="宋体"/>
                <w:sz w:val="22"/>
                <w:szCs w:val="22"/>
              </w:rPr>
            </w:pPr>
          </w:p>
        </w:tc>
        <w:tc>
          <w:tcPr>
            <w:tcW w:w="1271" w:type="dxa"/>
            <w:vAlign w:val="top"/>
          </w:tcPr>
          <w:p>
            <w:pPr>
              <w:rPr>
                <w:rFonts w:ascii="宋体" w:hAnsi="宋体"/>
                <w:sz w:val="22"/>
                <w:szCs w:val="22"/>
              </w:rPr>
            </w:pPr>
          </w:p>
        </w:tc>
        <w:tc>
          <w:tcPr>
            <w:tcW w:w="6133" w:type="dxa"/>
            <w:vAlign w:val="top"/>
          </w:tcPr>
          <w:p>
            <w:pPr>
              <w:rPr>
                <w:rFonts w:ascii="宋体" w:hAnsi="宋体"/>
                <w:sz w:val="22"/>
                <w:szCs w:val="22"/>
              </w:rPr>
            </w:pPr>
            <w:r>
              <w:rPr>
                <w:rFonts w:hint="eastAsia" w:ascii="宋体" w:hAnsi="宋体"/>
                <w:sz w:val="22"/>
                <w:szCs w:val="22"/>
              </w:rPr>
              <w:t>云主机提供主流的Windows、Linux等操作系统，Windows操作系统提供自动激活服务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numPr>
                <w:ilvl w:val="0"/>
                <w:numId w:val="3"/>
              </w:numPr>
              <w:rPr>
                <w:rFonts w:ascii="宋体" w:hAnsi="宋体"/>
                <w:sz w:val="22"/>
                <w:szCs w:val="22"/>
              </w:rPr>
            </w:pPr>
          </w:p>
        </w:tc>
        <w:tc>
          <w:tcPr>
            <w:tcW w:w="1271" w:type="dxa"/>
            <w:vAlign w:val="top"/>
          </w:tcPr>
          <w:p>
            <w:pPr>
              <w:rPr>
                <w:rFonts w:ascii="宋体" w:hAnsi="宋体"/>
                <w:sz w:val="22"/>
                <w:szCs w:val="22"/>
              </w:rPr>
            </w:pPr>
          </w:p>
        </w:tc>
        <w:tc>
          <w:tcPr>
            <w:tcW w:w="6133" w:type="dxa"/>
            <w:vAlign w:val="top"/>
          </w:tcPr>
          <w:p>
            <w:pPr>
              <w:rPr>
                <w:rFonts w:ascii="宋体" w:hAnsi="宋体"/>
                <w:sz w:val="22"/>
                <w:szCs w:val="22"/>
              </w:rPr>
            </w:pPr>
            <w:r>
              <w:rPr>
                <w:rFonts w:hint="eastAsia" w:ascii="宋体" w:hAnsi="宋体"/>
                <w:sz w:val="22"/>
                <w:szCs w:val="22"/>
              </w:rPr>
              <w:t>支持自定义镜像，快速创建云主机；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numPr>
                <w:ilvl w:val="0"/>
                <w:numId w:val="3"/>
              </w:numPr>
              <w:rPr>
                <w:rFonts w:ascii="宋体" w:hAnsi="宋体"/>
                <w:sz w:val="22"/>
                <w:szCs w:val="22"/>
              </w:rPr>
            </w:pPr>
          </w:p>
        </w:tc>
        <w:tc>
          <w:tcPr>
            <w:tcW w:w="1271" w:type="dxa"/>
            <w:vAlign w:val="top"/>
          </w:tcPr>
          <w:p>
            <w:pPr>
              <w:rPr>
                <w:rFonts w:ascii="宋体" w:hAnsi="宋体"/>
                <w:sz w:val="22"/>
                <w:szCs w:val="22"/>
              </w:rPr>
            </w:pPr>
          </w:p>
        </w:tc>
        <w:tc>
          <w:tcPr>
            <w:tcW w:w="6133" w:type="dxa"/>
            <w:vAlign w:val="top"/>
          </w:tcPr>
          <w:p>
            <w:pPr>
              <w:rPr>
                <w:rFonts w:ascii="宋体" w:hAnsi="宋体"/>
                <w:sz w:val="22"/>
                <w:szCs w:val="22"/>
              </w:rPr>
            </w:pPr>
            <w:r>
              <w:rPr>
                <w:rFonts w:hint="eastAsia" w:ascii="宋体" w:hAnsi="宋体"/>
                <w:sz w:val="22"/>
                <w:szCs w:val="22"/>
              </w:rPr>
              <w:t>可指定用户预先配置好的镜像文件作为模板进行云主机的创建；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numPr>
                <w:ilvl w:val="0"/>
                <w:numId w:val="3"/>
              </w:numPr>
              <w:rPr>
                <w:rFonts w:ascii="宋体" w:hAnsi="宋体"/>
                <w:sz w:val="22"/>
                <w:szCs w:val="22"/>
              </w:rPr>
            </w:pPr>
          </w:p>
        </w:tc>
        <w:tc>
          <w:tcPr>
            <w:tcW w:w="1271" w:type="dxa"/>
            <w:vAlign w:val="top"/>
          </w:tcPr>
          <w:p>
            <w:pPr>
              <w:rPr>
                <w:rFonts w:ascii="宋体" w:hAnsi="宋体"/>
                <w:sz w:val="22"/>
                <w:szCs w:val="22"/>
              </w:rPr>
            </w:pPr>
          </w:p>
        </w:tc>
        <w:tc>
          <w:tcPr>
            <w:tcW w:w="6133" w:type="dxa"/>
            <w:vAlign w:val="top"/>
          </w:tcPr>
          <w:p>
            <w:pPr>
              <w:rPr>
                <w:rFonts w:ascii="宋体" w:hAnsi="宋体"/>
                <w:sz w:val="22"/>
                <w:szCs w:val="22"/>
              </w:rPr>
            </w:pPr>
            <w:r>
              <w:rPr>
                <w:rFonts w:hint="eastAsia" w:ascii="宋体" w:hAnsi="宋体"/>
                <w:sz w:val="22"/>
                <w:szCs w:val="22"/>
              </w:rPr>
              <w:t>自定义镜像支持导入qcow2、vhd和raw格式的镜像文件；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numPr>
                <w:ilvl w:val="0"/>
                <w:numId w:val="3"/>
              </w:numPr>
              <w:rPr>
                <w:rFonts w:ascii="宋体" w:hAnsi="宋体"/>
                <w:sz w:val="22"/>
                <w:szCs w:val="22"/>
              </w:rPr>
            </w:pPr>
          </w:p>
        </w:tc>
        <w:tc>
          <w:tcPr>
            <w:tcW w:w="1271" w:type="dxa"/>
            <w:vAlign w:val="top"/>
          </w:tcPr>
          <w:p>
            <w:pPr>
              <w:rPr>
                <w:rFonts w:ascii="宋体" w:hAnsi="宋体"/>
                <w:sz w:val="22"/>
                <w:szCs w:val="22"/>
              </w:rPr>
            </w:pPr>
          </w:p>
        </w:tc>
        <w:tc>
          <w:tcPr>
            <w:tcW w:w="6133" w:type="dxa"/>
            <w:vAlign w:val="top"/>
          </w:tcPr>
          <w:p>
            <w:pPr>
              <w:rPr>
                <w:rFonts w:ascii="宋体" w:hAnsi="宋体"/>
                <w:sz w:val="22"/>
                <w:szCs w:val="22"/>
              </w:rPr>
            </w:pPr>
            <w:r>
              <w:rPr>
                <w:rFonts w:hint="eastAsia" w:ascii="宋体" w:hAnsi="宋体"/>
                <w:sz w:val="22"/>
                <w:szCs w:val="22"/>
              </w:rPr>
              <w:t>云主机支持备份，保障数据安全；可以为已有的云主机创建云主机备份，可用于快速恢复数据状态，加强数据安全；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numPr>
                <w:ilvl w:val="0"/>
                <w:numId w:val="3"/>
              </w:numPr>
              <w:rPr>
                <w:rFonts w:ascii="宋体" w:hAnsi="宋体"/>
                <w:sz w:val="22"/>
                <w:szCs w:val="22"/>
              </w:rPr>
            </w:pPr>
          </w:p>
        </w:tc>
        <w:tc>
          <w:tcPr>
            <w:tcW w:w="1271" w:type="dxa"/>
            <w:vAlign w:val="top"/>
          </w:tcPr>
          <w:p>
            <w:pPr>
              <w:rPr>
                <w:rFonts w:ascii="宋体" w:hAnsi="宋体"/>
                <w:sz w:val="22"/>
                <w:szCs w:val="22"/>
              </w:rPr>
            </w:pPr>
            <w:r>
              <w:rPr>
                <w:rFonts w:hint="eastAsia" w:ascii="宋体" w:hAnsi="宋体"/>
                <w:sz w:val="22"/>
                <w:szCs w:val="22"/>
              </w:rPr>
              <w:t>◆</w:t>
            </w:r>
          </w:p>
        </w:tc>
        <w:tc>
          <w:tcPr>
            <w:tcW w:w="6133" w:type="dxa"/>
            <w:vAlign w:val="top"/>
          </w:tcPr>
          <w:p>
            <w:pPr>
              <w:rPr>
                <w:rFonts w:ascii="宋体" w:hAnsi="宋体"/>
                <w:sz w:val="22"/>
                <w:szCs w:val="22"/>
              </w:rPr>
            </w:pPr>
            <w:r>
              <w:rPr>
                <w:rFonts w:hint="eastAsia" w:ascii="宋体" w:hAnsi="宋体"/>
                <w:sz w:val="22"/>
                <w:szCs w:val="22"/>
              </w:rPr>
              <w:t>单台云主机系统盘最高支持500GB；最高可挂载20块以上弹性云硬盘作为数据盘；单盘最高可达32TB；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numPr>
                <w:ilvl w:val="0"/>
                <w:numId w:val="3"/>
              </w:numPr>
              <w:rPr>
                <w:rFonts w:ascii="宋体" w:hAnsi="宋体"/>
                <w:sz w:val="22"/>
                <w:szCs w:val="22"/>
              </w:rPr>
            </w:pPr>
          </w:p>
        </w:tc>
        <w:tc>
          <w:tcPr>
            <w:tcW w:w="1271" w:type="dxa"/>
            <w:vAlign w:val="top"/>
          </w:tcPr>
          <w:p>
            <w:pPr>
              <w:rPr>
                <w:rFonts w:ascii="宋体" w:hAnsi="宋体"/>
                <w:sz w:val="22"/>
                <w:szCs w:val="22"/>
              </w:rPr>
            </w:pPr>
          </w:p>
        </w:tc>
        <w:tc>
          <w:tcPr>
            <w:tcW w:w="6133" w:type="dxa"/>
            <w:vAlign w:val="top"/>
          </w:tcPr>
          <w:p>
            <w:pPr>
              <w:rPr>
                <w:rFonts w:ascii="宋体" w:hAnsi="宋体"/>
                <w:sz w:val="22"/>
                <w:szCs w:val="22"/>
              </w:rPr>
            </w:pPr>
            <w:r>
              <w:rPr>
                <w:rFonts w:hint="eastAsia" w:ascii="宋体" w:hAnsi="宋体"/>
                <w:sz w:val="22"/>
                <w:szCs w:val="22"/>
              </w:rPr>
              <w:t>单台云主机最高可挂载18个弹性网卡；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numPr>
                <w:ilvl w:val="0"/>
                <w:numId w:val="3"/>
              </w:numPr>
              <w:rPr>
                <w:rFonts w:ascii="宋体" w:hAnsi="宋体"/>
                <w:sz w:val="22"/>
                <w:szCs w:val="22"/>
              </w:rPr>
            </w:pPr>
          </w:p>
        </w:tc>
        <w:tc>
          <w:tcPr>
            <w:tcW w:w="1271" w:type="dxa"/>
            <w:vAlign w:val="top"/>
          </w:tcPr>
          <w:p>
            <w:pPr>
              <w:rPr>
                <w:rFonts w:ascii="宋体" w:hAnsi="宋体"/>
                <w:sz w:val="22"/>
                <w:szCs w:val="22"/>
              </w:rPr>
            </w:pPr>
            <w:r>
              <w:rPr>
                <w:rFonts w:hint="eastAsia" w:ascii="宋体" w:hAnsi="宋体"/>
                <w:sz w:val="22"/>
                <w:szCs w:val="22"/>
              </w:rPr>
              <w:t>◆</w:t>
            </w:r>
          </w:p>
        </w:tc>
        <w:tc>
          <w:tcPr>
            <w:tcW w:w="6133" w:type="dxa"/>
            <w:vAlign w:val="top"/>
          </w:tcPr>
          <w:p>
            <w:pPr>
              <w:rPr>
                <w:rFonts w:ascii="宋体" w:hAnsi="宋体"/>
                <w:sz w:val="22"/>
                <w:szCs w:val="22"/>
              </w:rPr>
            </w:pPr>
            <w:r>
              <w:rPr>
                <w:rFonts w:hint="eastAsia" w:ascii="宋体" w:hAnsi="宋体"/>
                <w:sz w:val="22"/>
                <w:szCs w:val="22"/>
              </w:rPr>
              <w:t>云主机支持多个虚拟网卡如网IPv4、IPv6、IPv4+IPv6（即双栈网卡）；一台云主机可以同时绑定一个弹性公网IP以及多个内网IP，增强云主机的复用性；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numPr>
                <w:ilvl w:val="0"/>
                <w:numId w:val="3"/>
              </w:numPr>
              <w:rPr>
                <w:rFonts w:ascii="宋体" w:hAnsi="宋体"/>
                <w:sz w:val="22"/>
                <w:szCs w:val="22"/>
              </w:rPr>
            </w:pPr>
          </w:p>
        </w:tc>
        <w:tc>
          <w:tcPr>
            <w:tcW w:w="1271" w:type="dxa"/>
            <w:vAlign w:val="top"/>
          </w:tcPr>
          <w:p>
            <w:pPr>
              <w:rPr>
                <w:rFonts w:ascii="宋体" w:hAnsi="宋体"/>
                <w:sz w:val="22"/>
                <w:szCs w:val="22"/>
              </w:rPr>
            </w:pPr>
            <w:r>
              <w:rPr>
                <w:rFonts w:hint="eastAsia" w:ascii="宋体" w:hAnsi="宋体"/>
                <w:sz w:val="22"/>
                <w:szCs w:val="22"/>
              </w:rPr>
              <w:t>◆</w:t>
            </w:r>
          </w:p>
        </w:tc>
        <w:tc>
          <w:tcPr>
            <w:tcW w:w="6133" w:type="dxa"/>
            <w:vAlign w:val="top"/>
          </w:tcPr>
          <w:p>
            <w:pPr>
              <w:rPr>
                <w:rFonts w:ascii="宋体" w:hAnsi="宋体"/>
                <w:sz w:val="22"/>
                <w:szCs w:val="22"/>
              </w:rPr>
            </w:pPr>
            <w:r>
              <w:rPr>
                <w:rFonts w:hint="eastAsia" w:ascii="宋体" w:hAnsi="宋体"/>
                <w:sz w:val="22"/>
                <w:szCs w:val="22"/>
              </w:rPr>
              <w:t>云主机服务通过工信部数据中心联盟可信云服务认证，云主机服务可用性不低于99.95%；提供宕机迁移、数据备份和恢复等功能，确保业务稳定；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numPr>
                <w:ilvl w:val="0"/>
                <w:numId w:val="3"/>
              </w:numPr>
              <w:rPr>
                <w:rFonts w:ascii="宋体" w:hAnsi="宋体"/>
                <w:sz w:val="22"/>
                <w:szCs w:val="22"/>
              </w:rPr>
            </w:pPr>
          </w:p>
        </w:tc>
        <w:tc>
          <w:tcPr>
            <w:tcW w:w="1271" w:type="dxa"/>
            <w:vAlign w:val="top"/>
          </w:tcPr>
          <w:p>
            <w:pPr>
              <w:rPr>
                <w:rFonts w:ascii="宋体" w:hAnsi="宋体"/>
                <w:sz w:val="22"/>
                <w:szCs w:val="22"/>
              </w:rPr>
            </w:pPr>
          </w:p>
        </w:tc>
        <w:tc>
          <w:tcPr>
            <w:tcW w:w="6133" w:type="dxa"/>
            <w:vAlign w:val="top"/>
          </w:tcPr>
          <w:p>
            <w:pPr>
              <w:rPr>
                <w:rFonts w:ascii="宋体" w:hAnsi="宋体"/>
                <w:sz w:val="22"/>
                <w:szCs w:val="22"/>
              </w:rPr>
            </w:pPr>
            <w:r>
              <w:rPr>
                <w:rFonts w:hint="eastAsia" w:ascii="宋体" w:hAnsi="宋体"/>
                <w:sz w:val="22"/>
                <w:szCs w:val="22"/>
              </w:rPr>
              <w:t>云主机在不绑定公网地址和带宽的情况下，默认提供从云主机到互联网的访问能力，用于进行互联网的简单访问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numPr>
                <w:ilvl w:val="0"/>
                <w:numId w:val="3"/>
              </w:numPr>
              <w:rPr>
                <w:rFonts w:ascii="宋体" w:hAnsi="宋体"/>
                <w:sz w:val="22"/>
                <w:szCs w:val="22"/>
              </w:rPr>
            </w:pPr>
          </w:p>
        </w:tc>
        <w:tc>
          <w:tcPr>
            <w:tcW w:w="1271" w:type="dxa"/>
            <w:vAlign w:val="top"/>
          </w:tcPr>
          <w:p>
            <w:pPr>
              <w:rPr>
                <w:rFonts w:ascii="宋体" w:hAnsi="宋体"/>
                <w:sz w:val="22"/>
                <w:szCs w:val="22"/>
              </w:rPr>
            </w:pPr>
          </w:p>
        </w:tc>
        <w:tc>
          <w:tcPr>
            <w:tcW w:w="6133" w:type="dxa"/>
            <w:vAlign w:val="top"/>
          </w:tcPr>
          <w:p>
            <w:pPr>
              <w:rPr>
                <w:rFonts w:ascii="宋体" w:hAnsi="宋体"/>
                <w:sz w:val="22"/>
                <w:szCs w:val="22"/>
              </w:rPr>
            </w:pPr>
            <w:r>
              <w:rPr>
                <w:rFonts w:hint="eastAsia" w:ascii="宋体" w:hAnsi="宋体"/>
                <w:sz w:val="22"/>
                <w:szCs w:val="22"/>
              </w:rPr>
              <w:t>支持符合条件内的云主机自助退还；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numPr>
                <w:ilvl w:val="0"/>
                <w:numId w:val="3"/>
              </w:numPr>
              <w:rPr>
                <w:rFonts w:ascii="宋体" w:hAnsi="宋体"/>
                <w:sz w:val="22"/>
                <w:szCs w:val="22"/>
              </w:rPr>
            </w:pPr>
          </w:p>
        </w:tc>
        <w:tc>
          <w:tcPr>
            <w:tcW w:w="1271" w:type="dxa"/>
            <w:vAlign w:val="top"/>
          </w:tcPr>
          <w:p>
            <w:pPr>
              <w:rPr>
                <w:rFonts w:ascii="宋体" w:hAnsi="宋体"/>
                <w:sz w:val="22"/>
                <w:szCs w:val="22"/>
              </w:rPr>
            </w:pPr>
          </w:p>
        </w:tc>
        <w:tc>
          <w:tcPr>
            <w:tcW w:w="6133" w:type="dxa"/>
            <w:vAlign w:val="top"/>
          </w:tcPr>
          <w:p>
            <w:pPr>
              <w:rPr>
                <w:rFonts w:ascii="宋体" w:hAnsi="宋体"/>
                <w:sz w:val="22"/>
                <w:szCs w:val="22"/>
              </w:rPr>
            </w:pPr>
            <w:r>
              <w:rPr>
                <w:rFonts w:hint="eastAsia" w:ascii="宋体" w:hAnsi="宋体"/>
                <w:sz w:val="22"/>
                <w:szCs w:val="22"/>
              </w:rPr>
              <w:t>支持计算能力的弹性伸缩，可根据定时、周期或监控策略，增加或减少云服务器实例；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numPr>
                <w:ilvl w:val="0"/>
                <w:numId w:val="3"/>
              </w:numPr>
              <w:rPr>
                <w:rFonts w:ascii="宋体" w:hAnsi="宋体"/>
                <w:sz w:val="22"/>
                <w:szCs w:val="22"/>
              </w:rPr>
            </w:pPr>
          </w:p>
        </w:tc>
        <w:tc>
          <w:tcPr>
            <w:tcW w:w="1271" w:type="dxa"/>
            <w:vAlign w:val="top"/>
          </w:tcPr>
          <w:p>
            <w:pPr>
              <w:rPr>
                <w:rFonts w:ascii="宋体" w:hAnsi="宋体"/>
                <w:sz w:val="22"/>
                <w:szCs w:val="22"/>
              </w:rPr>
            </w:pPr>
            <w:r>
              <w:rPr>
                <w:rFonts w:hint="eastAsia" w:ascii="宋体" w:hAnsi="宋体"/>
                <w:sz w:val="22"/>
                <w:szCs w:val="22"/>
              </w:rPr>
              <w:t>◆</w:t>
            </w:r>
          </w:p>
        </w:tc>
        <w:tc>
          <w:tcPr>
            <w:tcW w:w="6133" w:type="dxa"/>
            <w:vAlign w:val="top"/>
          </w:tcPr>
          <w:p>
            <w:pPr>
              <w:rPr>
                <w:rFonts w:ascii="宋体" w:hAnsi="宋体"/>
                <w:sz w:val="22"/>
                <w:szCs w:val="22"/>
              </w:rPr>
            </w:pPr>
            <w:r>
              <w:rPr>
                <w:rFonts w:hint="eastAsia" w:ascii="宋体" w:hAnsi="宋体"/>
                <w:sz w:val="22"/>
                <w:szCs w:val="22"/>
              </w:rPr>
              <w:t>免费提供云主机监控服务，包括CPU、内存、存储、带宽等多项指标的使用情况，并提供自定义告警服务；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numPr>
                <w:ilvl w:val="0"/>
                <w:numId w:val="3"/>
              </w:numPr>
              <w:rPr>
                <w:rFonts w:ascii="宋体" w:hAnsi="宋体"/>
                <w:sz w:val="22"/>
                <w:szCs w:val="22"/>
              </w:rPr>
            </w:pPr>
          </w:p>
        </w:tc>
        <w:tc>
          <w:tcPr>
            <w:tcW w:w="1271" w:type="dxa"/>
            <w:vAlign w:val="top"/>
          </w:tcPr>
          <w:p>
            <w:pPr>
              <w:rPr>
                <w:rFonts w:ascii="宋体" w:hAnsi="宋体"/>
                <w:sz w:val="22"/>
                <w:szCs w:val="22"/>
              </w:rPr>
            </w:pPr>
          </w:p>
        </w:tc>
        <w:tc>
          <w:tcPr>
            <w:tcW w:w="6133" w:type="dxa"/>
            <w:vAlign w:val="top"/>
          </w:tcPr>
          <w:p>
            <w:pPr>
              <w:rPr>
                <w:rFonts w:ascii="宋体" w:hAnsi="宋体"/>
                <w:sz w:val="22"/>
                <w:szCs w:val="22"/>
              </w:rPr>
            </w:pPr>
            <w:r>
              <w:rPr>
                <w:rFonts w:hint="eastAsia" w:ascii="宋体" w:hAnsi="宋体"/>
                <w:sz w:val="22"/>
                <w:szCs w:val="22"/>
              </w:rPr>
              <w:t>支持通过API管控控制云服务器；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numPr>
                <w:ilvl w:val="0"/>
                <w:numId w:val="3"/>
              </w:numPr>
              <w:rPr>
                <w:rFonts w:ascii="宋体" w:hAnsi="宋体"/>
                <w:sz w:val="22"/>
                <w:szCs w:val="22"/>
              </w:rPr>
            </w:pPr>
          </w:p>
        </w:tc>
        <w:tc>
          <w:tcPr>
            <w:tcW w:w="1271" w:type="dxa"/>
            <w:vAlign w:val="top"/>
          </w:tcPr>
          <w:p>
            <w:pPr>
              <w:rPr>
                <w:rFonts w:ascii="宋体" w:hAnsi="宋体"/>
                <w:sz w:val="22"/>
                <w:szCs w:val="22"/>
              </w:rPr>
            </w:pPr>
            <w:r>
              <w:rPr>
                <w:rFonts w:hint="eastAsia" w:ascii="宋体" w:hAnsi="宋体"/>
                <w:sz w:val="22"/>
                <w:szCs w:val="22"/>
              </w:rPr>
              <w:t>◆</w:t>
            </w:r>
          </w:p>
        </w:tc>
        <w:tc>
          <w:tcPr>
            <w:tcW w:w="6133" w:type="dxa"/>
            <w:vAlign w:val="top"/>
          </w:tcPr>
          <w:p>
            <w:pPr>
              <w:rPr>
                <w:rFonts w:ascii="宋体" w:hAnsi="宋体"/>
                <w:sz w:val="22"/>
                <w:szCs w:val="22"/>
              </w:rPr>
            </w:pPr>
            <w:r>
              <w:rPr>
                <w:rFonts w:hint="eastAsia" w:ascii="宋体" w:hAnsi="宋体"/>
                <w:sz w:val="22"/>
                <w:szCs w:val="22"/>
              </w:rPr>
              <w:t>支持按时计费转包年包月；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numPr>
                <w:ilvl w:val="0"/>
                <w:numId w:val="3"/>
              </w:numPr>
              <w:rPr>
                <w:rFonts w:ascii="宋体" w:hAnsi="宋体"/>
                <w:sz w:val="22"/>
                <w:szCs w:val="22"/>
              </w:rPr>
            </w:pPr>
          </w:p>
        </w:tc>
        <w:tc>
          <w:tcPr>
            <w:tcW w:w="1271" w:type="dxa"/>
            <w:vAlign w:val="top"/>
          </w:tcPr>
          <w:p>
            <w:pPr>
              <w:rPr>
                <w:rFonts w:ascii="宋体" w:hAnsi="宋体"/>
                <w:sz w:val="22"/>
                <w:szCs w:val="22"/>
              </w:rPr>
            </w:pPr>
            <w:r>
              <w:rPr>
                <w:rFonts w:hint="eastAsia" w:ascii="宋体" w:hAnsi="宋体"/>
                <w:sz w:val="22"/>
                <w:szCs w:val="22"/>
              </w:rPr>
              <w:t>◆</w:t>
            </w:r>
          </w:p>
        </w:tc>
        <w:tc>
          <w:tcPr>
            <w:tcW w:w="6133" w:type="dxa"/>
            <w:vAlign w:val="top"/>
          </w:tcPr>
          <w:p>
            <w:pPr>
              <w:rPr>
                <w:rFonts w:ascii="宋体" w:hAnsi="宋体"/>
                <w:sz w:val="22"/>
                <w:szCs w:val="22"/>
              </w:rPr>
            </w:pPr>
            <w:r>
              <w:rPr>
                <w:rFonts w:hint="eastAsia" w:ascii="宋体" w:hAnsi="宋体"/>
                <w:sz w:val="22"/>
                <w:szCs w:val="22"/>
              </w:rPr>
              <w:t>支持包年包月、按时计费、按量计费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numPr>
                <w:ilvl w:val="0"/>
                <w:numId w:val="3"/>
              </w:numPr>
              <w:rPr>
                <w:rFonts w:ascii="宋体" w:hAnsi="宋体"/>
                <w:sz w:val="22"/>
                <w:szCs w:val="22"/>
              </w:rPr>
            </w:pPr>
          </w:p>
        </w:tc>
        <w:tc>
          <w:tcPr>
            <w:tcW w:w="1271" w:type="dxa"/>
            <w:vAlign w:val="top"/>
          </w:tcPr>
          <w:p>
            <w:pPr>
              <w:rPr>
                <w:rFonts w:ascii="宋体" w:hAnsi="宋体"/>
                <w:sz w:val="22"/>
                <w:szCs w:val="22"/>
              </w:rPr>
            </w:pPr>
            <w:r>
              <w:rPr>
                <w:rFonts w:hint="eastAsia" w:ascii="宋体" w:hAnsi="宋体"/>
                <w:sz w:val="22"/>
                <w:szCs w:val="22"/>
              </w:rPr>
              <w:t>◆</w:t>
            </w:r>
          </w:p>
        </w:tc>
        <w:tc>
          <w:tcPr>
            <w:tcW w:w="6133" w:type="dxa"/>
            <w:vAlign w:val="top"/>
          </w:tcPr>
          <w:p>
            <w:pPr>
              <w:rPr>
                <w:rFonts w:ascii="宋体" w:hAnsi="宋体"/>
                <w:sz w:val="22"/>
                <w:szCs w:val="22"/>
              </w:rPr>
            </w:pPr>
            <w:r>
              <w:rPr>
                <w:rFonts w:hint="eastAsia" w:ascii="宋体" w:hAnsi="宋体"/>
                <w:sz w:val="22"/>
                <w:szCs w:val="22"/>
              </w:rPr>
              <w:t>单台通用型云主机内网带宽最高支持20Gbps；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3" w:type="dxa"/>
            <w:vAlign w:val="top"/>
          </w:tcPr>
          <w:p>
            <w:pPr>
              <w:numPr>
                <w:ilvl w:val="0"/>
                <w:numId w:val="3"/>
              </w:numPr>
              <w:rPr>
                <w:rFonts w:ascii="宋体" w:hAnsi="宋体"/>
                <w:sz w:val="22"/>
                <w:szCs w:val="22"/>
              </w:rPr>
            </w:pPr>
          </w:p>
        </w:tc>
        <w:tc>
          <w:tcPr>
            <w:tcW w:w="1271" w:type="dxa"/>
            <w:vAlign w:val="top"/>
          </w:tcPr>
          <w:p>
            <w:pPr>
              <w:rPr>
                <w:rFonts w:ascii="宋体" w:hAnsi="宋体"/>
                <w:sz w:val="22"/>
                <w:szCs w:val="22"/>
              </w:rPr>
            </w:pPr>
            <w:r>
              <w:rPr>
                <w:rFonts w:hint="eastAsia" w:ascii="宋体" w:hAnsi="宋体"/>
                <w:sz w:val="22"/>
                <w:szCs w:val="22"/>
              </w:rPr>
              <w:t>◆</w:t>
            </w:r>
          </w:p>
        </w:tc>
        <w:tc>
          <w:tcPr>
            <w:tcW w:w="6133" w:type="dxa"/>
            <w:vAlign w:val="top"/>
          </w:tcPr>
          <w:p>
            <w:pPr>
              <w:rPr>
                <w:rFonts w:ascii="宋体" w:hAnsi="宋体"/>
                <w:sz w:val="22"/>
                <w:szCs w:val="22"/>
              </w:rPr>
            </w:pPr>
            <w:r>
              <w:rPr>
                <w:rFonts w:hint="eastAsia" w:ascii="宋体" w:hAnsi="宋体"/>
                <w:sz w:val="22"/>
                <w:szCs w:val="22"/>
              </w:rPr>
              <w:t>华中区域云资源池不少于三个；</w:t>
            </w:r>
          </w:p>
        </w:tc>
      </w:tr>
    </w:tbl>
    <w:p>
      <w:pPr>
        <w:pStyle w:val="36"/>
        <w:snapToGrid w:val="0"/>
        <w:spacing w:line="360" w:lineRule="auto"/>
        <w:ind w:firstLine="0" w:firstLineChars="0"/>
        <w:rPr>
          <w:rFonts w:ascii="宋体" w:hAnsi="宋体" w:cs="宋体"/>
          <w:kern w:val="0"/>
          <w:sz w:val="24"/>
        </w:rPr>
      </w:pPr>
    </w:p>
    <w:p>
      <w:pPr>
        <w:pStyle w:val="71"/>
        <w:spacing w:line="360" w:lineRule="auto"/>
        <w:rPr>
          <w:rFonts w:hAnsi="宋体"/>
          <w:b/>
          <w:bCs/>
          <w:color w:val="auto"/>
          <w:sz w:val="28"/>
          <w:szCs w:val="28"/>
        </w:rPr>
      </w:pPr>
      <w:r>
        <w:rPr>
          <w:rFonts w:hint="eastAsia" w:hAnsi="宋体"/>
          <w:b/>
          <w:bCs/>
          <w:color w:val="auto"/>
          <w:sz w:val="28"/>
          <w:szCs w:val="28"/>
        </w:rPr>
        <w:t>1</w:t>
      </w:r>
      <w:r>
        <w:rPr>
          <w:rFonts w:hAnsi="宋体"/>
          <w:b/>
          <w:bCs/>
          <w:color w:val="auto"/>
          <w:sz w:val="28"/>
          <w:szCs w:val="28"/>
        </w:rPr>
        <w:t xml:space="preserve">.1.2 </w:t>
      </w:r>
      <w:r>
        <w:rPr>
          <w:rFonts w:hint="eastAsia" w:hAnsi="宋体"/>
          <w:b/>
          <w:bCs/>
          <w:color w:val="auto"/>
          <w:sz w:val="28"/>
          <w:szCs w:val="28"/>
        </w:rPr>
        <w:t>云存储</w:t>
      </w:r>
    </w:p>
    <w:p>
      <w:pPr>
        <w:snapToGrid w:val="0"/>
        <w:spacing w:line="360" w:lineRule="auto"/>
        <w:ind w:firstLine="420"/>
        <w:rPr>
          <w:rFonts w:ascii="宋体" w:hAnsi="宋体" w:cs="宋体"/>
          <w:kern w:val="0"/>
          <w:sz w:val="24"/>
        </w:rPr>
      </w:pPr>
      <w:r>
        <w:rPr>
          <w:rFonts w:hint="eastAsia" w:ascii="宋体" w:hAnsi="宋体" w:cs="宋体"/>
          <w:kern w:val="0"/>
          <w:sz w:val="24"/>
        </w:rPr>
        <w:t>云硬盘是为云主机提供的一种高可靠、高并发、低时延、大容量的块级别存储产品，支持随机读写，可以在线管理云硬盘，对挂载到云主机上的云硬盘进行格式化、创建文件系统等操作。</w:t>
      </w:r>
    </w:p>
    <w:p>
      <w:pPr>
        <w:snapToGrid w:val="0"/>
        <w:spacing w:line="360" w:lineRule="auto"/>
        <w:ind w:firstLine="420"/>
        <w:jc w:val="center"/>
        <w:rPr>
          <w:rFonts w:ascii="宋体" w:hAnsi="宋体" w:cs="宋体"/>
          <w:kern w:val="0"/>
          <w:sz w:val="24"/>
        </w:rPr>
      </w:pPr>
      <w:r>
        <w:rPr>
          <w:rFonts w:hint="eastAsia" w:ascii="宋体" w:hAnsi="宋体" w:cs="宋体"/>
          <w:kern w:val="0"/>
          <w:sz w:val="24"/>
        </w:rPr>
        <w:t>云硬盘主要技术指标如下：</w:t>
      </w:r>
    </w:p>
    <w:tbl>
      <w:tblPr>
        <w:tblStyle w:val="34"/>
        <w:tblW w:w="8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640"/>
        <w:gridCol w:w="6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序号</w:t>
            </w:r>
          </w:p>
        </w:tc>
        <w:tc>
          <w:tcPr>
            <w:tcW w:w="1640" w:type="dxa"/>
            <w:vAlign w:val="center"/>
          </w:tcPr>
          <w:p>
            <w:pPr>
              <w:rPr>
                <w:rFonts w:ascii="宋体" w:hAnsi="宋体"/>
                <w:sz w:val="22"/>
                <w:szCs w:val="22"/>
              </w:rPr>
            </w:pPr>
            <w:r>
              <w:rPr>
                <w:rFonts w:hint="eastAsia" w:ascii="宋体" w:hAnsi="宋体"/>
                <w:sz w:val="22"/>
                <w:szCs w:val="22"/>
              </w:rPr>
              <w:t>重要性</w:t>
            </w:r>
          </w:p>
        </w:tc>
        <w:tc>
          <w:tcPr>
            <w:tcW w:w="6311" w:type="dxa"/>
            <w:vAlign w:val="center"/>
          </w:tcPr>
          <w:p>
            <w:pPr>
              <w:rPr>
                <w:rFonts w:ascii="宋体" w:hAnsi="宋体"/>
                <w:sz w:val="22"/>
                <w:szCs w:val="22"/>
              </w:rPr>
            </w:pPr>
            <w:r>
              <w:rPr>
                <w:rFonts w:hint="eastAsia" w:ascii="宋体" w:hAnsi="宋体"/>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1</w:t>
            </w:r>
          </w:p>
        </w:tc>
        <w:tc>
          <w:tcPr>
            <w:tcW w:w="1640" w:type="dxa"/>
            <w:vAlign w:val="center"/>
          </w:tcPr>
          <w:p>
            <w:pPr>
              <w:rPr>
                <w:rFonts w:ascii="宋体" w:hAnsi="宋体"/>
                <w:sz w:val="22"/>
                <w:szCs w:val="22"/>
              </w:rPr>
            </w:pPr>
            <w:r>
              <w:rPr>
                <w:rFonts w:hint="eastAsia" w:ascii="宋体" w:hAnsi="宋体"/>
                <w:sz w:val="22"/>
                <w:szCs w:val="22"/>
              </w:rPr>
              <w:t>◆</w:t>
            </w:r>
          </w:p>
        </w:tc>
        <w:tc>
          <w:tcPr>
            <w:tcW w:w="6311" w:type="dxa"/>
            <w:vAlign w:val="center"/>
          </w:tcPr>
          <w:p>
            <w:pPr>
              <w:rPr>
                <w:rFonts w:ascii="宋体" w:hAnsi="宋体"/>
                <w:sz w:val="22"/>
                <w:szCs w:val="22"/>
              </w:rPr>
            </w:pPr>
            <w:r>
              <w:rPr>
                <w:rFonts w:hint="eastAsia" w:ascii="宋体" w:hAnsi="宋体"/>
                <w:sz w:val="22"/>
                <w:szCs w:val="22"/>
              </w:rPr>
              <w:t>云硬盘最高可提供1000000随机IOPS，满足多并发、高I/O、高吞吐、低延迟等业务需求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2</w:t>
            </w:r>
          </w:p>
        </w:tc>
        <w:tc>
          <w:tcPr>
            <w:tcW w:w="1640" w:type="dxa"/>
            <w:vAlign w:val="center"/>
          </w:tcPr>
          <w:p>
            <w:pPr>
              <w:rPr>
                <w:rFonts w:ascii="宋体" w:hAnsi="宋体"/>
                <w:sz w:val="22"/>
                <w:szCs w:val="22"/>
              </w:rPr>
            </w:pPr>
            <w:r>
              <w:rPr>
                <w:rFonts w:hint="eastAsia" w:ascii="宋体" w:hAnsi="宋体"/>
                <w:sz w:val="22"/>
                <w:szCs w:val="22"/>
              </w:rPr>
              <w:t>◆</w:t>
            </w:r>
          </w:p>
        </w:tc>
        <w:tc>
          <w:tcPr>
            <w:tcW w:w="6311" w:type="dxa"/>
            <w:vAlign w:val="center"/>
          </w:tcPr>
          <w:p>
            <w:pPr>
              <w:rPr>
                <w:rFonts w:ascii="宋体" w:hAnsi="宋体"/>
                <w:sz w:val="22"/>
                <w:szCs w:val="22"/>
              </w:rPr>
            </w:pPr>
            <w:r>
              <w:rPr>
                <w:rFonts w:hint="eastAsia" w:ascii="宋体" w:hAnsi="宋体"/>
                <w:sz w:val="22"/>
                <w:szCs w:val="22"/>
              </w:rPr>
              <w:t>云硬盘单盘最大支持32T，单台云主机最多可挂载22块云硬盘，单用户单资源池最多拥有500块云硬盘，满足用户海量存储需求。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3</w:t>
            </w:r>
          </w:p>
        </w:tc>
        <w:tc>
          <w:tcPr>
            <w:tcW w:w="1640" w:type="dxa"/>
            <w:vAlign w:val="center"/>
          </w:tcPr>
          <w:p>
            <w:pPr>
              <w:rPr>
                <w:rFonts w:ascii="宋体" w:hAnsi="宋体"/>
                <w:sz w:val="22"/>
                <w:szCs w:val="22"/>
              </w:rPr>
            </w:pPr>
            <w:r>
              <w:rPr>
                <w:rFonts w:hint="eastAsia" w:ascii="宋体" w:hAnsi="宋体"/>
                <w:sz w:val="22"/>
                <w:szCs w:val="22"/>
              </w:rPr>
              <w:t>◆</w:t>
            </w:r>
          </w:p>
        </w:tc>
        <w:tc>
          <w:tcPr>
            <w:tcW w:w="6311" w:type="dxa"/>
            <w:vAlign w:val="center"/>
          </w:tcPr>
          <w:p>
            <w:pPr>
              <w:rPr>
                <w:rFonts w:ascii="宋体" w:hAnsi="宋体"/>
                <w:sz w:val="22"/>
                <w:szCs w:val="22"/>
              </w:rPr>
            </w:pPr>
            <w:r>
              <w:rPr>
                <w:rFonts w:hint="eastAsia" w:ascii="宋体" w:hAnsi="宋体"/>
                <w:sz w:val="22"/>
                <w:szCs w:val="22"/>
              </w:rPr>
              <w:t>云硬盘采用三副本存储架构，数据可靠性可达99.9999999%；同时具有备份功能，备份系统与云硬盘物理隔离，保障数据安全。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4</w:t>
            </w:r>
          </w:p>
        </w:tc>
        <w:tc>
          <w:tcPr>
            <w:tcW w:w="1640" w:type="dxa"/>
            <w:vAlign w:val="center"/>
          </w:tcPr>
          <w:p>
            <w:pPr>
              <w:rPr>
                <w:rFonts w:ascii="宋体" w:hAnsi="宋体"/>
                <w:sz w:val="22"/>
                <w:szCs w:val="22"/>
              </w:rPr>
            </w:pPr>
            <w:r>
              <w:rPr>
                <w:rFonts w:hint="eastAsia" w:ascii="宋体" w:hAnsi="宋体"/>
                <w:sz w:val="22"/>
                <w:szCs w:val="22"/>
              </w:rPr>
              <w:t>◆</w:t>
            </w:r>
          </w:p>
        </w:tc>
        <w:tc>
          <w:tcPr>
            <w:tcW w:w="6311" w:type="dxa"/>
            <w:vAlign w:val="center"/>
          </w:tcPr>
          <w:p>
            <w:pPr>
              <w:rPr>
                <w:rFonts w:ascii="宋体" w:hAnsi="宋体"/>
                <w:sz w:val="22"/>
                <w:szCs w:val="22"/>
              </w:rPr>
            </w:pPr>
            <w:r>
              <w:rPr>
                <w:rFonts w:hint="eastAsia" w:ascii="宋体" w:hAnsi="宋体"/>
                <w:sz w:val="22"/>
                <w:szCs w:val="22"/>
              </w:rPr>
              <w:t>云硬盘可直接通过管理控制台便捷地管理和使用，如云硬盘创建、挂载、卸载、删除、变更等操作，节省人工管理部署成本。</w:t>
            </w:r>
          </w:p>
        </w:tc>
      </w:tr>
    </w:tbl>
    <w:p>
      <w:pPr>
        <w:pStyle w:val="2"/>
        <w:ind w:firstLine="0" w:firstLineChars="0"/>
      </w:pPr>
    </w:p>
    <w:p>
      <w:pPr>
        <w:pStyle w:val="71"/>
        <w:spacing w:line="360" w:lineRule="auto"/>
        <w:rPr>
          <w:rFonts w:hAnsi="宋体"/>
          <w:b/>
          <w:bCs/>
          <w:color w:val="auto"/>
          <w:sz w:val="28"/>
          <w:szCs w:val="28"/>
        </w:rPr>
      </w:pPr>
      <w:r>
        <w:rPr>
          <w:rFonts w:hint="eastAsia" w:hAnsi="宋体"/>
          <w:b/>
          <w:bCs/>
          <w:color w:val="auto"/>
          <w:sz w:val="28"/>
          <w:szCs w:val="28"/>
        </w:rPr>
        <w:t>1</w:t>
      </w:r>
      <w:r>
        <w:rPr>
          <w:rFonts w:hAnsi="宋体"/>
          <w:b/>
          <w:bCs/>
          <w:color w:val="auto"/>
          <w:sz w:val="28"/>
          <w:szCs w:val="28"/>
        </w:rPr>
        <w:t xml:space="preserve">.1.3 </w:t>
      </w:r>
      <w:r>
        <w:rPr>
          <w:rFonts w:hint="eastAsia" w:hAnsi="宋体"/>
          <w:b/>
          <w:bCs/>
          <w:color w:val="auto"/>
          <w:sz w:val="28"/>
          <w:szCs w:val="28"/>
        </w:rPr>
        <w:t>云网络</w:t>
      </w:r>
    </w:p>
    <w:p>
      <w:pPr>
        <w:pStyle w:val="71"/>
        <w:spacing w:line="360" w:lineRule="auto"/>
        <w:rPr>
          <w:rFonts w:hAnsi="宋体"/>
          <w:b/>
          <w:bCs/>
          <w:color w:val="auto"/>
          <w:sz w:val="28"/>
          <w:szCs w:val="28"/>
        </w:rPr>
      </w:pPr>
      <w:r>
        <w:rPr>
          <w:rFonts w:hint="eastAsia" w:hAnsi="宋体"/>
          <w:b/>
          <w:bCs/>
          <w:color w:val="auto"/>
          <w:sz w:val="28"/>
          <w:szCs w:val="28"/>
        </w:rPr>
        <w:t>（1）弹性公网I</w:t>
      </w:r>
      <w:r>
        <w:rPr>
          <w:rFonts w:hAnsi="宋体"/>
          <w:b/>
          <w:bCs/>
          <w:color w:val="auto"/>
          <w:sz w:val="28"/>
          <w:szCs w:val="28"/>
        </w:rPr>
        <w:t>P</w:t>
      </w:r>
      <w:r>
        <w:rPr>
          <w:rFonts w:hint="eastAsia" w:hAnsi="宋体"/>
          <w:b/>
          <w:bCs/>
          <w:color w:val="auto"/>
          <w:sz w:val="28"/>
          <w:szCs w:val="28"/>
        </w:rPr>
        <w:t>（含带宽）</w:t>
      </w:r>
    </w:p>
    <w:p>
      <w:pPr>
        <w:snapToGrid w:val="0"/>
        <w:spacing w:line="360" w:lineRule="auto"/>
        <w:ind w:firstLine="420"/>
        <w:rPr>
          <w:rFonts w:ascii="宋体" w:hAnsi="宋体" w:cs="宋体"/>
          <w:kern w:val="0"/>
          <w:sz w:val="24"/>
        </w:rPr>
      </w:pPr>
      <w:r>
        <w:rPr>
          <w:rFonts w:hint="eastAsia" w:ascii="宋体" w:hAnsi="宋体" w:cs="宋体"/>
          <w:kern w:val="0"/>
          <w:sz w:val="24"/>
        </w:rPr>
        <w:t>弹性公网IP产品可以为客户提供合法公网IP地址资源，使客户能够灵活地为云主机、弹性负载均衡、云数据库、云堡垒机等分配公网IP地址，实现互联网访问，满足业务部署需求。弹性公网I</w:t>
      </w:r>
      <w:r>
        <w:rPr>
          <w:rFonts w:ascii="宋体" w:hAnsi="宋体" w:cs="宋体"/>
          <w:kern w:val="0"/>
          <w:sz w:val="24"/>
        </w:rPr>
        <w:t>P</w:t>
      </w:r>
      <w:r>
        <w:rPr>
          <w:rFonts w:hint="eastAsia" w:ascii="宋体" w:hAnsi="宋体" w:cs="宋体"/>
          <w:kern w:val="0"/>
          <w:sz w:val="24"/>
        </w:rPr>
        <w:t>服务满足如下指标。</w:t>
      </w:r>
    </w:p>
    <w:tbl>
      <w:tblPr>
        <w:tblStyle w:val="34"/>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640"/>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1" w:type="dxa"/>
            <w:vAlign w:val="center"/>
          </w:tcPr>
          <w:p>
            <w:pPr>
              <w:jc w:val="center"/>
              <w:textAlignment w:val="center"/>
              <w:rPr>
                <w:rFonts w:ascii="宋体" w:hAnsi="宋体" w:cs="宋体"/>
                <w:b/>
                <w:bCs/>
                <w:color w:val="000000"/>
                <w:sz w:val="22"/>
                <w:szCs w:val="22"/>
              </w:rPr>
            </w:pPr>
            <w:r>
              <w:rPr>
                <w:rFonts w:hint="eastAsia" w:ascii="宋体" w:hAnsi="宋体" w:cs="宋体"/>
                <w:b/>
                <w:bCs/>
                <w:color w:val="000000"/>
                <w:sz w:val="22"/>
                <w:szCs w:val="22"/>
              </w:rPr>
              <w:t>序号</w:t>
            </w:r>
          </w:p>
        </w:tc>
        <w:tc>
          <w:tcPr>
            <w:tcW w:w="1640" w:type="dxa"/>
            <w:vAlign w:val="center"/>
          </w:tcPr>
          <w:p>
            <w:pPr>
              <w:jc w:val="center"/>
              <w:textAlignment w:val="center"/>
              <w:rPr>
                <w:rFonts w:ascii="宋体" w:hAnsi="宋体" w:cs="宋体"/>
                <w:b/>
                <w:bCs/>
                <w:color w:val="000000"/>
                <w:sz w:val="22"/>
                <w:szCs w:val="22"/>
              </w:rPr>
            </w:pPr>
            <w:r>
              <w:rPr>
                <w:rFonts w:hint="eastAsia" w:ascii="宋体" w:hAnsi="宋体" w:cs="宋体"/>
                <w:b/>
                <w:bCs/>
                <w:color w:val="000000"/>
                <w:sz w:val="22"/>
                <w:szCs w:val="22"/>
              </w:rPr>
              <w:t>重要性</w:t>
            </w:r>
          </w:p>
        </w:tc>
        <w:tc>
          <w:tcPr>
            <w:tcW w:w="5744" w:type="dxa"/>
            <w:vAlign w:val="center"/>
          </w:tcPr>
          <w:p>
            <w:pPr>
              <w:jc w:val="center"/>
              <w:textAlignment w:val="center"/>
              <w:rPr>
                <w:rFonts w:ascii="宋体" w:hAnsi="宋体" w:cs="宋体"/>
                <w:color w:val="000000"/>
                <w:sz w:val="22"/>
                <w:szCs w:val="22"/>
              </w:rPr>
            </w:pPr>
            <w:r>
              <w:rPr>
                <w:rFonts w:hint="eastAsia" w:ascii="宋体" w:hAnsi="宋体" w:cs="宋体"/>
                <w:b/>
                <w:bCs/>
                <w:color w:val="000000"/>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1" w:type="dxa"/>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1640" w:type="dxa"/>
            <w:vAlign w:val="center"/>
          </w:tcPr>
          <w:p>
            <w:pPr>
              <w:jc w:val="center"/>
              <w:textAlignment w:val="center"/>
              <w:rPr>
                <w:rFonts w:ascii="宋体" w:hAnsi="宋体" w:cs="宋体"/>
                <w:b/>
                <w:bCs/>
                <w:color w:val="000000"/>
                <w:sz w:val="22"/>
                <w:szCs w:val="22"/>
              </w:rPr>
            </w:pPr>
            <w:r>
              <w:rPr>
                <w:rFonts w:hint="eastAsia" w:ascii="宋体" w:hAnsi="宋体" w:cs="宋体"/>
                <w:color w:val="000000"/>
                <w:sz w:val="22"/>
                <w:szCs w:val="22"/>
              </w:rPr>
              <w:t>◆</w:t>
            </w:r>
          </w:p>
        </w:tc>
        <w:tc>
          <w:tcPr>
            <w:tcW w:w="5744" w:type="dxa"/>
            <w:vAlign w:val="center"/>
          </w:tcPr>
          <w:p>
            <w:pPr>
              <w:spacing w:line="360" w:lineRule="auto"/>
              <w:jc w:val="left"/>
              <w:textAlignment w:val="center"/>
              <w:rPr>
                <w:rFonts w:ascii="宋体" w:hAnsi="宋体" w:cs="宋体"/>
                <w:color w:val="000000"/>
                <w:sz w:val="22"/>
                <w:szCs w:val="22"/>
              </w:rPr>
            </w:pPr>
            <w:r>
              <w:rPr>
                <w:rFonts w:hint="eastAsia" w:ascii="宋体" w:hAnsi="宋体" w:cs="宋体"/>
                <w:color w:val="000000"/>
                <w:sz w:val="22"/>
                <w:szCs w:val="22"/>
              </w:rPr>
              <w:t>可单独购买弹性公网IP资源，独立持有。可通过云平台控制台弹性公网IP查看页面，进行弹性公网IP与云主机、弹性负载均衡、云数据库、ha VIP、云堡垒机的绑定与解绑。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1" w:type="dxa"/>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1640" w:type="dxa"/>
            <w:vAlign w:val="center"/>
          </w:tcPr>
          <w:p>
            <w:pPr>
              <w:jc w:val="center"/>
              <w:textAlignment w:val="center"/>
              <w:rPr>
                <w:rFonts w:ascii="宋体" w:hAnsi="宋体" w:cs="宋体"/>
                <w:b/>
                <w:bCs/>
                <w:color w:val="000000"/>
                <w:sz w:val="22"/>
                <w:szCs w:val="22"/>
              </w:rPr>
            </w:pPr>
            <w:r>
              <w:rPr>
                <w:rFonts w:hint="eastAsia" w:ascii="宋体" w:hAnsi="宋体" w:cs="宋体"/>
                <w:color w:val="000000"/>
                <w:sz w:val="22"/>
                <w:szCs w:val="22"/>
              </w:rPr>
              <w:t>◆</w:t>
            </w:r>
          </w:p>
        </w:tc>
        <w:tc>
          <w:tcPr>
            <w:tcW w:w="5744" w:type="dxa"/>
            <w:vAlign w:val="center"/>
          </w:tcPr>
          <w:p>
            <w:pPr>
              <w:spacing w:line="360" w:lineRule="auto"/>
              <w:jc w:val="left"/>
              <w:textAlignment w:val="center"/>
              <w:rPr>
                <w:rFonts w:ascii="宋体" w:hAnsi="宋体" w:cs="宋体"/>
                <w:color w:val="000000"/>
                <w:sz w:val="22"/>
                <w:szCs w:val="22"/>
              </w:rPr>
            </w:pPr>
            <w:r>
              <w:rPr>
                <w:rFonts w:hint="eastAsia" w:ascii="宋体" w:hAnsi="宋体" w:cs="宋体"/>
                <w:color w:val="000000"/>
                <w:sz w:val="22"/>
                <w:szCs w:val="22"/>
              </w:rPr>
              <w:t>弹性公网IP的带宽支持不同规格，用户可以按需进行扩容或降配，。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1" w:type="dxa"/>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1640" w:type="dxa"/>
            <w:vAlign w:val="center"/>
          </w:tcPr>
          <w:p>
            <w:pPr>
              <w:jc w:val="center"/>
              <w:textAlignment w:val="center"/>
              <w:rPr>
                <w:rFonts w:ascii="宋体" w:hAnsi="宋体" w:cs="宋体"/>
                <w:b/>
                <w:bCs/>
                <w:color w:val="000000"/>
                <w:sz w:val="22"/>
                <w:szCs w:val="22"/>
              </w:rPr>
            </w:pPr>
          </w:p>
        </w:tc>
        <w:tc>
          <w:tcPr>
            <w:tcW w:w="5744" w:type="dxa"/>
            <w:vAlign w:val="center"/>
          </w:tcPr>
          <w:p>
            <w:pPr>
              <w:spacing w:line="360" w:lineRule="auto"/>
              <w:jc w:val="left"/>
              <w:textAlignment w:val="center"/>
              <w:rPr>
                <w:rFonts w:ascii="宋体" w:hAnsi="宋体" w:cs="宋体"/>
                <w:color w:val="000000"/>
                <w:sz w:val="22"/>
                <w:szCs w:val="22"/>
              </w:rPr>
            </w:pPr>
            <w:r>
              <w:rPr>
                <w:rFonts w:hint="eastAsia" w:ascii="宋体" w:hAnsi="宋体" w:cs="宋体"/>
                <w:color w:val="000000"/>
                <w:sz w:val="22"/>
                <w:szCs w:val="22"/>
              </w:rPr>
              <w:t>每条带宽的误差不超过5%，网络可用性达99.95%。</w:t>
            </w:r>
          </w:p>
        </w:tc>
      </w:tr>
    </w:tbl>
    <w:p>
      <w:pPr>
        <w:pStyle w:val="2"/>
        <w:ind w:firstLine="640"/>
      </w:pPr>
    </w:p>
    <w:p>
      <w:pPr>
        <w:pStyle w:val="71"/>
        <w:spacing w:line="360" w:lineRule="auto"/>
        <w:rPr>
          <w:rFonts w:hAnsi="宋体"/>
          <w:b/>
          <w:bCs/>
          <w:color w:val="auto"/>
          <w:sz w:val="28"/>
          <w:szCs w:val="28"/>
        </w:rPr>
      </w:pPr>
      <w:r>
        <w:rPr>
          <w:rFonts w:hint="eastAsia" w:hAnsi="宋体"/>
          <w:b/>
          <w:bCs/>
          <w:color w:val="auto"/>
          <w:sz w:val="28"/>
          <w:szCs w:val="28"/>
        </w:rPr>
        <w:t>（2）域名注册</w:t>
      </w:r>
    </w:p>
    <w:p>
      <w:pPr>
        <w:snapToGrid w:val="0"/>
        <w:spacing w:line="360" w:lineRule="auto"/>
        <w:ind w:firstLine="420"/>
        <w:rPr>
          <w:rFonts w:ascii="宋体" w:hAnsi="宋体" w:cs="宋体"/>
          <w:kern w:val="0"/>
          <w:sz w:val="24"/>
        </w:rPr>
      </w:pPr>
      <w:r>
        <w:rPr>
          <w:rFonts w:hint="eastAsia" w:ascii="宋体" w:hAnsi="宋体" w:cs="宋体"/>
          <w:kern w:val="0"/>
          <w:sz w:val="24"/>
        </w:rPr>
        <w:t>通过域名来提供网站、邮箱等业务服务，在云平台域名注册平台上注册一个专属域名。注册域名后，还需完成ICP备案、解析流程，最终域名可被访问并对外提供服务。</w:t>
      </w:r>
    </w:p>
    <w:p>
      <w:pPr>
        <w:snapToGrid w:val="0"/>
        <w:spacing w:line="360" w:lineRule="auto"/>
        <w:jc w:val="center"/>
        <w:rPr>
          <w:rFonts w:hAnsi="宋体"/>
          <w:b/>
          <w:bCs/>
          <w:szCs w:val="28"/>
        </w:rPr>
      </w:pPr>
      <w:r>
        <w:rPr>
          <w:rFonts w:ascii="Times New Roman" w:hAnsi="Times New Roman" w:eastAsia="宋体" w:cs="Times New Roman"/>
          <w:b/>
          <w:bCs/>
          <w:kern w:val="2"/>
          <w:sz w:val="28"/>
          <w:szCs w:val="28"/>
          <w:lang w:val="en-US" w:eastAsia="zh-CN" w:bidi="ar-SA"/>
        </w:rPr>
        <w:pict>
          <v:shape id="图片 1" o:spid="_x0000_s1026" type="#_x0000_t75" style="height:74.05pt;width:351.8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pStyle w:val="71"/>
        <w:spacing w:line="360" w:lineRule="auto"/>
        <w:rPr>
          <w:rFonts w:hAnsi="宋体"/>
          <w:b/>
          <w:bCs/>
          <w:color w:val="auto"/>
          <w:sz w:val="28"/>
          <w:szCs w:val="28"/>
        </w:rPr>
      </w:pPr>
      <w:r>
        <w:rPr>
          <w:rFonts w:hint="eastAsia" w:hAnsi="宋体"/>
          <w:b/>
          <w:bCs/>
          <w:color w:val="auto"/>
          <w:sz w:val="28"/>
          <w:szCs w:val="28"/>
        </w:rPr>
        <w:t>1</w:t>
      </w:r>
      <w:r>
        <w:rPr>
          <w:rFonts w:hAnsi="宋体"/>
          <w:b/>
          <w:bCs/>
          <w:color w:val="auto"/>
          <w:sz w:val="28"/>
          <w:szCs w:val="28"/>
        </w:rPr>
        <w:t xml:space="preserve">.1.4 </w:t>
      </w:r>
      <w:r>
        <w:rPr>
          <w:rFonts w:hint="eastAsia" w:hAnsi="宋体"/>
          <w:b/>
          <w:bCs/>
          <w:color w:val="auto"/>
          <w:sz w:val="28"/>
          <w:szCs w:val="28"/>
        </w:rPr>
        <w:t>云安全</w:t>
      </w:r>
    </w:p>
    <w:p>
      <w:pPr>
        <w:pStyle w:val="71"/>
        <w:numPr>
          <w:ilvl w:val="0"/>
          <w:numId w:val="4"/>
        </w:numPr>
        <w:spacing w:line="360" w:lineRule="auto"/>
        <w:rPr>
          <w:rFonts w:hAnsi="宋体"/>
          <w:b/>
          <w:bCs/>
          <w:color w:val="auto"/>
          <w:sz w:val="28"/>
          <w:szCs w:val="28"/>
        </w:rPr>
      </w:pPr>
      <w:r>
        <w:rPr>
          <w:rFonts w:hint="eastAsia" w:hAnsi="宋体"/>
          <w:b/>
          <w:bCs/>
          <w:color w:val="auto"/>
          <w:sz w:val="28"/>
          <w:szCs w:val="28"/>
        </w:rPr>
        <w:t>云安全中心</w:t>
      </w:r>
    </w:p>
    <w:p>
      <w:pPr>
        <w:snapToGrid w:val="0"/>
        <w:spacing w:line="360" w:lineRule="auto"/>
        <w:ind w:firstLine="420"/>
        <w:rPr>
          <w:rFonts w:ascii="宋体" w:hAnsi="宋体" w:cs="宋体"/>
          <w:kern w:val="0"/>
          <w:sz w:val="24"/>
        </w:rPr>
      </w:pPr>
      <w:r>
        <w:rPr>
          <w:rFonts w:hint="eastAsia" w:ascii="宋体" w:hAnsi="宋体" w:cs="宋体"/>
          <w:kern w:val="0"/>
          <w:sz w:val="24"/>
        </w:rPr>
        <w:t>云安全中心提供统一的资产安全状况展示，实时安全威胁检测与响应功能。通过在服务器安装Agent方式，为您提供防勒索、漏洞检测、防病毒、防暴力破解、合规基线检查、云平台配置检测等多种安全检测能力，为资产上云提供有力的安全保障，并满足监管合规要求。云安全中心的主要指标如下：</w:t>
      </w:r>
    </w:p>
    <w:tbl>
      <w:tblPr>
        <w:tblStyle w:val="34"/>
        <w:tblpPr w:leftFromText="180" w:rightFromText="180" w:vertAnchor="text" w:horzAnchor="page" w:tblpX="2104" w:tblpY="546"/>
        <w:tblOverlap w:val="neve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640"/>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序号</w:t>
            </w:r>
          </w:p>
        </w:tc>
        <w:tc>
          <w:tcPr>
            <w:tcW w:w="1640" w:type="dxa"/>
            <w:vAlign w:val="center"/>
          </w:tcPr>
          <w:p>
            <w:pPr>
              <w:rPr>
                <w:rFonts w:ascii="宋体" w:hAnsi="宋体"/>
                <w:sz w:val="22"/>
                <w:szCs w:val="22"/>
              </w:rPr>
            </w:pPr>
            <w:r>
              <w:rPr>
                <w:rFonts w:hint="eastAsia" w:ascii="宋体" w:hAnsi="宋体"/>
                <w:sz w:val="22"/>
                <w:szCs w:val="22"/>
              </w:rPr>
              <w:t>重要性</w:t>
            </w:r>
          </w:p>
        </w:tc>
        <w:tc>
          <w:tcPr>
            <w:tcW w:w="6453" w:type="dxa"/>
            <w:vAlign w:val="center"/>
          </w:tcPr>
          <w:p>
            <w:pPr>
              <w:rPr>
                <w:rFonts w:ascii="宋体" w:hAnsi="宋体"/>
                <w:sz w:val="22"/>
                <w:szCs w:val="22"/>
              </w:rPr>
            </w:pPr>
            <w:r>
              <w:rPr>
                <w:rFonts w:hint="eastAsia" w:ascii="宋体" w:hAnsi="宋体"/>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1</w:t>
            </w:r>
          </w:p>
        </w:tc>
        <w:tc>
          <w:tcPr>
            <w:tcW w:w="1640" w:type="dxa"/>
            <w:vAlign w:val="center"/>
          </w:tcPr>
          <w:p>
            <w:pPr>
              <w:rPr>
                <w:rFonts w:ascii="宋体" w:hAnsi="宋体"/>
                <w:sz w:val="22"/>
                <w:szCs w:val="22"/>
              </w:rPr>
            </w:pPr>
          </w:p>
        </w:tc>
        <w:tc>
          <w:tcPr>
            <w:tcW w:w="6453" w:type="dxa"/>
            <w:vAlign w:val="center"/>
          </w:tcPr>
          <w:p>
            <w:pPr>
              <w:rPr>
                <w:rFonts w:ascii="宋体" w:hAnsi="宋体"/>
                <w:sz w:val="22"/>
                <w:szCs w:val="22"/>
              </w:rPr>
            </w:pPr>
            <w:r>
              <w:rPr>
                <w:rFonts w:hint="eastAsia" w:ascii="宋体" w:hAnsi="宋体"/>
                <w:sz w:val="22"/>
                <w:szCs w:val="22"/>
              </w:rPr>
              <w:t>提供安全总览功能，可视化展示用户所有资产信息及整体安全状况。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2</w:t>
            </w:r>
          </w:p>
        </w:tc>
        <w:tc>
          <w:tcPr>
            <w:tcW w:w="1640" w:type="dxa"/>
            <w:vAlign w:val="center"/>
          </w:tcPr>
          <w:p>
            <w:pPr>
              <w:rPr>
                <w:rFonts w:ascii="宋体" w:hAnsi="宋体"/>
                <w:sz w:val="22"/>
                <w:szCs w:val="22"/>
              </w:rPr>
            </w:pPr>
            <w:r>
              <w:rPr>
                <w:rFonts w:hint="eastAsia" w:ascii="宋体" w:hAnsi="宋体"/>
                <w:sz w:val="22"/>
                <w:szCs w:val="22"/>
              </w:rPr>
              <w:t>◆</w:t>
            </w:r>
          </w:p>
        </w:tc>
        <w:tc>
          <w:tcPr>
            <w:tcW w:w="6453" w:type="dxa"/>
            <w:vAlign w:val="center"/>
          </w:tcPr>
          <w:p>
            <w:pPr>
              <w:rPr>
                <w:rFonts w:ascii="宋体" w:hAnsi="宋体"/>
                <w:sz w:val="22"/>
                <w:szCs w:val="22"/>
              </w:rPr>
            </w:pPr>
            <w:r>
              <w:rPr>
                <w:rFonts w:hint="eastAsia" w:ascii="宋体" w:hAnsi="宋体"/>
                <w:sz w:val="22"/>
                <w:szCs w:val="22"/>
              </w:rPr>
              <w:t>提供防暴力破解、动态蜜罐功能，实时监控疑似黑客攻击行为。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3</w:t>
            </w:r>
          </w:p>
        </w:tc>
        <w:tc>
          <w:tcPr>
            <w:tcW w:w="1640" w:type="dxa"/>
            <w:vAlign w:val="center"/>
          </w:tcPr>
          <w:p>
            <w:pPr>
              <w:rPr>
                <w:rFonts w:ascii="宋体" w:hAnsi="宋体"/>
                <w:sz w:val="22"/>
                <w:szCs w:val="22"/>
              </w:rPr>
            </w:pPr>
            <w:r>
              <w:rPr>
                <w:rFonts w:hint="eastAsia" w:ascii="宋体" w:hAnsi="宋体"/>
                <w:sz w:val="22"/>
                <w:szCs w:val="22"/>
              </w:rPr>
              <w:t>◆</w:t>
            </w:r>
          </w:p>
        </w:tc>
        <w:tc>
          <w:tcPr>
            <w:tcW w:w="6453" w:type="dxa"/>
            <w:vAlign w:val="center"/>
          </w:tcPr>
          <w:p>
            <w:pPr>
              <w:rPr>
                <w:rFonts w:ascii="宋体" w:hAnsi="宋体"/>
                <w:sz w:val="22"/>
                <w:szCs w:val="22"/>
              </w:rPr>
            </w:pPr>
            <w:r>
              <w:rPr>
                <w:rFonts w:hint="eastAsia" w:ascii="宋体" w:hAnsi="宋体"/>
                <w:sz w:val="22"/>
                <w:szCs w:val="22"/>
              </w:rPr>
              <w:t>清点用户已授权主机上的系统端口、进程、软件、账号、数据库资产指纹信息。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4</w:t>
            </w:r>
          </w:p>
        </w:tc>
        <w:tc>
          <w:tcPr>
            <w:tcW w:w="1640" w:type="dxa"/>
            <w:vAlign w:val="center"/>
          </w:tcPr>
          <w:p>
            <w:pPr>
              <w:rPr>
                <w:rFonts w:ascii="宋体" w:hAnsi="宋体"/>
                <w:sz w:val="22"/>
                <w:szCs w:val="22"/>
              </w:rPr>
            </w:pPr>
          </w:p>
        </w:tc>
        <w:tc>
          <w:tcPr>
            <w:tcW w:w="6453" w:type="dxa"/>
            <w:vAlign w:val="center"/>
          </w:tcPr>
          <w:p>
            <w:pPr>
              <w:rPr>
                <w:rFonts w:ascii="宋体" w:hAnsi="宋体"/>
                <w:sz w:val="22"/>
                <w:szCs w:val="22"/>
              </w:rPr>
            </w:pPr>
            <w:r>
              <w:rPr>
                <w:rFonts w:hint="eastAsia" w:ascii="宋体" w:hAnsi="宋体"/>
                <w:sz w:val="22"/>
                <w:szCs w:val="22"/>
              </w:rPr>
              <w:t>提供基线、漏洞检测、云平台配置检测等功能，提前发现资产存在的安全风险。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5</w:t>
            </w:r>
          </w:p>
        </w:tc>
        <w:tc>
          <w:tcPr>
            <w:tcW w:w="1640" w:type="dxa"/>
            <w:vAlign w:val="center"/>
          </w:tcPr>
          <w:p>
            <w:pPr>
              <w:rPr>
                <w:rFonts w:ascii="宋体" w:hAnsi="宋体"/>
                <w:sz w:val="22"/>
                <w:szCs w:val="22"/>
              </w:rPr>
            </w:pPr>
            <w:r>
              <w:rPr>
                <w:rFonts w:hint="eastAsia" w:ascii="宋体" w:hAnsi="宋体"/>
                <w:sz w:val="22"/>
                <w:szCs w:val="22"/>
              </w:rPr>
              <w:t>◆</w:t>
            </w:r>
          </w:p>
        </w:tc>
        <w:tc>
          <w:tcPr>
            <w:tcW w:w="6453" w:type="dxa"/>
            <w:vAlign w:val="center"/>
          </w:tcPr>
          <w:p>
            <w:pPr>
              <w:rPr>
                <w:rFonts w:ascii="宋体" w:hAnsi="宋体"/>
                <w:sz w:val="22"/>
                <w:szCs w:val="22"/>
              </w:rPr>
            </w:pPr>
            <w:r>
              <w:rPr>
                <w:rFonts w:hint="eastAsia" w:ascii="宋体" w:hAnsi="宋体"/>
                <w:sz w:val="22"/>
                <w:szCs w:val="22"/>
              </w:rPr>
              <w:t>提供异常登录告警、Web后门、 系统后门检测等入侵防护功能，发现资产存在的威胁风险。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6</w:t>
            </w:r>
          </w:p>
        </w:tc>
        <w:tc>
          <w:tcPr>
            <w:tcW w:w="1640" w:type="dxa"/>
            <w:vAlign w:val="center"/>
          </w:tcPr>
          <w:p>
            <w:pPr>
              <w:rPr>
                <w:rFonts w:ascii="宋体" w:hAnsi="宋体"/>
                <w:sz w:val="22"/>
                <w:szCs w:val="22"/>
              </w:rPr>
            </w:pPr>
          </w:p>
        </w:tc>
        <w:tc>
          <w:tcPr>
            <w:tcW w:w="6453" w:type="dxa"/>
            <w:vAlign w:val="center"/>
          </w:tcPr>
          <w:p>
            <w:pPr>
              <w:rPr>
                <w:rFonts w:ascii="宋体" w:hAnsi="宋体"/>
                <w:sz w:val="22"/>
                <w:szCs w:val="22"/>
              </w:rPr>
            </w:pPr>
            <w:r>
              <w:rPr>
                <w:rFonts w:hint="eastAsia" w:ascii="宋体" w:hAnsi="宋体"/>
                <w:sz w:val="22"/>
                <w:szCs w:val="22"/>
              </w:rPr>
              <w:t>提供安全告警、安全报告等态势分析，可视化展示风险情况。</w:t>
            </w:r>
          </w:p>
        </w:tc>
      </w:tr>
    </w:tbl>
    <w:p>
      <w:pPr>
        <w:pStyle w:val="71"/>
        <w:numPr>
          <w:ilvl w:val="0"/>
          <w:numId w:val="4"/>
        </w:numPr>
        <w:spacing w:line="360" w:lineRule="auto"/>
        <w:rPr>
          <w:rFonts w:hAnsi="宋体"/>
          <w:b/>
          <w:bCs/>
          <w:color w:val="auto"/>
          <w:sz w:val="28"/>
          <w:szCs w:val="28"/>
        </w:rPr>
      </w:pPr>
      <w:r>
        <w:rPr>
          <w:rFonts w:hint="eastAsia" w:hAnsi="宋体"/>
          <w:b/>
          <w:bCs/>
          <w:color w:val="auto"/>
          <w:sz w:val="28"/>
          <w:szCs w:val="28"/>
        </w:rPr>
        <w:t>云下一代防火墙</w:t>
      </w:r>
    </w:p>
    <w:p>
      <w:pPr>
        <w:snapToGrid w:val="0"/>
        <w:spacing w:line="360" w:lineRule="auto"/>
        <w:ind w:firstLine="420"/>
        <w:rPr>
          <w:rFonts w:ascii="宋体" w:hAnsi="宋体" w:cs="宋体"/>
          <w:kern w:val="0"/>
          <w:sz w:val="24"/>
        </w:rPr>
      </w:pPr>
    </w:p>
    <w:p>
      <w:pPr>
        <w:snapToGrid w:val="0"/>
        <w:spacing w:line="360" w:lineRule="auto"/>
        <w:ind w:firstLine="420"/>
        <w:rPr>
          <w:rFonts w:ascii="宋体" w:hAnsi="宋体" w:cs="宋体"/>
          <w:kern w:val="0"/>
          <w:sz w:val="24"/>
        </w:rPr>
      </w:pPr>
    </w:p>
    <w:p>
      <w:pPr>
        <w:snapToGrid w:val="0"/>
        <w:spacing w:line="360" w:lineRule="auto"/>
        <w:ind w:firstLine="420"/>
        <w:rPr>
          <w:rFonts w:ascii="宋体" w:hAnsi="宋体" w:cs="宋体"/>
          <w:kern w:val="0"/>
          <w:sz w:val="24"/>
        </w:rPr>
      </w:pPr>
      <w:r>
        <w:rPr>
          <w:rFonts w:hint="eastAsia" w:ascii="宋体" w:hAnsi="宋体" w:cs="宋体"/>
          <w:kern w:val="0"/>
          <w:sz w:val="24"/>
        </w:rPr>
        <w:t>云下一代防火墙可提供互联网边界和内网VPC边界的流量管理与安全防护，具备安全访问控制、入侵防御、病毒防御、僵尸网络防御等能力，是网络边界防护和等保合规工具。云下一代防火墙主要指标如下：</w:t>
      </w:r>
    </w:p>
    <w:tbl>
      <w:tblPr>
        <w:tblStyle w:val="34"/>
        <w:tblpPr w:leftFromText="180" w:rightFromText="180" w:vertAnchor="text" w:horzAnchor="page" w:tblpX="2104" w:tblpY="546"/>
        <w:tblOverlap w:val="never"/>
        <w:tblW w:w="8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640"/>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序号</w:t>
            </w:r>
          </w:p>
        </w:tc>
        <w:tc>
          <w:tcPr>
            <w:tcW w:w="1640" w:type="dxa"/>
            <w:vAlign w:val="center"/>
          </w:tcPr>
          <w:p>
            <w:pPr>
              <w:rPr>
                <w:rFonts w:ascii="宋体" w:hAnsi="宋体"/>
                <w:sz w:val="22"/>
                <w:szCs w:val="22"/>
              </w:rPr>
            </w:pPr>
            <w:r>
              <w:rPr>
                <w:rFonts w:hint="eastAsia" w:ascii="宋体" w:hAnsi="宋体"/>
                <w:sz w:val="22"/>
                <w:szCs w:val="22"/>
              </w:rPr>
              <w:t>重要性</w:t>
            </w:r>
          </w:p>
        </w:tc>
        <w:tc>
          <w:tcPr>
            <w:tcW w:w="6028" w:type="dxa"/>
            <w:vAlign w:val="center"/>
          </w:tcPr>
          <w:p>
            <w:pPr>
              <w:rPr>
                <w:rFonts w:ascii="宋体" w:hAnsi="宋体"/>
                <w:sz w:val="22"/>
                <w:szCs w:val="22"/>
              </w:rPr>
            </w:pPr>
            <w:r>
              <w:rPr>
                <w:rFonts w:hint="eastAsia" w:ascii="宋体" w:hAnsi="宋体"/>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1</w:t>
            </w:r>
          </w:p>
        </w:tc>
        <w:tc>
          <w:tcPr>
            <w:tcW w:w="1640" w:type="dxa"/>
            <w:vAlign w:val="center"/>
          </w:tcPr>
          <w:p>
            <w:pPr>
              <w:rPr>
                <w:rFonts w:ascii="宋体" w:hAnsi="宋体"/>
                <w:sz w:val="22"/>
                <w:szCs w:val="22"/>
              </w:rPr>
            </w:pPr>
          </w:p>
        </w:tc>
        <w:tc>
          <w:tcPr>
            <w:tcW w:w="6028" w:type="dxa"/>
            <w:vAlign w:val="center"/>
          </w:tcPr>
          <w:p>
            <w:pPr>
              <w:rPr>
                <w:rFonts w:ascii="宋体" w:hAnsi="宋体"/>
                <w:sz w:val="22"/>
                <w:szCs w:val="22"/>
              </w:rPr>
            </w:pPr>
            <w:r>
              <w:rPr>
                <w:rFonts w:hint="eastAsia" w:ascii="宋体" w:hAnsi="宋体"/>
                <w:sz w:val="22"/>
                <w:szCs w:val="22"/>
              </w:rPr>
              <w:t>访问控制功能，包括数据报文检测、ACL策略异常智能分析等。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2</w:t>
            </w:r>
          </w:p>
        </w:tc>
        <w:tc>
          <w:tcPr>
            <w:tcW w:w="1640" w:type="dxa"/>
            <w:vAlign w:val="center"/>
          </w:tcPr>
          <w:p>
            <w:pPr>
              <w:rPr>
                <w:rFonts w:ascii="宋体" w:hAnsi="宋体"/>
                <w:sz w:val="22"/>
                <w:szCs w:val="22"/>
              </w:rPr>
            </w:pPr>
            <w:r>
              <w:rPr>
                <w:rFonts w:hint="eastAsia" w:ascii="宋体" w:hAnsi="宋体"/>
                <w:sz w:val="22"/>
                <w:szCs w:val="22"/>
              </w:rPr>
              <w:t>◆</w:t>
            </w:r>
          </w:p>
        </w:tc>
        <w:tc>
          <w:tcPr>
            <w:tcW w:w="6028" w:type="dxa"/>
            <w:vAlign w:val="center"/>
          </w:tcPr>
          <w:p>
            <w:pPr>
              <w:rPr>
                <w:rFonts w:ascii="宋体" w:hAnsi="宋体"/>
                <w:sz w:val="22"/>
                <w:szCs w:val="22"/>
              </w:rPr>
            </w:pPr>
            <w:r>
              <w:rPr>
                <w:rFonts w:hint="eastAsia" w:ascii="宋体" w:hAnsi="宋体"/>
                <w:sz w:val="22"/>
                <w:szCs w:val="22"/>
              </w:rPr>
              <w:t>智能控制功能，包括应用控制、地域访问控制、地域访问控制、流量管理。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3</w:t>
            </w:r>
          </w:p>
        </w:tc>
        <w:tc>
          <w:tcPr>
            <w:tcW w:w="1640" w:type="dxa"/>
            <w:vAlign w:val="center"/>
          </w:tcPr>
          <w:p>
            <w:pPr>
              <w:rPr>
                <w:rFonts w:ascii="宋体" w:hAnsi="宋体"/>
                <w:sz w:val="22"/>
                <w:szCs w:val="22"/>
              </w:rPr>
            </w:pPr>
            <w:r>
              <w:rPr>
                <w:rFonts w:hint="eastAsia" w:ascii="宋体" w:hAnsi="宋体"/>
                <w:sz w:val="22"/>
                <w:szCs w:val="22"/>
              </w:rPr>
              <w:t>◆</w:t>
            </w:r>
          </w:p>
        </w:tc>
        <w:tc>
          <w:tcPr>
            <w:tcW w:w="6028" w:type="dxa"/>
            <w:vAlign w:val="center"/>
          </w:tcPr>
          <w:p>
            <w:pPr>
              <w:rPr>
                <w:rFonts w:ascii="宋体" w:hAnsi="宋体"/>
                <w:sz w:val="22"/>
                <w:szCs w:val="22"/>
              </w:rPr>
            </w:pPr>
            <w:r>
              <w:rPr>
                <w:rFonts w:hint="eastAsia" w:ascii="宋体" w:hAnsi="宋体"/>
                <w:sz w:val="22"/>
                <w:szCs w:val="22"/>
              </w:rPr>
              <w:t>Web扫描功能，丰富的扫描插件、智能网站指纹识别、专家级漏洞分析和修复建议。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4</w:t>
            </w:r>
          </w:p>
        </w:tc>
        <w:tc>
          <w:tcPr>
            <w:tcW w:w="1640" w:type="dxa"/>
            <w:vAlign w:val="center"/>
          </w:tcPr>
          <w:p>
            <w:pPr>
              <w:rPr>
                <w:rFonts w:ascii="宋体" w:hAnsi="宋体"/>
                <w:sz w:val="22"/>
                <w:szCs w:val="22"/>
              </w:rPr>
            </w:pPr>
          </w:p>
        </w:tc>
        <w:tc>
          <w:tcPr>
            <w:tcW w:w="6028" w:type="dxa"/>
            <w:vAlign w:val="center"/>
          </w:tcPr>
          <w:p>
            <w:pPr>
              <w:rPr>
                <w:rFonts w:ascii="宋体" w:hAnsi="宋体"/>
                <w:sz w:val="22"/>
                <w:szCs w:val="22"/>
              </w:rPr>
            </w:pPr>
            <w:r>
              <w:rPr>
                <w:rFonts w:hint="eastAsia" w:ascii="宋体" w:hAnsi="宋体"/>
                <w:sz w:val="22"/>
                <w:szCs w:val="22"/>
              </w:rPr>
              <w:t>病毒防护功能，多协议并行解析、智能学习病毒、主动拦截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5</w:t>
            </w:r>
          </w:p>
        </w:tc>
        <w:tc>
          <w:tcPr>
            <w:tcW w:w="1640" w:type="dxa"/>
            <w:vAlign w:val="center"/>
          </w:tcPr>
          <w:p>
            <w:pPr>
              <w:rPr>
                <w:rFonts w:ascii="宋体" w:hAnsi="宋体"/>
                <w:sz w:val="22"/>
                <w:szCs w:val="22"/>
              </w:rPr>
            </w:pPr>
            <w:r>
              <w:rPr>
                <w:rFonts w:hint="eastAsia" w:ascii="宋体" w:hAnsi="宋体"/>
                <w:sz w:val="22"/>
                <w:szCs w:val="22"/>
              </w:rPr>
              <w:t>◆</w:t>
            </w:r>
          </w:p>
        </w:tc>
        <w:tc>
          <w:tcPr>
            <w:tcW w:w="6028" w:type="dxa"/>
            <w:vAlign w:val="center"/>
          </w:tcPr>
          <w:p>
            <w:pPr>
              <w:rPr>
                <w:rFonts w:ascii="宋体" w:hAnsi="宋体"/>
                <w:sz w:val="22"/>
                <w:szCs w:val="22"/>
              </w:rPr>
            </w:pPr>
            <w:r>
              <w:rPr>
                <w:rFonts w:hint="eastAsia" w:ascii="宋体" w:hAnsi="宋体"/>
                <w:sz w:val="22"/>
                <w:szCs w:val="22"/>
              </w:rPr>
              <w:t>持续检测及响应功能，持续检测及响应、策略自动生成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6</w:t>
            </w:r>
          </w:p>
        </w:tc>
        <w:tc>
          <w:tcPr>
            <w:tcW w:w="1640" w:type="dxa"/>
            <w:vAlign w:val="center"/>
          </w:tcPr>
          <w:p>
            <w:pPr>
              <w:rPr>
                <w:rFonts w:ascii="宋体" w:hAnsi="宋体"/>
                <w:sz w:val="22"/>
                <w:szCs w:val="22"/>
              </w:rPr>
            </w:pPr>
          </w:p>
        </w:tc>
        <w:tc>
          <w:tcPr>
            <w:tcW w:w="6028" w:type="dxa"/>
            <w:vAlign w:val="center"/>
          </w:tcPr>
          <w:p>
            <w:pPr>
              <w:rPr>
                <w:rFonts w:ascii="宋体" w:hAnsi="宋体"/>
                <w:sz w:val="22"/>
                <w:szCs w:val="22"/>
              </w:rPr>
            </w:pPr>
            <w:r>
              <w:rPr>
                <w:rFonts w:hint="eastAsia" w:ascii="宋体" w:hAnsi="宋体"/>
                <w:sz w:val="22"/>
                <w:szCs w:val="22"/>
              </w:rPr>
              <w:t>路由功能，云下一代防火墙可以实现静态路由、默认路由、浮动静态路由等基础功能，同时能够实现如BGP、RIP、OSPF等动态路由协议，并完美支持策略路由、多播路由等功能。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7</w:t>
            </w:r>
          </w:p>
        </w:tc>
        <w:tc>
          <w:tcPr>
            <w:tcW w:w="1640" w:type="dxa"/>
            <w:vAlign w:val="center"/>
          </w:tcPr>
          <w:p>
            <w:pPr>
              <w:rPr>
                <w:rFonts w:ascii="宋体" w:hAnsi="宋体"/>
                <w:sz w:val="22"/>
                <w:szCs w:val="22"/>
              </w:rPr>
            </w:pPr>
          </w:p>
        </w:tc>
        <w:tc>
          <w:tcPr>
            <w:tcW w:w="6028" w:type="dxa"/>
            <w:vAlign w:val="center"/>
          </w:tcPr>
          <w:p>
            <w:pPr>
              <w:rPr>
                <w:rFonts w:ascii="宋体" w:hAnsi="宋体"/>
                <w:sz w:val="22"/>
                <w:szCs w:val="22"/>
              </w:rPr>
            </w:pPr>
            <w:r>
              <w:rPr>
                <w:rFonts w:hint="eastAsia" w:ascii="宋体" w:hAnsi="宋体"/>
                <w:sz w:val="22"/>
                <w:szCs w:val="22"/>
              </w:rPr>
              <w:t>云下一代防火墙根据用户VPN常见使用场景，支持多种VPN隧道业务，包括IPSec、GRE、 SSL VPN等。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8</w:t>
            </w:r>
          </w:p>
        </w:tc>
        <w:tc>
          <w:tcPr>
            <w:tcW w:w="1640" w:type="dxa"/>
            <w:vAlign w:val="center"/>
          </w:tcPr>
          <w:p>
            <w:pPr>
              <w:rPr>
                <w:rFonts w:ascii="宋体" w:hAnsi="宋体"/>
                <w:sz w:val="22"/>
                <w:szCs w:val="22"/>
              </w:rPr>
            </w:pPr>
          </w:p>
        </w:tc>
        <w:tc>
          <w:tcPr>
            <w:tcW w:w="6028" w:type="dxa"/>
            <w:vAlign w:val="center"/>
          </w:tcPr>
          <w:p>
            <w:pPr>
              <w:rPr>
                <w:rFonts w:ascii="宋体" w:hAnsi="宋体"/>
                <w:sz w:val="22"/>
                <w:szCs w:val="22"/>
              </w:rPr>
            </w:pPr>
            <w:r>
              <w:rPr>
                <w:rFonts w:hint="eastAsia" w:ascii="宋体" w:hAnsi="宋体"/>
                <w:sz w:val="22"/>
                <w:szCs w:val="22"/>
              </w:rPr>
              <w:t>运维管理，产品信息监控、安全日志、安全风险报表</w:t>
            </w:r>
          </w:p>
        </w:tc>
      </w:tr>
    </w:tbl>
    <w:p>
      <w:pPr>
        <w:pStyle w:val="71"/>
        <w:numPr>
          <w:ilvl w:val="0"/>
          <w:numId w:val="4"/>
        </w:numPr>
        <w:spacing w:line="360" w:lineRule="auto"/>
        <w:rPr>
          <w:rFonts w:hAnsi="宋体"/>
          <w:b/>
          <w:bCs/>
          <w:color w:val="auto"/>
          <w:sz w:val="28"/>
          <w:szCs w:val="28"/>
        </w:rPr>
      </w:pPr>
      <w:r>
        <w:rPr>
          <w:rFonts w:hint="eastAsia" w:hAnsi="宋体"/>
          <w:b/>
          <w:bCs/>
          <w:color w:val="auto"/>
          <w:sz w:val="28"/>
          <w:szCs w:val="28"/>
        </w:rPr>
        <w:t>云堡垒机</w:t>
      </w:r>
    </w:p>
    <w:p>
      <w:pPr>
        <w:snapToGrid w:val="0"/>
        <w:spacing w:line="360" w:lineRule="auto"/>
        <w:ind w:firstLine="420"/>
        <w:rPr>
          <w:rFonts w:ascii="宋体" w:hAnsi="宋体" w:cs="宋体"/>
          <w:kern w:val="0"/>
          <w:sz w:val="24"/>
        </w:rPr>
      </w:pPr>
    </w:p>
    <w:p>
      <w:pPr>
        <w:snapToGrid w:val="0"/>
        <w:spacing w:line="360" w:lineRule="auto"/>
        <w:ind w:firstLine="420"/>
        <w:rPr>
          <w:rFonts w:ascii="宋体" w:hAnsi="宋体" w:cs="宋体"/>
          <w:kern w:val="0"/>
          <w:sz w:val="24"/>
        </w:rPr>
      </w:pPr>
      <w:r>
        <w:rPr>
          <w:rFonts w:hint="eastAsia" w:ascii="宋体" w:hAnsi="宋体" w:cs="宋体"/>
          <w:kern w:val="0"/>
          <w:sz w:val="24"/>
        </w:rPr>
        <w:t>云堡垒机为云资源安全管理平台，帮助用户更加精细的管理云上资产，实现对云上资产运维过程的事前规划、事中控制和事后审计，同时，云平台堡垒机还支持自动化运维、资产拓扑发现、工单审批等功能，帮助用户建立完善的运维管理与内控体系，建立安全、高效、可控的运维管理机制。</w:t>
      </w:r>
    </w:p>
    <w:p>
      <w:pPr>
        <w:snapToGrid w:val="0"/>
        <w:spacing w:line="360" w:lineRule="auto"/>
        <w:ind w:firstLine="420"/>
        <w:jc w:val="center"/>
        <w:rPr>
          <w:rFonts w:ascii="宋体" w:hAnsi="宋体" w:cs="宋体"/>
          <w:kern w:val="0"/>
          <w:sz w:val="24"/>
        </w:rPr>
      </w:pPr>
      <w:r>
        <w:rPr>
          <w:rFonts w:ascii="宋体" w:hAnsi="宋体" w:eastAsia="宋体" w:cs="宋体"/>
          <w:kern w:val="0"/>
          <w:sz w:val="24"/>
          <w:szCs w:val="24"/>
          <w:lang w:val="en-US" w:eastAsia="zh-CN" w:bidi="ar-SA"/>
        </w:rPr>
        <w:pict>
          <v:shape id="图片 16" o:spid="_x0000_s1027" type="#_x0000_t75" style="height:185.45pt;width:277.8pt;rotation:0f;" o:ole="f" fillcolor="#FFFFFF" filled="f" o:preferrelative="t" stroked="f" coordorigin="0,0" coordsize="21600,21600">
            <v:fill on="f" color2="#FFFFFF" focus="0%"/>
            <v:imagedata cropright="2368f" gain="65536f" blacklevel="0f" gamma="0" o:title="" r:id="rId13"/>
            <o:lock v:ext="edit" position="f" selection="f" grouping="f" rotation="f" cropping="f" text="f" aspectratio="t"/>
            <w10:wrap type="none"/>
            <w10:anchorlock/>
          </v:shape>
        </w:pict>
      </w:r>
    </w:p>
    <w:p>
      <w:pPr>
        <w:snapToGrid w:val="0"/>
        <w:spacing w:line="360" w:lineRule="auto"/>
        <w:ind w:firstLine="420"/>
        <w:rPr>
          <w:rFonts w:ascii="宋体" w:hAnsi="宋体" w:cs="宋体"/>
          <w:kern w:val="0"/>
          <w:sz w:val="24"/>
        </w:rPr>
      </w:pPr>
      <w:r>
        <w:rPr>
          <w:rFonts w:hint="eastAsia" w:ascii="宋体" w:hAnsi="宋体" w:cs="宋体"/>
          <w:kern w:val="0"/>
          <w:sz w:val="24"/>
        </w:rPr>
        <w:t>云堡垒机的主要技术功能指标如下：</w:t>
      </w:r>
    </w:p>
    <w:tbl>
      <w:tblPr>
        <w:tblStyle w:val="34"/>
        <w:tblpPr w:leftFromText="180" w:rightFromText="180" w:vertAnchor="text" w:horzAnchor="page" w:tblpX="2104" w:tblpY="546"/>
        <w:tblOverlap w:val="never"/>
        <w:tblW w:w="8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640"/>
        <w:gridCol w:w="5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序号</w:t>
            </w:r>
          </w:p>
        </w:tc>
        <w:tc>
          <w:tcPr>
            <w:tcW w:w="1640" w:type="dxa"/>
            <w:vAlign w:val="center"/>
          </w:tcPr>
          <w:p>
            <w:pPr>
              <w:rPr>
                <w:rFonts w:ascii="宋体" w:hAnsi="宋体"/>
                <w:sz w:val="22"/>
                <w:szCs w:val="22"/>
              </w:rPr>
            </w:pPr>
            <w:r>
              <w:rPr>
                <w:rFonts w:hint="eastAsia" w:ascii="宋体" w:hAnsi="宋体"/>
                <w:sz w:val="22"/>
                <w:szCs w:val="22"/>
              </w:rPr>
              <w:t>重要性</w:t>
            </w:r>
          </w:p>
        </w:tc>
        <w:tc>
          <w:tcPr>
            <w:tcW w:w="5886" w:type="dxa"/>
            <w:vAlign w:val="center"/>
          </w:tcPr>
          <w:p>
            <w:pPr>
              <w:rPr>
                <w:rFonts w:ascii="宋体" w:hAnsi="宋体"/>
                <w:sz w:val="22"/>
                <w:szCs w:val="22"/>
              </w:rPr>
            </w:pPr>
            <w:r>
              <w:rPr>
                <w:rFonts w:hint="eastAsia" w:ascii="宋体" w:hAnsi="宋体"/>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1</w:t>
            </w:r>
          </w:p>
        </w:tc>
        <w:tc>
          <w:tcPr>
            <w:tcW w:w="1640" w:type="dxa"/>
            <w:vAlign w:val="center"/>
          </w:tcPr>
          <w:p>
            <w:pPr>
              <w:rPr>
                <w:rFonts w:ascii="宋体" w:hAnsi="宋体"/>
                <w:sz w:val="22"/>
                <w:szCs w:val="22"/>
              </w:rPr>
            </w:pPr>
          </w:p>
        </w:tc>
        <w:tc>
          <w:tcPr>
            <w:tcW w:w="5886" w:type="dxa"/>
            <w:vAlign w:val="center"/>
          </w:tcPr>
          <w:p>
            <w:pPr>
              <w:rPr>
                <w:rFonts w:ascii="宋体" w:hAnsi="宋体"/>
                <w:sz w:val="22"/>
                <w:szCs w:val="22"/>
              </w:rPr>
            </w:pPr>
            <w:r>
              <w:rPr>
                <w:rFonts w:hint="eastAsia" w:ascii="宋体" w:hAnsi="宋体"/>
                <w:sz w:val="22"/>
                <w:szCs w:val="22"/>
              </w:rPr>
              <w:t>支持对不同操作指令，设置不同级别的风险预警，不同级别的告警支持设置不同的通知方式。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2</w:t>
            </w:r>
          </w:p>
        </w:tc>
        <w:tc>
          <w:tcPr>
            <w:tcW w:w="1640" w:type="dxa"/>
            <w:vAlign w:val="center"/>
          </w:tcPr>
          <w:p>
            <w:pPr>
              <w:rPr>
                <w:rFonts w:ascii="宋体" w:hAnsi="宋体"/>
                <w:sz w:val="22"/>
                <w:szCs w:val="22"/>
              </w:rPr>
            </w:pPr>
            <w:r>
              <w:rPr>
                <w:rFonts w:hint="eastAsia" w:ascii="宋体" w:hAnsi="宋体"/>
                <w:sz w:val="22"/>
                <w:szCs w:val="22"/>
              </w:rPr>
              <w:t>◆</w:t>
            </w:r>
          </w:p>
        </w:tc>
        <w:tc>
          <w:tcPr>
            <w:tcW w:w="5886" w:type="dxa"/>
            <w:vAlign w:val="center"/>
          </w:tcPr>
          <w:p>
            <w:pPr>
              <w:rPr>
                <w:rFonts w:ascii="宋体" w:hAnsi="宋体"/>
                <w:sz w:val="22"/>
                <w:szCs w:val="22"/>
              </w:rPr>
            </w:pPr>
            <w:r>
              <w:rPr>
                <w:rFonts w:hint="eastAsia" w:ascii="宋体" w:hAnsi="宋体"/>
                <w:sz w:val="22"/>
                <w:szCs w:val="22"/>
              </w:rPr>
              <w:t>堡垒机预置多种用户角色：系统管理员、部门管理员、策略管理员、审计管理员、运维员。每种用户角色的权限都各不相同、相互制约。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3</w:t>
            </w:r>
          </w:p>
        </w:tc>
        <w:tc>
          <w:tcPr>
            <w:tcW w:w="1640" w:type="dxa"/>
            <w:vAlign w:val="center"/>
          </w:tcPr>
          <w:p>
            <w:pPr>
              <w:rPr>
                <w:rFonts w:ascii="宋体" w:hAnsi="宋体"/>
                <w:sz w:val="22"/>
                <w:szCs w:val="22"/>
              </w:rPr>
            </w:pPr>
            <w:r>
              <w:rPr>
                <w:rFonts w:hint="eastAsia" w:ascii="宋体" w:hAnsi="宋体"/>
                <w:sz w:val="22"/>
                <w:szCs w:val="22"/>
              </w:rPr>
              <w:t>◆</w:t>
            </w:r>
          </w:p>
        </w:tc>
        <w:tc>
          <w:tcPr>
            <w:tcW w:w="5886" w:type="dxa"/>
            <w:vAlign w:val="center"/>
          </w:tcPr>
          <w:p>
            <w:pPr>
              <w:rPr>
                <w:rFonts w:ascii="宋体" w:hAnsi="宋体"/>
                <w:sz w:val="22"/>
                <w:szCs w:val="22"/>
              </w:rPr>
            </w:pPr>
            <w:r>
              <w:rPr>
                <w:rFonts w:hint="eastAsia" w:ascii="宋体" w:hAnsi="宋体"/>
                <w:sz w:val="22"/>
                <w:szCs w:val="22"/>
              </w:rPr>
              <w:t>通过集中的访问控制策略定制，帮助企业单位梳理用户与资源的关系，并且提供一对一、一对多、多对一、多对多的灵活授权模式。云堡垒机提供的访问控制策略，实现的不仅仅是将资源授权给用户，更实现了功能权限的精细化控制，最大程度地降低越权操作的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4</w:t>
            </w:r>
          </w:p>
        </w:tc>
        <w:tc>
          <w:tcPr>
            <w:tcW w:w="1640" w:type="dxa"/>
            <w:vAlign w:val="center"/>
          </w:tcPr>
          <w:p>
            <w:pPr>
              <w:rPr>
                <w:rFonts w:ascii="宋体" w:hAnsi="宋体"/>
                <w:sz w:val="22"/>
                <w:szCs w:val="22"/>
              </w:rPr>
            </w:pPr>
          </w:p>
        </w:tc>
        <w:tc>
          <w:tcPr>
            <w:tcW w:w="5886" w:type="dxa"/>
            <w:vAlign w:val="center"/>
          </w:tcPr>
          <w:p>
            <w:pPr>
              <w:rPr>
                <w:rFonts w:ascii="宋体" w:hAnsi="宋体"/>
                <w:sz w:val="22"/>
                <w:szCs w:val="22"/>
              </w:rPr>
            </w:pPr>
            <w:r>
              <w:rPr>
                <w:rFonts w:hint="eastAsia" w:ascii="宋体" w:hAnsi="宋体"/>
                <w:sz w:val="22"/>
                <w:szCs w:val="22"/>
              </w:rPr>
              <w:t>通过云堡垒机提供的改密策略，实现自动化的改密，并且以日志形式记录改密执行结果，让管理员掌握资源的改密动态和历史密码。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5</w:t>
            </w:r>
          </w:p>
        </w:tc>
        <w:tc>
          <w:tcPr>
            <w:tcW w:w="1640" w:type="dxa"/>
            <w:vAlign w:val="center"/>
          </w:tcPr>
          <w:p>
            <w:pPr>
              <w:rPr>
                <w:rFonts w:ascii="宋体" w:hAnsi="宋体"/>
                <w:sz w:val="22"/>
                <w:szCs w:val="22"/>
              </w:rPr>
            </w:pPr>
            <w:r>
              <w:rPr>
                <w:rFonts w:hint="eastAsia" w:ascii="宋体" w:hAnsi="宋体"/>
                <w:sz w:val="22"/>
                <w:szCs w:val="22"/>
              </w:rPr>
              <w:t>◆</w:t>
            </w:r>
          </w:p>
        </w:tc>
        <w:tc>
          <w:tcPr>
            <w:tcW w:w="5886" w:type="dxa"/>
            <w:vAlign w:val="center"/>
          </w:tcPr>
          <w:p>
            <w:pPr>
              <w:rPr>
                <w:rFonts w:ascii="宋体" w:hAnsi="宋体"/>
                <w:sz w:val="22"/>
                <w:szCs w:val="22"/>
              </w:rPr>
            </w:pPr>
            <w:r>
              <w:rPr>
                <w:rFonts w:hint="eastAsia" w:ascii="宋体" w:hAnsi="宋体"/>
                <w:sz w:val="22"/>
                <w:szCs w:val="22"/>
              </w:rPr>
              <w:t>云堡垒机支持托管主机、网络设备、安全设备、数据库和应用发布的账户和密码，运维人员可单点登录到目标资源进行运维操作，无需输入账户和密码。同时，云堡垒机支持混合协议的批量登录，如下图所示，通过批量登录，运维人员可以在一个页面上批量打开多台资源，方便运维人员在操作时进行不同资源的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6</w:t>
            </w:r>
          </w:p>
        </w:tc>
        <w:tc>
          <w:tcPr>
            <w:tcW w:w="1640" w:type="dxa"/>
            <w:vAlign w:val="center"/>
          </w:tcPr>
          <w:p>
            <w:pPr>
              <w:rPr>
                <w:rFonts w:ascii="宋体" w:hAnsi="宋体"/>
                <w:sz w:val="22"/>
                <w:szCs w:val="22"/>
              </w:rPr>
            </w:pPr>
            <w:r>
              <w:rPr>
                <w:rFonts w:hint="eastAsia" w:ascii="宋体" w:hAnsi="宋体"/>
                <w:sz w:val="22"/>
                <w:szCs w:val="22"/>
              </w:rPr>
              <w:t>◆</w:t>
            </w:r>
          </w:p>
        </w:tc>
        <w:tc>
          <w:tcPr>
            <w:tcW w:w="5886" w:type="dxa"/>
            <w:vAlign w:val="center"/>
          </w:tcPr>
          <w:p>
            <w:pPr>
              <w:rPr>
                <w:rFonts w:ascii="宋体" w:hAnsi="宋体"/>
                <w:sz w:val="22"/>
                <w:szCs w:val="22"/>
              </w:rPr>
            </w:pPr>
            <w:r>
              <w:rPr>
                <w:rFonts w:hint="eastAsia" w:ascii="宋体" w:hAnsi="宋体"/>
                <w:sz w:val="22"/>
                <w:szCs w:val="22"/>
              </w:rPr>
              <w:t>云堡垒机支持字符协议（SSH、TELNET）、图形协议（RDP、VNC）、文件传输协议（FTP、SFTP）、数据库协议（DB2、MySQL、Oracle、SQL Server）和应用发布的操作审计。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7</w:t>
            </w:r>
          </w:p>
        </w:tc>
        <w:tc>
          <w:tcPr>
            <w:tcW w:w="1640" w:type="dxa"/>
            <w:vAlign w:val="center"/>
          </w:tcPr>
          <w:p>
            <w:pPr>
              <w:rPr>
                <w:rFonts w:ascii="宋体" w:hAnsi="宋体"/>
                <w:sz w:val="22"/>
                <w:szCs w:val="22"/>
              </w:rPr>
            </w:pPr>
          </w:p>
        </w:tc>
        <w:tc>
          <w:tcPr>
            <w:tcW w:w="5886" w:type="dxa"/>
            <w:vAlign w:val="center"/>
          </w:tcPr>
          <w:p>
            <w:pPr>
              <w:rPr>
                <w:rFonts w:ascii="宋体" w:hAnsi="宋体"/>
                <w:sz w:val="22"/>
                <w:szCs w:val="22"/>
              </w:rPr>
            </w:pPr>
            <w:r>
              <w:rPr>
                <w:rFonts w:hint="eastAsia" w:ascii="宋体" w:hAnsi="宋体"/>
                <w:sz w:val="22"/>
                <w:szCs w:val="22"/>
              </w:rPr>
              <w:t>云堡垒机提供了集中的命令控制策略功能，不仅支持SSH、TELNET等字符协议，还支持MySQL和Oracle数据库的访问控制，实现基于不同的资源账户、不同的用户设置不同的命令控制策略。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8</w:t>
            </w:r>
          </w:p>
        </w:tc>
        <w:tc>
          <w:tcPr>
            <w:tcW w:w="1640" w:type="dxa"/>
            <w:vAlign w:val="center"/>
          </w:tcPr>
          <w:p>
            <w:pPr>
              <w:rPr>
                <w:rFonts w:ascii="宋体" w:hAnsi="宋体"/>
                <w:sz w:val="22"/>
                <w:szCs w:val="22"/>
              </w:rPr>
            </w:pPr>
          </w:p>
        </w:tc>
        <w:tc>
          <w:tcPr>
            <w:tcW w:w="5886" w:type="dxa"/>
            <w:vAlign w:val="center"/>
          </w:tcPr>
          <w:p>
            <w:pPr>
              <w:rPr>
                <w:rFonts w:ascii="宋体" w:hAnsi="宋体"/>
                <w:sz w:val="22"/>
                <w:szCs w:val="22"/>
              </w:rPr>
            </w:pPr>
            <w:r>
              <w:rPr>
                <w:rFonts w:hint="eastAsia" w:ascii="宋体" w:hAnsi="宋体"/>
                <w:sz w:val="22"/>
                <w:szCs w:val="22"/>
              </w:rPr>
              <w:t>云堡垒机提供工单申请、审批功能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9</w:t>
            </w:r>
          </w:p>
        </w:tc>
        <w:tc>
          <w:tcPr>
            <w:tcW w:w="1640" w:type="dxa"/>
            <w:vAlign w:val="center"/>
          </w:tcPr>
          <w:p>
            <w:pPr>
              <w:rPr>
                <w:rFonts w:ascii="宋体" w:hAnsi="宋体"/>
                <w:sz w:val="22"/>
                <w:szCs w:val="22"/>
              </w:rPr>
            </w:pPr>
          </w:p>
        </w:tc>
        <w:tc>
          <w:tcPr>
            <w:tcW w:w="5886" w:type="dxa"/>
            <w:vAlign w:val="center"/>
          </w:tcPr>
          <w:p>
            <w:pPr>
              <w:rPr>
                <w:rFonts w:ascii="宋体" w:hAnsi="宋体"/>
                <w:sz w:val="22"/>
                <w:szCs w:val="22"/>
              </w:rPr>
            </w:pPr>
            <w:r>
              <w:rPr>
                <w:rFonts w:hint="eastAsia" w:ascii="宋体" w:hAnsi="宋体"/>
                <w:sz w:val="22"/>
                <w:szCs w:val="22"/>
              </w:rPr>
              <w:t>云堡垒机预置了多种分析报表，通过报表能够全方位地分析系统操作、资源运维的情况，快速分析系统操作和资源运维的情况，及时阻止安全事件的发生。报表支持自动发送，支持以天、周、月为粒度发送报表，并且以HTML、PDF、WORD、EXCEL等多种格式导出，让管理员随时掌握系统情况。</w:t>
            </w:r>
          </w:p>
        </w:tc>
      </w:tr>
    </w:tbl>
    <w:p>
      <w:pPr>
        <w:pStyle w:val="71"/>
        <w:numPr>
          <w:ilvl w:val="0"/>
          <w:numId w:val="4"/>
        </w:numPr>
        <w:spacing w:line="360" w:lineRule="auto"/>
        <w:rPr>
          <w:rFonts w:hAnsi="宋体"/>
          <w:b/>
          <w:bCs/>
          <w:color w:val="auto"/>
          <w:sz w:val="28"/>
          <w:szCs w:val="28"/>
        </w:rPr>
      </w:pPr>
      <w:r>
        <w:rPr>
          <w:rFonts w:hint="eastAsia" w:hAnsi="宋体"/>
          <w:b/>
          <w:bCs/>
          <w:color w:val="auto"/>
          <w:sz w:val="28"/>
          <w:szCs w:val="28"/>
        </w:rPr>
        <w:t>漏洞扫描</w:t>
      </w:r>
    </w:p>
    <w:p>
      <w:pPr>
        <w:snapToGrid w:val="0"/>
        <w:spacing w:line="360" w:lineRule="auto"/>
        <w:ind w:firstLine="420"/>
        <w:rPr>
          <w:rFonts w:ascii="宋体" w:hAnsi="宋体" w:cs="宋体"/>
          <w:kern w:val="0"/>
          <w:sz w:val="24"/>
        </w:rPr>
      </w:pPr>
      <w:r>
        <w:rPr>
          <w:rFonts w:ascii="宋体" w:hAnsi="宋体" w:cs="宋体"/>
          <w:kern w:val="0"/>
          <w:sz w:val="24"/>
        </w:rPr>
        <w:t>漏洞扫描为用户提供</w:t>
      </w:r>
      <w:r>
        <w:rPr>
          <w:rFonts w:hint="eastAsia" w:ascii="宋体" w:hAnsi="宋体" w:cs="宋体"/>
          <w:kern w:val="0"/>
          <w:sz w:val="24"/>
        </w:rPr>
        <w:t>Web漏洞扫描服务和系统漏洞扫描服务。</w:t>
      </w:r>
      <w:r>
        <w:rPr>
          <w:rFonts w:ascii="宋体" w:hAnsi="宋体" w:cs="宋体"/>
          <w:kern w:val="0"/>
          <w:sz w:val="24"/>
        </w:rPr>
        <w:t>Web漏洞扫描</w:t>
      </w:r>
    </w:p>
    <w:p>
      <w:pPr>
        <w:snapToGrid w:val="0"/>
        <w:spacing w:line="360" w:lineRule="auto"/>
        <w:ind w:firstLine="420"/>
        <w:rPr>
          <w:rFonts w:ascii="宋体" w:hAnsi="宋体" w:cs="宋体"/>
          <w:kern w:val="0"/>
          <w:sz w:val="24"/>
        </w:rPr>
      </w:pPr>
      <w:r>
        <w:rPr>
          <w:rFonts w:ascii="宋体" w:hAnsi="宋体" w:cs="宋体"/>
          <w:kern w:val="0"/>
          <w:sz w:val="24"/>
        </w:rPr>
        <w:t>产品可以对网站(群)进行快速、准确、稳定的安全评估，用于帮助用户及时发现网站的风险隐患。产品提供专业权威的Web漏洞扫描报告，全面的显示网站中存在的漏洞，以及各个漏洞的详细描述，处理建议，威胁分值，极大的降低了网站开发维护人员的学习成本，使其能够通过扫描报告简单、有效、权威的了解到网站安全状况，并作出适当的处理。</w:t>
      </w:r>
    </w:p>
    <w:p>
      <w:pPr>
        <w:snapToGrid w:val="0"/>
        <w:spacing w:line="360" w:lineRule="auto"/>
        <w:ind w:firstLine="420"/>
        <w:rPr>
          <w:rFonts w:ascii="宋体" w:hAnsi="宋体" w:cs="宋体"/>
          <w:kern w:val="0"/>
          <w:sz w:val="24"/>
        </w:rPr>
      </w:pPr>
      <w:r>
        <w:rPr>
          <w:rFonts w:ascii="宋体" w:hAnsi="宋体" w:cs="宋体"/>
          <w:kern w:val="0"/>
          <w:sz w:val="24"/>
        </w:rPr>
        <w:t>系统漏洞扫描服务能够高效、全面发现系统层面存在的各种脆弱性问题，包括安全漏洞、安全配置问题、应用系统安全漏洞，检查系统存在的弱口令，收集系统不必要开放的账号、服务、端口，形成整体安全风险报告，帮助用户能够快速定位风险类型、严重程度，直观展示安全风险。</w:t>
      </w:r>
      <w:r>
        <w:rPr>
          <w:rFonts w:hint="eastAsia" w:ascii="宋体" w:hAnsi="宋体" w:cs="宋体"/>
          <w:kern w:val="0"/>
          <w:sz w:val="24"/>
        </w:rPr>
        <w:t>漏洞扫描应覆盖Web应用漏洞扫描、系统漏洞扫描、风险评估报告等。</w:t>
      </w:r>
    </w:p>
    <w:tbl>
      <w:tblPr>
        <w:tblStyle w:val="34"/>
        <w:tblpPr w:leftFromText="180" w:rightFromText="180" w:vertAnchor="text" w:horzAnchor="page" w:tblpX="2104" w:tblpY="546"/>
        <w:tblOverlap w:val="never"/>
        <w:tblW w:w="8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640"/>
        <w:gridCol w:w="6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序号</w:t>
            </w:r>
          </w:p>
        </w:tc>
        <w:tc>
          <w:tcPr>
            <w:tcW w:w="1640" w:type="dxa"/>
            <w:vAlign w:val="center"/>
          </w:tcPr>
          <w:p>
            <w:pPr>
              <w:rPr>
                <w:rFonts w:ascii="宋体" w:hAnsi="宋体"/>
                <w:sz w:val="22"/>
                <w:szCs w:val="22"/>
              </w:rPr>
            </w:pPr>
            <w:r>
              <w:rPr>
                <w:rFonts w:hint="eastAsia" w:ascii="宋体" w:hAnsi="宋体"/>
                <w:sz w:val="22"/>
                <w:szCs w:val="22"/>
              </w:rPr>
              <w:t>重要性</w:t>
            </w:r>
          </w:p>
        </w:tc>
        <w:tc>
          <w:tcPr>
            <w:tcW w:w="6311" w:type="dxa"/>
            <w:vAlign w:val="center"/>
          </w:tcPr>
          <w:p>
            <w:pPr>
              <w:rPr>
                <w:rFonts w:ascii="宋体" w:hAnsi="宋体"/>
                <w:sz w:val="22"/>
                <w:szCs w:val="22"/>
              </w:rPr>
            </w:pPr>
            <w:r>
              <w:rPr>
                <w:rFonts w:hint="eastAsia" w:ascii="宋体" w:hAnsi="宋体"/>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3</w:t>
            </w:r>
          </w:p>
        </w:tc>
        <w:tc>
          <w:tcPr>
            <w:tcW w:w="1640" w:type="dxa"/>
            <w:vAlign w:val="center"/>
          </w:tcPr>
          <w:p>
            <w:pPr>
              <w:rPr>
                <w:rFonts w:ascii="宋体" w:hAnsi="宋体"/>
                <w:sz w:val="22"/>
                <w:szCs w:val="22"/>
              </w:rPr>
            </w:pPr>
            <w:r>
              <w:rPr>
                <w:rFonts w:hint="eastAsia" w:ascii="宋体" w:hAnsi="宋体"/>
                <w:sz w:val="22"/>
                <w:szCs w:val="22"/>
              </w:rPr>
              <w:t>◆</w:t>
            </w:r>
          </w:p>
        </w:tc>
        <w:tc>
          <w:tcPr>
            <w:tcW w:w="6311" w:type="dxa"/>
            <w:vAlign w:val="center"/>
          </w:tcPr>
          <w:p>
            <w:pPr>
              <w:rPr>
                <w:rFonts w:ascii="宋体" w:hAnsi="宋体"/>
                <w:sz w:val="22"/>
                <w:szCs w:val="22"/>
              </w:rPr>
            </w:pPr>
            <w:r>
              <w:rPr>
                <w:rFonts w:ascii="宋体" w:hAnsi="宋体"/>
                <w:sz w:val="22"/>
                <w:szCs w:val="22"/>
              </w:rPr>
              <w:t>支持用户管理自有的系统资产、Web资产，包括云外资产。用户针对资产可进行标签分组，通过分组管理，将资产分类，便于管理众多复杂类型资产。同时增加资产维度的扫描任务汇总展示，展示该资产下所有扫描任务，以及每次扫描的漏洞风险评估结果及漏洞数，让用户能直观的观察到资产安全风险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4</w:t>
            </w:r>
          </w:p>
        </w:tc>
        <w:tc>
          <w:tcPr>
            <w:tcW w:w="1640" w:type="dxa"/>
            <w:vAlign w:val="center"/>
          </w:tcPr>
          <w:p>
            <w:pPr>
              <w:rPr>
                <w:rFonts w:ascii="宋体" w:hAnsi="宋体"/>
                <w:sz w:val="22"/>
                <w:szCs w:val="22"/>
              </w:rPr>
            </w:pPr>
            <w:r>
              <w:rPr>
                <w:rFonts w:hint="eastAsia" w:ascii="宋体" w:hAnsi="宋体"/>
                <w:sz w:val="22"/>
                <w:szCs w:val="22"/>
              </w:rPr>
              <w:t>◆</w:t>
            </w:r>
          </w:p>
        </w:tc>
        <w:tc>
          <w:tcPr>
            <w:tcW w:w="6311" w:type="dxa"/>
            <w:vAlign w:val="center"/>
          </w:tcPr>
          <w:p>
            <w:pPr>
              <w:rPr>
                <w:rFonts w:ascii="宋体" w:hAnsi="宋体"/>
                <w:sz w:val="22"/>
                <w:szCs w:val="22"/>
              </w:rPr>
            </w:pPr>
            <w:r>
              <w:rPr>
                <w:rFonts w:ascii="宋体" w:hAnsi="宋体"/>
                <w:sz w:val="22"/>
                <w:szCs w:val="22"/>
              </w:rPr>
              <w:t>Web漏洞扫描支持对多种Web应用漏洞的检查，包括：</w:t>
            </w:r>
          </w:p>
          <w:p>
            <w:pPr>
              <w:rPr>
                <w:rFonts w:ascii="宋体" w:hAnsi="宋体"/>
                <w:sz w:val="22"/>
                <w:szCs w:val="22"/>
              </w:rPr>
            </w:pPr>
            <w:r>
              <w:rPr>
                <w:rFonts w:ascii="宋体" w:hAnsi="宋体"/>
                <w:sz w:val="22"/>
                <w:szCs w:val="22"/>
              </w:rPr>
              <w:t>1）认证漏洞：认证不充分、弱口令恢复验、暴力猜测；</w:t>
            </w:r>
          </w:p>
          <w:p>
            <w:pPr>
              <w:rPr>
                <w:rFonts w:ascii="宋体" w:hAnsi="宋体"/>
                <w:sz w:val="22"/>
                <w:szCs w:val="22"/>
              </w:rPr>
            </w:pPr>
            <w:r>
              <w:rPr>
                <w:rFonts w:ascii="宋体" w:hAnsi="宋体"/>
                <w:sz w:val="22"/>
                <w:szCs w:val="22"/>
              </w:rPr>
              <w:t>2）授权漏洞：授权不充分、凭据/会话预测、会话期限不足、会话固定；</w:t>
            </w:r>
          </w:p>
          <w:p>
            <w:pPr>
              <w:rPr>
                <w:rFonts w:ascii="宋体" w:hAnsi="宋体"/>
                <w:sz w:val="22"/>
                <w:szCs w:val="22"/>
              </w:rPr>
            </w:pPr>
            <w:r>
              <w:rPr>
                <w:rFonts w:ascii="宋体" w:hAnsi="宋体"/>
                <w:sz w:val="22"/>
                <w:szCs w:val="22"/>
              </w:rPr>
              <w:t>3）客户端攻击漏洞：内容欺骗、跨站脚本攻击、HTML注入、跨站点请求伪造；</w:t>
            </w:r>
          </w:p>
          <w:p>
            <w:pPr>
              <w:rPr>
                <w:rFonts w:ascii="宋体" w:hAnsi="宋体"/>
                <w:sz w:val="22"/>
                <w:szCs w:val="22"/>
              </w:rPr>
            </w:pPr>
            <w:r>
              <w:rPr>
                <w:rFonts w:ascii="宋体" w:hAnsi="宋体"/>
                <w:sz w:val="22"/>
                <w:szCs w:val="22"/>
              </w:rPr>
              <w:t>4）命令执行漏洞：系统命令注入、LDAP注入、SQL注入、XPath注入、远程文件包含、本地文件包含、格式化字符串攻击、缓冲区溢出；</w:t>
            </w:r>
          </w:p>
          <w:p>
            <w:pPr>
              <w:rPr>
                <w:rFonts w:ascii="宋体" w:hAnsi="宋体"/>
                <w:sz w:val="22"/>
                <w:szCs w:val="22"/>
              </w:rPr>
            </w:pPr>
            <w:r>
              <w:rPr>
                <w:rFonts w:ascii="宋体" w:hAnsi="宋体"/>
                <w:sz w:val="22"/>
                <w:szCs w:val="22"/>
              </w:rPr>
              <w:t>5）信息泄露漏洞：目录遍历、信息泄露、不安全的HTTP方法、目录索引信息泄露、资源位置可预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5</w:t>
            </w:r>
          </w:p>
        </w:tc>
        <w:tc>
          <w:tcPr>
            <w:tcW w:w="1640" w:type="dxa"/>
            <w:vAlign w:val="center"/>
          </w:tcPr>
          <w:p>
            <w:pPr>
              <w:rPr>
                <w:rFonts w:ascii="宋体" w:hAnsi="宋体"/>
                <w:sz w:val="22"/>
                <w:szCs w:val="22"/>
              </w:rPr>
            </w:pPr>
            <w:r>
              <w:rPr>
                <w:rFonts w:hint="eastAsia" w:ascii="宋体" w:hAnsi="宋体"/>
                <w:sz w:val="22"/>
                <w:szCs w:val="22"/>
              </w:rPr>
              <w:t>◆</w:t>
            </w:r>
          </w:p>
        </w:tc>
        <w:tc>
          <w:tcPr>
            <w:tcW w:w="6311" w:type="dxa"/>
            <w:vAlign w:val="center"/>
          </w:tcPr>
          <w:p>
            <w:pPr>
              <w:rPr>
                <w:rFonts w:ascii="宋体" w:hAnsi="宋体"/>
                <w:sz w:val="22"/>
                <w:szCs w:val="22"/>
              </w:rPr>
            </w:pPr>
            <w:r>
              <w:rPr>
                <w:rFonts w:hint="eastAsia" w:ascii="宋体" w:hAnsi="宋体"/>
                <w:sz w:val="22"/>
                <w:szCs w:val="22"/>
              </w:rPr>
              <w:t>系统漏洞扫描支持漏洞检查数量达到15000+，漏洞库兼容了漏洞库兼容CVE、bugtrag、CVSS、CNVD、CNNVD、CNCVE编号。支持以SMB方式登录Windows进行本地扫描、支持以SSH方式登录Linux进行本地扫描，支持了虚拟化漏洞扫描和配置检查能力，支持wlan的漏洞扫描和配置检查。支持RDP，SMB，SSH，TELNET的扫描方式对目标主机全方位配置核查进行扫描。准确的扫描能力给用户提供精确的扫描结果。</w:t>
            </w:r>
          </w:p>
        </w:tc>
      </w:tr>
    </w:tbl>
    <w:p>
      <w:pPr>
        <w:pStyle w:val="2"/>
        <w:ind w:firstLine="640"/>
      </w:pPr>
    </w:p>
    <w:p>
      <w:pPr>
        <w:pStyle w:val="71"/>
        <w:numPr>
          <w:ilvl w:val="0"/>
          <w:numId w:val="4"/>
        </w:numPr>
        <w:spacing w:line="360" w:lineRule="auto"/>
        <w:rPr>
          <w:rFonts w:hAnsi="宋体"/>
          <w:b/>
          <w:bCs/>
          <w:color w:val="auto"/>
          <w:sz w:val="28"/>
          <w:szCs w:val="28"/>
        </w:rPr>
      </w:pPr>
      <w:r>
        <w:rPr>
          <w:rFonts w:hint="eastAsia" w:hAnsi="宋体"/>
          <w:b/>
          <w:bCs/>
          <w:color w:val="auto"/>
          <w:sz w:val="28"/>
          <w:szCs w:val="28"/>
        </w:rPr>
        <w:t>Web全栈防护</w:t>
      </w:r>
    </w:p>
    <w:p>
      <w:pPr>
        <w:snapToGrid w:val="0"/>
        <w:spacing w:line="360" w:lineRule="auto"/>
        <w:ind w:firstLine="420"/>
        <w:rPr>
          <w:rFonts w:ascii="宋体" w:hAnsi="宋体" w:cs="宋体"/>
          <w:kern w:val="0"/>
          <w:sz w:val="24"/>
        </w:rPr>
      </w:pPr>
      <w:r>
        <w:rPr>
          <w:rFonts w:hint="eastAsia" w:ascii="宋体" w:hAnsi="宋体" w:cs="宋体"/>
          <w:kern w:val="0"/>
          <w:sz w:val="24"/>
        </w:rPr>
        <w:t>Web全栈防护基于对Web流量的解码和分析，支持全解析多种常见HTTP协议数据提交格式，可应对Web应用中的各类攻击，防御OWASP常见威胁，如SQL注入、XSS注入、跨站请求伪造攻击、Cookie篡改以及应用层Web攻击等，能有效解决网页挂马、敏感信息泄露等安全问题，充分保障Web应用安全。主要功能指标如下。</w:t>
      </w:r>
    </w:p>
    <w:p>
      <w:pPr>
        <w:pStyle w:val="71"/>
        <w:numPr>
          <w:ilvl w:val="0"/>
          <w:numId w:val="4"/>
        </w:numPr>
        <w:spacing w:line="360" w:lineRule="auto"/>
        <w:rPr>
          <w:rFonts w:hAnsi="宋体"/>
          <w:b/>
          <w:bCs/>
          <w:color w:val="auto"/>
          <w:sz w:val="28"/>
          <w:szCs w:val="28"/>
        </w:rPr>
      </w:pPr>
      <w:r>
        <w:rPr>
          <w:rFonts w:hint="eastAsia" w:hAnsi="宋体"/>
          <w:b/>
          <w:bCs/>
          <w:color w:val="auto"/>
          <w:sz w:val="28"/>
          <w:szCs w:val="28"/>
        </w:rPr>
        <w:t>日志审计</w:t>
      </w:r>
    </w:p>
    <w:tbl>
      <w:tblPr>
        <w:tblStyle w:val="34"/>
        <w:tblpPr w:leftFromText="180" w:rightFromText="180" w:vertAnchor="text" w:horzAnchor="page" w:tblpX="2104" w:tblpY="546"/>
        <w:tblOverlap w:val="never"/>
        <w:tblW w:w="8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640"/>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序号</w:t>
            </w:r>
          </w:p>
        </w:tc>
        <w:tc>
          <w:tcPr>
            <w:tcW w:w="1640" w:type="dxa"/>
            <w:vAlign w:val="center"/>
          </w:tcPr>
          <w:p>
            <w:pPr>
              <w:rPr>
                <w:rFonts w:ascii="宋体" w:hAnsi="宋体"/>
                <w:sz w:val="22"/>
                <w:szCs w:val="22"/>
              </w:rPr>
            </w:pPr>
            <w:r>
              <w:rPr>
                <w:rFonts w:hint="eastAsia" w:ascii="宋体" w:hAnsi="宋体"/>
                <w:sz w:val="22"/>
                <w:szCs w:val="22"/>
              </w:rPr>
              <w:t>重要性</w:t>
            </w:r>
          </w:p>
        </w:tc>
        <w:tc>
          <w:tcPr>
            <w:tcW w:w="5744" w:type="dxa"/>
            <w:vAlign w:val="center"/>
          </w:tcPr>
          <w:p>
            <w:pPr>
              <w:rPr>
                <w:rFonts w:ascii="宋体" w:hAnsi="宋体"/>
                <w:sz w:val="22"/>
                <w:szCs w:val="22"/>
              </w:rPr>
            </w:pPr>
            <w:r>
              <w:rPr>
                <w:rFonts w:hint="eastAsia" w:ascii="宋体" w:hAnsi="宋体"/>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1</w:t>
            </w:r>
          </w:p>
        </w:tc>
        <w:tc>
          <w:tcPr>
            <w:tcW w:w="1640" w:type="dxa"/>
            <w:vAlign w:val="center"/>
          </w:tcPr>
          <w:p>
            <w:pPr>
              <w:rPr>
                <w:rFonts w:ascii="宋体" w:hAnsi="宋体"/>
                <w:sz w:val="22"/>
                <w:szCs w:val="22"/>
              </w:rPr>
            </w:pPr>
          </w:p>
        </w:tc>
        <w:tc>
          <w:tcPr>
            <w:tcW w:w="5744" w:type="dxa"/>
            <w:vAlign w:val="center"/>
          </w:tcPr>
          <w:p>
            <w:pPr>
              <w:rPr>
                <w:rFonts w:ascii="宋体" w:hAnsi="宋体"/>
                <w:sz w:val="22"/>
                <w:szCs w:val="22"/>
              </w:rPr>
            </w:pPr>
            <w:r>
              <w:rPr>
                <w:rFonts w:hint="eastAsia" w:ascii="宋体" w:hAnsi="宋体"/>
                <w:sz w:val="22"/>
                <w:szCs w:val="22"/>
              </w:rPr>
              <w:t>针对Web应用层攻击实时检测防御，如OWASP常见威胁：SQL注入、命令注入、XSS跨站脚本、Webshell上传、非法HTTP请求、API DDoS、Web表单参数等；提供防护功能：0day防护、CC攻击、黑白名单、自定义Header等；支持多种接码类型：URL编码、Unicode编码、HEX编码、Html编码、base64编码、UTF-8编码、UTF-16编码、ASCII编码、GBK编码等。能够抵御数千种应用层攻击，实现精细化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2</w:t>
            </w:r>
          </w:p>
        </w:tc>
        <w:tc>
          <w:tcPr>
            <w:tcW w:w="1640" w:type="dxa"/>
            <w:vAlign w:val="center"/>
          </w:tcPr>
          <w:p>
            <w:pPr>
              <w:rPr>
                <w:rFonts w:ascii="宋体" w:hAnsi="宋体"/>
                <w:sz w:val="22"/>
                <w:szCs w:val="22"/>
              </w:rPr>
            </w:pPr>
            <w:r>
              <w:rPr>
                <w:rFonts w:hint="eastAsia" w:ascii="宋体" w:hAnsi="宋体"/>
                <w:sz w:val="22"/>
                <w:szCs w:val="22"/>
              </w:rPr>
              <w:t>◆</w:t>
            </w:r>
          </w:p>
        </w:tc>
        <w:tc>
          <w:tcPr>
            <w:tcW w:w="5744" w:type="dxa"/>
            <w:vAlign w:val="center"/>
          </w:tcPr>
          <w:p>
            <w:pPr>
              <w:rPr>
                <w:rFonts w:ascii="宋体" w:hAnsi="宋体"/>
                <w:sz w:val="22"/>
                <w:szCs w:val="22"/>
              </w:rPr>
            </w:pPr>
            <w:r>
              <w:rPr>
                <w:rFonts w:hint="eastAsia" w:ascii="宋体" w:hAnsi="宋体"/>
                <w:sz w:val="22"/>
                <w:szCs w:val="22"/>
              </w:rPr>
              <w:t>提供安全态势呈现服务，安全威胁数据可视化、攻击信息、溯源信息等，实时查看业务安全态势，助力用户安全研判。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3</w:t>
            </w:r>
          </w:p>
        </w:tc>
        <w:tc>
          <w:tcPr>
            <w:tcW w:w="1640" w:type="dxa"/>
            <w:vAlign w:val="center"/>
          </w:tcPr>
          <w:p>
            <w:pPr>
              <w:rPr>
                <w:rFonts w:ascii="宋体" w:hAnsi="宋体"/>
                <w:sz w:val="22"/>
                <w:szCs w:val="22"/>
              </w:rPr>
            </w:pPr>
            <w:r>
              <w:rPr>
                <w:rFonts w:hint="eastAsia" w:ascii="宋体" w:hAnsi="宋体"/>
                <w:sz w:val="22"/>
                <w:szCs w:val="22"/>
              </w:rPr>
              <w:t>◆</w:t>
            </w:r>
          </w:p>
        </w:tc>
        <w:tc>
          <w:tcPr>
            <w:tcW w:w="5744" w:type="dxa"/>
            <w:vAlign w:val="center"/>
          </w:tcPr>
          <w:p>
            <w:pPr>
              <w:rPr>
                <w:rFonts w:ascii="宋体" w:hAnsi="宋体"/>
                <w:sz w:val="22"/>
                <w:szCs w:val="22"/>
              </w:rPr>
            </w:pPr>
            <w:r>
              <w:rPr>
                <w:rFonts w:hint="eastAsia" w:ascii="宋体" w:hAnsi="宋体"/>
                <w:sz w:val="22"/>
                <w:szCs w:val="22"/>
              </w:rPr>
              <w:t>提供详细的攻击日志及报表服务，能够根据时间、类型、风险等级、源IP、URL、时间ID对日志进行筛选，支持日志导出，助力用户溯源分析及安全运维。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4</w:t>
            </w:r>
          </w:p>
        </w:tc>
        <w:tc>
          <w:tcPr>
            <w:tcW w:w="1640" w:type="dxa"/>
            <w:vAlign w:val="center"/>
          </w:tcPr>
          <w:p>
            <w:pPr>
              <w:rPr>
                <w:rFonts w:ascii="宋体" w:hAnsi="宋体"/>
                <w:sz w:val="22"/>
                <w:szCs w:val="22"/>
              </w:rPr>
            </w:pPr>
            <w:r>
              <w:rPr>
                <w:rFonts w:hint="eastAsia" w:ascii="宋体" w:hAnsi="宋体"/>
                <w:sz w:val="22"/>
                <w:szCs w:val="22"/>
              </w:rPr>
              <w:t>◆</w:t>
            </w:r>
          </w:p>
        </w:tc>
        <w:tc>
          <w:tcPr>
            <w:tcW w:w="5744" w:type="dxa"/>
            <w:vAlign w:val="center"/>
          </w:tcPr>
          <w:p>
            <w:pPr>
              <w:rPr>
                <w:rFonts w:ascii="宋体" w:hAnsi="宋体"/>
                <w:sz w:val="22"/>
                <w:szCs w:val="22"/>
              </w:rPr>
            </w:pPr>
            <w:r>
              <w:rPr>
                <w:rFonts w:hint="eastAsia" w:ascii="宋体" w:hAnsi="宋体"/>
                <w:sz w:val="22"/>
                <w:szCs w:val="22"/>
              </w:rPr>
              <w:t>业务在线开通、配置及操作，提供自服务攻击态势呈现，为客户提供丰富的数据图表，支持邮件、短信通知服务。</w:t>
            </w:r>
          </w:p>
        </w:tc>
      </w:tr>
    </w:tbl>
    <w:p>
      <w:pPr>
        <w:snapToGrid w:val="0"/>
        <w:spacing w:line="360" w:lineRule="auto"/>
        <w:ind w:firstLine="420"/>
        <w:rPr>
          <w:rFonts w:ascii="宋体" w:hAnsi="宋体" w:cs="宋体"/>
          <w:kern w:val="0"/>
          <w:sz w:val="24"/>
        </w:rPr>
      </w:pPr>
    </w:p>
    <w:p>
      <w:pPr>
        <w:snapToGrid w:val="0"/>
        <w:spacing w:line="360" w:lineRule="auto"/>
        <w:ind w:firstLine="420"/>
        <w:rPr>
          <w:rFonts w:ascii="宋体" w:hAnsi="宋体" w:cs="宋体"/>
          <w:kern w:val="0"/>
          <w:sz w:val="24"/>
        </w:rPr>
      </w:pPr>
      <w:r>
        <w:rPr>
          <w:rFonts w:hint="eastAsia" w:ascii="宋体" w:hAnsi="宋体" w:cs="宋体"/>
          <w:kern w:val="0"/>
          <w:sz w:val="24"/>
        </w:rPr>
        <w:t>通过主被动结合的手段，实时不间断地采集用户网络中各种不同厂商的安全设备、网络设备、主机、操作系统、以及各种应用系统产生的海量日志信息，并将这些信息汇集到审计中心，进行集中化存储、备份、查询、审计、告警、响应，并出具丰富的报表。</w:t>
      </w:r>
    </w:p>
    <w:p>
      <w:pPr>
        <w:snapToGrid w:val="0"/>
        <w:spacing w:line="360" w:lineRule="auto"/>
        <w:ind w:firstLine="420"/>
        <w:rPr>
          <w:rFonts w:ascii="宋体" w:hAnsi="宋体" w:cs="宋体"/>
          <w:kern w:val="0"/>
          <w:sz w:val="24"/>
        </w:rPr>
      </w:pPr>
      <w:r>
        <w:rPr>
          <w:rFonts w:hint="eastAsia" w:ascii="宋体" w:hAnsi="宋体" w:cs="宋体"/>
          <w:kern w:val="0"/>
          <w:sz w:val="24"/>
        </w:rPr>
        <w:t>日志审计应提供综合展示、资产管理、范式化与分类、过滤与归并、采集器管理、采集代理、大数据存储与搜索、日志分析等功能。</w:t>
      </w:r>
    </w:p>
    <w:p>
      <w:pPr>
        <w:pStyle w:val="71"/>
        <w:numPr>
          <w:ilvl w:val="0"/>
          <w:numId w:val="4"/>
        </w:numPr>
        <w:spacing w:line="360" w:lineRule="auto"/>
        <w:rPr>
          <w:rFonts w:hAnsi="宋体"/>
          <w:b/>
          <w:bCs/>
          <w:color w:val="auto"/>
          <w:sz w:val="28"/>
          <w:szCs w:val="28"/>
        </w:rPr>
      </w:pPr>
      <w:r>
        <w:rPr>
          <w:rFonts w:hint="eastAsia" w:hAnsi="宋体"/>
          <w:b/>
          <w:bCs/>
          <w:color w:val="auto"/>
          <w:sz w:val="28"/>
          <w:szCs w:val="28"/>
        </w:rPr>
        <w:t>数据库审计</w:t>
      </w:r>
    </w:p>
    <w:p>
      <w:pPr>
        <w:snapToGrid w:val="0"/>
        <w:spacing w:line="360" w:lineRule="auto"/>
        <w:ind w:firstLine="420"/>
        <w:rPr>
          <w:rFonts w:ascii="宋体" w:hAnsi="宋体" w:cs="宋体"/>
          <w:kern w:val="0"/>
          <w:sz w:val="24"/>
        </w:rPr>
      </w:pPr>
      <w:r>
        <w:rPr>
          <w:rFonts w:ascii="宋体" w:hAnsi="宋体" w:cs="宋体"/>
          <w:kern w:val="0"/>
          <w:sz w:val="24"/>
        </w:rPr>
        <w:t>数据库审计</w:t>
      </w:r>
      <w:r>
        <w:rPr>
          <w:rFonts w:hint="eastAsia" w:ascii="宋体" w:hAnsi="宋体" w:cs="宋体"/>
          <w:kern w:val="0"/>
          <w:sz w:val="24"/>
        </w:rPr>
        <w:t>提供</w:t>
      </w:r>
      <w:r>
        <w:rPr>
          <w:rFonts w:ascii="宋体" w:hAnsi="宋体" w:cs="宋体"/>
          <w:kern w:val="0"/>
          <w:sz w:val="24"/>
        </w:rPr>
        <w:t>专业、主动、实时监控数据库安全的云上数据审计</w:t>
      </w:r>
      <w:r>
        <w:rPr>
          <w:rFonts w:hint="eastAsia" w:ascii="宋体" w:hAnsi="宋体" w:cs="宋体"/>
          <w:kern w:val="0"/>
          <w:sz w:val="24"/>
        </w:rPr>
        <w:t>，</w:t>
      </w:r>
      <w:r>
        <w:rPr>
          <w:rFonts w:ascii="宋体" w:hAnsi="宋体" w:cs="宋体"/>
          <w:kern w:val="0"/>
          <w:sz w:val="24"/>
        </w:rPr>
        <w:t>可用于审计云平台中的云数据库、自建数据库，帮助企业对数据库操作行为进行审计，对安全威胁进行及时预警，提高数据安全等级和合规能力。</w:t>
      </w:r>
    </w:p>
    <w:p>
      <w:pPr>
        <w:snapToGrid w:val="0"/>
        <w:spacing w:line="360" w:lineRule="auto"/>
        <w:ind w:firstLine="420"/>
        <w:rPr>
          <w:rFonts w:ascii="宋体" w:hAnsi="宋体" w:cs="宋体"/>
          <w:kern w:val="0"/>
          <w:sz w:val="24"/>
        </w:rPr>
      </w:pPr>
      <w:r>
        <w:rPr>
          <w:rFonts w:hint="eastAsia" w:ascii="宋体" w:hAnsi="宋体" w:cs="宋体"/>
          <w:kern w:val="0"/>
          <w:sz w:val="24"/>
        </w:rPr>
        <w:t>数据库审计应提供操作行为审计、操作行为审计、操作行为检索、操作行为检索等功能，具体技术指标如下：</w:t>
      </w:r>
    </w:p>
    <w:tbl>
      <w:tblPr>
        <w:tblStyle w:val="34"/>
        <w:tblpPr w:leftFromText="180" w:rightFromText="180" w:vertAnchor="text" w:horzAnchor="page" w:tblpX="2104" w:tblpY="546"/>
        <w:tblOverlap w:val="neve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640"/>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序号</w:t>
            </w:r>
          </w:p>
        </w:tc>
        <w:tc>
          <w:tcPr>
            <w:tcW w:w="1640" w:type="dxa"/>
            <w:vAlign w:val="center"/>
          </w:tcPr>
          <w:p>
            <w:pPr>
              <w:rPr>
                <w:rFonts w:ascii="宋体" w:hAnsi="宋体"/>
                <w:sz w:val="22"/>
                <w:szCs w:val="22"/>
              </w:rPr>
            </w:pPr>
            <w:r>
              <w:rPr>
                <w:rFonts w:hint="eastAsia" w:ascii="宋体" w:hAnsi="宋体"/>
                <w:sz w:val="22"/>
                <w:szCs w:val="22"/>
              </w:rPr>
              <w:t>重要性</w:t>
            </w:r>
          </w:p>
        </w:tc>
        <w:tc>
          <w:tcPr>
            <w:tcW w:w="6453" w:type="dxa"/>
            <w:vAlign w:val="center"/>
          </w:tcPr>
          <w:p>
            <w:pPr>
              <w:rPr>
                <w:rFonts w:ascii="宋体" w:hAnsi="宋体"/>
                <w:sz w:val="22"/>
                <w:szCs w:val="22"/>
              </w:rPr>
            </w:pPr>
            <w:r>
              <w:rPr>
                <w:rFonts w:hint="eastAsia" w:ascii="宋体" w:hAnsi="宋体"/>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1</w:t>
            </w:r>
          </w:p>
        </w:tc>
        <w:tc>
          <w:tcPr>
            <w:tcW w:w="1640" w:type="dxa"/>
            <w:vAlign w:val="center"/>
          </w:tcPr>
          <w:p>
            <w:pPr>
              <w:rPr>
                <w:rFonts w:ascii="宋体" w:hAnsi="宋体"/>
                <w:sz w:val="22"/>
                <w:szCs w:val="22"/>
              </w:rPr>
            </w:pPr>
          </w:p>
        </w:tc>
        <w:tc>
          <w:tcPr>
            <w:tcW w:w="6453" w:type="dxa"/>
            <w:vAlign w:val="center"/>
          </w:tcPr>
          <w:p>
            <w:pPr>
              <w:rPr>
                <w:rFonts w:ascii="宋体" w:hAnsi="宋体"/>
                <w:sz w:val="22"/>
                <w:szCs w:val="22"/>
              </w:rPr>
            </w:pPr>
            <w:r>
              <w:rPr>
                <w:rFonts w:hint="eastAsia" w:ascii="宋体" w:hAnsi="宋体"/>
                <w:sz w:val="22"/>
                <w:szCs w:val="22"/>
              </w:rPr>
              <w:t>数据库审计根据审计规则对捕获的SQL语句进行高效而精准的分析，对数据库操作行为进行全面审计，包括操作风险审计和会话事件审计。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2</w:t>
            </w:r>
          </w:p>
        </w:tc>
        <w:tc>
          <w:tcPr>
            <w:tcW w:w="1640" w:type="dxa"/>
            <w:vAlign w:val="center"/>
          </w:tcPr>
          <w:p>
            <w:pPr>
              <w:rPr>
                <w:rFonts w:ascii="宋体" w:hAnsi="宋体"/>
                <w:sz w:val="22"/>
                <w:szCs w:val="22"/>
              </w:rPr>
            </w:pPr>
            <w:r>
              <w:rPr>
                <w:rFonts w:hint="eastAsia" w:ascii="宋体" w:hAnsi="宋体"/>
                <w:sz w:val="22"/>
                <w:szCs w:val="22"/>
              </w:rPr>
              <w:t>◆</w:t>
            </w:r>
          </w:p>
        </w:tc>
        <w:tc>
          <w:tcPr>
            <w:tcW w:w="6453" w:type="dxa"/>
            <w:vAlign w:val="center"/>
          </w:tcPr>
          <w:p>
            <w:pPr>
              <w:rPr>
                <w:rFonts w:ascii="宋体" w:hAnsi="宋体"/>
                <w:sz w:val="22"/>
                <w:szCs w:val="22"/>
              </w:rPr>
            </w:pPr>
            <w:r>
              <w:rPr>
                <w:rFonts w:hint="eastAsia" w:ascii="宋体" w:hAnsi="宋体"/>
                <w:sz w:val="22"/>
                <w:szCs w:val="22"/>
              </w:rPr>
              <w:t>数据库审计从SQL行为分析、会话检索分析、详细语句线索检索分析等多个维度对审计结果进行分析展示。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3</w:t>
            </w:r>
          </w:p>
        </w:tc>
        <w:tc>
          <w:tcPr>
            <w:tcW w:w="1640" w:type="dxa"/>
            <w:vAlign w:val="center"/>
          </w:tcPr>
          <w:p>
            <w:pPr>
              <w:rPr>
                <w:rFonts w:ascii="宋体" w:hAnsi="宋体"/>
                <w:sz w:val="22"/>
                <w:szCs w:val="22"/>
              </w:rPr>
            </w:pPr>
          </w:p>
        </w:tc>
        <w:tc>
          <w:tcPr>
            <w:tcW w:w="6453" w:type="dxa"/>
            <w:vAlign w:val="center"/>
          </w:tcPr>
          <w:p>
            <w:pPr>
              <w:rPr>
                <w:rFonts w:ascii="宋体" w:hAnsi="宋体"/>
                <w:sz w:val="22"/>
                <w:szCs w:val="22"/>
              </w:rPr>
            </w:pPr>
            <w:r>
              <w:rPr>
                <w:rFonts w:hint="eastAsia" w:ascii="宋体" w:hAnsi="宋体"/>
                <w:sz w:val="22"/>
                <w:szCs w:val="22"/>
              </w:rPr>
              <w:t>用户检索数据库操作日志记录时，可以通过多条件组合的方式进行日志查询，根据日志类型、发生时间、不同字段内容等进行精细匹配，实现日志的快速准确定位。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1" w:type="dxa"/>
            <w:vAlign w:val="center"/>
          </w:tcPr>
          <w:p>
            <w:pPr>
              <w:rPr>
                <w:rFonts w:ascii="宋体" w:hAnsi="宋体"/>
                <w:sz w:val="22"/>
                <w:szCs w:val="22"/>
              </w:rPr>
            </w:pPr>
            <w:r>
              <w:rPr>
                <w:rFonts w:hint="eastAsia" w:ascii="宋体" w:hAnsi="宋体"/>
                <w:sz w:val="22"/>
                <w:szCs w:val="22"/>
              </w:rPr>
              <w:t>4</w:t>
            </w:r>
          </w:p>
        </w:tc>
        <w:tc>
          <w:tcPr>
            <w:tcW w:w="1640" w:type="dxa"/>
            <w:vAlign w:val="center"/>
          </w:tcPr>
          <w:p>
            <w:pPr>
              <w:rPr>
                <w:rFonts w:ascii="宋体" w:hAnsi="宋体"/>
                <w:sz w:val="22"/>
                <w:szCs w:val="22"/>
              </w:rPr>
            </w:pPr>
            <w:r>
              <w:rPr>
                <w:rFonts w:hint="eastAsia" w:ascii="宋体" w:hAnsi="宋体"/>
                <w:sz w:val="22"/>
                <w:szCs w:val="22"/>
              </w:rPr>
              <w:t>◆</w:t>
            </w:r>
          </w:p>
        </w:tc>
        <w:tc>
          <w:tcPr>
            <w:tcW w:w="6453" w:type="dxa"/>
            <w:vAlign w:val="center"/>
          </w:tcPr>
          <w:p>
            <w:pPr>
              <w:rPr>
                <w:rFonts w:ascii="宋体" w:hAnsi="宋体"/>
                <w:sz w:val="22"/>
                <w:szCs w:val="22"/>
              </w:rPr>
            </w:pPr>
            <w:r>
              <w:rPr>
                <w:rFonts w:hint="eastAsia" w:ascii="宋体" w:hAnsi="宋体"/>
                <w:sz w:val="22"/>
                <w:szCs w:val="22"/>
              </w:rPr>
              <w:t>通过动态报表的方式对审计结果进行统计分析，内置按安全经验、行业需求分类的多种报表模板，能够从数据库访问模型、源、行为、时间、风险告警等角度满足用户的报表需求。</w:t>
            </w:r>
          </w:p>
        </w:tc>
      </w:tr>
    </w:tbl>
    <w:p>
      <w:pPr>
        <w:pStyle w:val="2"/>
        <w:ind w:firstLine="640"/>
      </w:pPr>
    </w:p>
    <w:p>
      <w:pPr>
        <w:pStyle w:val="71"/>
        <w:numPr>
          <w:ilvl w:val="0"/>
          <w:numId w:val="4"/>
        </w:numPr>
        <w:spacing w:line="360" w:lineRule="auto"/>
        <w:rPr>
          <w:rFonts w:hAnsi="宋体"/>
          <w:b/>
          <w:bCs/>
          <w:color w:val="auto"/>
          <w:sz w:val="28"/>
          <w:szCs w:val="28"/>
        </w:rPr>
      </w:pPr>
      <w:r>
        <w:rPr>
          <w:rFonts w:hint="eastAsia" w:hAnsi="宋体"/>
          <w:b/>
          <w:bCs/>
          <w:color w:val="auto"/>
          <w:sz w:val="28"/>
          <w:szCs w:val="28"/>
        </w:rPr>
        <w:t>DDoS高防</w:t>
      </w:r>
    </w:p>
    <w:p>
      <w:pPr>
        <w:snapToGrid w:val="0"/>
        <w:spacing w:line="360" w:lineRule="auto"/>
        <w:ind w:firstLine="420"/>
        <w:rPr>
          <w:rFonts w:ascii="宋体" w:hAnsi="宋体" w:cs="宋体"/>
          <w:kern w:val="0"/>
          <w:sz w:val="24"/>
        </w:rPr>
      </w:pPr>
      <w:r>
        <w:rPr>
          <w:rFonts w:hint="eastAsia" w:ascii="宋体" w:hAnsi="宋体" w:cs="宋体"/>
          <w:kern w:val="0"/>
          <w:sz w:val="24"/>
        </w:rPr>
        <w:t>抗DDoS产品是针对DDoS(分布式拒绝服务)攻击防护而提供的专业安全服务。DDoS 攻击通过大量消耗目标网络或系统资源的方式造成大规模破坏，是一种危险且高发的黑客行为。抗DDoS 产品通过内置的识别和检测分析技术检测DDoS 攻击，通过流量清洗设备对DDoS 攻击流量进行过滤，保护用户免遭DDoS攻击。</w:t>
      </w:r>
    </w:p>
    <w:p>
      <w:pPr>
        <w:snapToGrid w:val="0"/>
        <w:spacing w:line="360" w:lineRule="auto"/>
        <w:ind w:firstLine="420"/>
        <w:jc w:val="center"/>
        <w:rPr>
          <w:rFonts w:ascii="宋体" w:hAnsi="宋体" w:cs="宋体"/>
          <w:kern w:val="0"/>
          <w:sz w:val="24"/>
        </w:rPr>
      </w:pPr>
    </w:p>
    <w:p>
      <w:pPr>
        <w:pStyle w:val="71"/>
        <w:numPr>
          <w:ilvl w:val="0"/>
          <w:numId w:val="4"/>
        </w:numPr>
        <w:spacing w:line="360" w:lineRule="auto"/>
        <w:rPr>
          <w:rFonts w:hAnsi="宋体"/>
          <w:b/>
          <w:bCs/>
          <w:color w:val="auto"/>
          <w:sz w:val="28"/>
          <w:szCs w:val="28"/>
        </w:rPr>
      </w:pPr>
      <w:r>
        <w:rPr>
          <w:rFonts w:hint="eastAsia" w:hAnsi="宋体"/>
          <w:b/>
          <w:bCs/>
          <w:color w:val="auto"/>
          <w:sz w:val="28"/>
          <w:szCs w:val="28"/>
        </w:rPr>
        <w:t>SSL证书</w:t>
      </w:r>
    </w:p>
    <w:p>
      <w:pPr>
        <w:snapToGrid w:val="0"/>
        <w:spacing w:line="360" w:lineRule="auto"/>
        <w:ind w:firstLine="420"/>
        <w:rPr>
          <w:rFonts w:ascii="宋体" w:hAnsi="宋体" w:cs="宋体"/>
          <w:kern w:val="0"/>
          <w:sz w:val="24"/>
        </w:rPr>
      </w:pPr>
      <w:r>
        <w:rPr>
          <w:rFonts w:hint="eastAsia" w:ascii="宋体" w:hAnsi="宋体" w:cs="宋体"/>
          <w:kern w:val="0"/>
          <w:sz w:val="24"/>
        </w:rPr>
        <w:t>SSL证书是一种遵守SSL协议的服务器数字证书，由受信任的根证书颁发机构颁发。</w:t>
      </w:r>
    </w:p>
    <w:p>
      <w:pPr>
        <w:snapToGrid w:val="0"/>
        <w:spacing w:line="360" w:lineRule="auto"/>
        <w:ind w:firstLine="420"/>
        <w:rPr>
          <w:rFonts w:ascii="宋体" w:hAnsi="宋体" w:cs="宋体"/>
          <w:kern w:val="0"/>
          <w:sz w:val="24"/>
        </w:rPr>
      </w:pPr>
      <w:r>
        <w:rPr>
          <w:rFonts w:hint="eastAsia" w:ascii="宋体" w:hAnsi="宋体" w:cs="宋体"/>
          <w:kern w:val="0"/>
          <w:sz w:val="24"/>
        </w:rPr>
        <w:t>SSL证书采用SSL协议进行通信，SSL证书部署到服务器后，服务器端的访问将启用HTTPS协议。您的网站将会通过HTTPS加密协议来传输数据，可帮助服务器端和客户端之间建立加密链接，从而保证数据传输的安全。S</w:t>
      </w:r>
      <w:r>
        <w:rPr>
          <w:rFonts w:ascii="宋体" w:hAnsi="宋体" w:cs="宋体"/>
          <w:kern w:val="0"/>
          <w:sz w:val="24"/>
        </w:rPr>
        <w:t>SL</w:t>
      </w:r>
      <w:r>
        <w:rPr>
          <w:rFonts w:hint="eastAsia" w:ascii="宋体" w:hAnsi="宋体" w:cs="宋体"/>
          <w:kern w:val="0"/>
          <w:sz w:val="24"/>
        </w:rPr>
        <w:t>证书应提供购买证书、申请证书、吊销证书、重颁发、管理证书等功能。</w:t>
      </w:r>
    </w:p>
    <w:p>
      <w:pPr>
        <w:pStyle w:val="71"/>
        <w:numPr>
          <w:ilvl w:val="0"/>
          <w:numId w:val="4"/>
        </w:numPr>
        <w:spacing w:line="360" w:lineRule="auto"/>
        <w:rPr>
          <w:rFonts w:hAnsi="宋体"/>
          <w:b/>
          <w:bCs/>
          <w:color w:val="auto"/>
          <w:sz w:val="28"/>
          <w:szCs w:val="28"/>
        </w:rPr>
      </w:pPr>
      <w:r>
        <w:rPr>
          <w:rFonts w:hint="eastAsia" w:hAnsi="宋体"/>
          <w:b/>
          <w:bCs/>
          <w:color w:val="auto"/>
          <w:sz w:val="28"/>
          <w:szCs w:val="28"/>
        </w:rPr>
        <w:t>门票预约系统、OA系统的网络安全防护达到三级等保要求，能通过三级等保测评。</w:t>
      </w:r>
    </w:p>
    <w:p>
      <w:pPr>
        <w:pStyle w:val="2"/>
        <w:ind w:firstLine="640"/>
      </w:pPr>
    </w:p>
    <w:p>
      <w:pPr>
        <w:pStyle w:val="71"/>
        <w:spacing w:line="360" w:lineRule="auto"/>
        <w:rPr>
          <w:rFonts w:hAnsi="宋体"/>
          <w:b/>
          <w:bCs/>
          <w:color w:val="auto"/>
          <w:sz w:val="28"/>
          <w:szCs w:val="28"/>
        </w:rPr>
      </w:pPr>
    </w:p>
    <w:p>
      <w:pPr>
        <w:pStyle w:val="71"/>
        <w:spacing w:line="360" w:lineRule="auto"/>
        <w:outlineLvl w:val="2"/>
        <w:rPr>
          <w:rFonts w:hAnsi="宋体"/>
          <w:b/>
          <w:bCs/>
          <w:color w:val="auto"/>
          <w:sz w:val="28"/>
          <w:szCs w:val="28"/>
        </w:rPr>
      </w:pPr>
      <w:r>
        <w:rPr>
          <w:rFonts w:hint="eastAsia" w:hAnsi="宋体"/>
          <w:b/>
          <w:bCs/>
          <w:color w:val="auto"/>
          <w:sz w:val="28"/>
          <w:szCs w:val="28"/>
        </w:rPr>
        <w:t>1.2</w:t>
      </w:r>
      <w:r>
        <w:rPr>
          <w:rFonts w:hAnsi="宋体"/>
          <w:b/>
          <w:bCs/>
          <w:color w:val="auto"/>
          <w:sz w:val="28"/>
          <w:szCs w:val="28"/>
        </w:rPr>
        <w:t xml:space="preserve"> </w:t>
      </w:r>
      <w:r>
        <w:rPr>
          <w:rFonts w:hint="eastAsia" w:hAnsi="宋体"/>
          <w:b/>
          <w:bCs/>
          <w:color w:val="auto"/>
          <w:sz w:val="28"/>
          <w:szCs w:val="28"/>
        </w:rPr>
        <w:t>托管服务</w:t>
      </w:r>
    </w:p>
    <w:tbl>
      <w:tblPr>
        <w:tblStyle w:val="34"/>
        <w:tblW w:w="8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83"/>
        <w:gridCol w:w="5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b/>
                <w:kern w:val="0"/>
                <w:sz w:val="24"/>
              </w:rPr>
            </w:pPr>
            <w:r>
              <w:rPr>
                <w:rFonts w:hint="eastAsia" w:ascii="宋体" w:hAnsi="宋体" w:cs="宋体"/>
                <w:b/>
                <w:kern w:val="0"/>
                <w:sz w:val="24"/>
              </w:rPr>
              <w:t>服务项</w:t>
            </w:r>
          </w:p>
        </w:tc>
        <w:tc>
          <w:tcPr>
            <w:tcW w:w="59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b/>
                <w:kern w:val="0"/>
                <w:sz w:val="24"/>
              </w:rPr>
            </w:pPr>
            <w:r>
              <w:rPr>
                <w:rFonts w:hint="eastAsia" w:ascii="宋体" w:hAnsi="宋体" w:cs="宋体"/>
                <w:b/>
                <w:kern w:val="0"/>
                <w:sz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虚拟化部署服务</w:t>
            </w:r>
          </w:p>
        </w:tc>
        <w:tc>
          <w:tcPr>
            <w:tcW w:w="59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部署新增应用系统到云平台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运维监控服务</w:t>
            </w:r>
          </w:p>
        </w:tc>
        <w:tc>
          <w:tcPr>
            <w:tcW w:w="59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结合博物馆实际的业务发展规划与IT系统结构现状，帮助博物馆搭建以服务为导向的IT服务管理体系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优化服务</w:t>
            </w:r>
          </w:p>
        </w:tc>
        <w:tc>
          <w:tcPr>
            <w:tcW w:w="59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为客户提供评估、规划和诊断服务，帮助客户提高系统运行效率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项目管理服务</w:t>
            </w:r>
          </w:p>
        </w:tc>
        <w:tc>
          <w:tcPr>
            <w:tcW w:w="59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参与制订详细的服务工作进度计划；</w:t>
            </w:r>
            <w:r>
              <w:rPr>
                <w:rFonts w:hint="eastAsia" w:ascii="宋体" w:hAnsi="宋体" w:cs="宋体"/>
                <w:kern w:val="0"/>
                <w:sz w:val="24"/>
              </w:rPr>
              <w:br/>
            </w:r>
            <w:r>
              <w:rPr>
                <w:rFonts w:hint="eastAsia" w:ascii="宋体" w:hAnsi="宋体" w:cs="宋体"/>
                <w:kern w:val="0"/>
                <w:sz w:val="24"/>
              </w:rPr>
              <w:t>基于实施计划的服务过程管理文档撰写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访问控制服务</w:t>
            </w:r>
          </w:p>
        </w:tc>
        <w:tc>
          <w:tcPr>
            <w:tcW w:w="59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支持根据ip和时间对用户进行访问控制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网络架构支持服务</w:t>
            </w:r>
          </w:p>
        </w:tc>
        <w:tc>
          <w:tcPr>
            <w:tcW w:w="59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支持多种虚拟网络拓扑架构，包括vlan、vxlan、GRE等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分布式路由器服务</w:t>
            </w:r>
          </w:p>
        </w:tc>
        <w:tc>
          <w:tcPr>
            <w:tcW w:w="59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支持分布式路由器，解决集中式路由器的性能瓶颈问题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冷迁移服务</w:t>
            </w:r>
          </w:p>
        </w:tc>
        <w:tc>
          <w:tcPr>
            <w:tcW w:w="59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支持平台中的虚拟机关机后迁移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热迁移服务</w:t>
            </w:r>
          </w:p>
        </w:tc>
        <w:tc>
          <w:tcPr>
            <w:tcW w:w="59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支持平台中的虚拟机运行时迁移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策略动态迁移服务</w:t>
            </w:r>
          </w:p>
        </w:tc>
        <w:tc>
          <w:tcPr>
            <w:tcW w:w="59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支持虚拟机在动态迁移过程中的访问控制策略实时生效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分布式存储服务</w:t>
            </w:r>
          </w:p>
        </w:tc>
        <w:tc>
          <w:tcPr>
            <w:tcW w:w="59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支持分布式存储，如ceph等，提高存储资源利用率，提供自动冗余备份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物理资源监控服务</w:t>
            </w:r>
          </w:p>
        </w:tc>
        <w:tc>
          <w:tcPr>
            <w:tcW w:w="59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支持对监控云内物理服务器的CPU、内存的使用率，支持监控物理磁盘的使用率、IO读写字节数和IO读写率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虚拟资源监控服务</w:t>
            </w:r>
          </w:p>
        </w:tc>
        <w:tc>
          <w:tcPr>
            <w:tcW w:w="59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支持对云内虚拟资源，包括虚拟机、虚拟网络、虚拟磁盘、虚拟磁盘、网络流量、租户级别的虚拟网络流量、虚拟机级别的虚拟网络流量进行监控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自动告警服务</w:t>
            </w:r>
          </w:p>
        </w:tc>
        <w:tc>
          <w:tcPr>
            <w:tcW w:w="59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支持为CPU、内存、磁盘、网络流量等资源设定阈值，在资源消耗超过阈值时进行自动告警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闸机维护服务</w:t>
            </w:r>
          </w:p>
        </w:tc>
        <w:tc>
          <w:tcPr>
            <w:tcW w:w="59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支持对所有闸机运行情况；闸机系统故障；闸机硬件问题；进行处理汇总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OA系统</w:t>
            </w:r>
          </w:p>
        </w:tc>
        <w:tc>
          <w:tcPr>
            <w:tcW w:w="59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负责OA系统的部署和维护服务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票务软件系统维护</w:t>
            </w:r>
          </w:p>
        </w:tc>
        <w:tc>
          <w:tcPr>
            <w:tcW w:w="59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负责线上票务软件系统维护服务</w:t>
            </w:r>
          </w:p>
        </w:tc>
      </w:tr>
    </w:tbl>
    <w:p>
      <w:pPr>
        <w:pStyle w:val="71"/>
        <w:spacing w:line="360" w:lineRule="auto"/>
        <w:outlineLvl w:val="2"/>
        <w:rPr>
          <w:rFonts w:hAnsi="宋体"/>
          <w:b/>
          <w:bCs/>
          <w:color w:val="auto"/>
          <w:sz w:val="28"/>
          <w:szCs w:val="28"/>
        </w:rPr>
      </w:pPr>
      <w:r>
        <w:rPr>
          <w:rFonts w:hint="eastAsia" w:hAnsi="宋体"/>
          <w:b/>
          <w:bCs/>
          <w:color w:val="auto"/>
          <w:sz w:val="28"/>
          <w:szCs w:val="28"/>
        </w:rPr>
        <w:t>1.3</w:t>
      </w:r>
      <w:r>
        <w:rPr>
          <w:rFonts w:hAnsi="宋体"/>
          <w:b/>
          <w:bCs/>
          <w:color w:val="auto"/>
          <w:sz w:val="28"/>
          <w:szCs w:val="28"/>
        </w:rPr>
        <w:t xml:space="preserve"> </w:t>
      </w:r>
      <w:r>
        <w:rPr>
          <w:rFonts w:hint="eastAsia" w:hAnsi="宋体"/>
          <w:b/>
          <w:bCs/>
          <w:color w:val="auto"/>
          <w:sz w:val="28"/>
          <w:szCs w:val="28"/>
        </w:rPr>
        <w:t>配置需求</w:t>
      </w:r>
    </w:p>
    <w:p>
      <w:pPr>
        <w:pStyle w:val="71"/>
        <w:spacing w:line="360" w:lineRule="auto"/>
        <w:outlineLvl w:val="2"/>
        <w:rPr>
          <w:rFonts w:hAnsi="宋体"/>
          <w:b/>
          <w:bCs/>
          <w:color w:val="auto"/>
          <w:sz w:val="28"/>
          <w:szCs w:val="28"/>
        </w:rPr>
      </w:pPr>
      <w:r>
        <w:rPr>
          <w:rFonts w:hint="eastAsia" w:hAnsi="宋体"/>
          <w:b/>
          <w:bCs/>
          <w:color w:val="auto"/>
          <w:sz w:val="28"/>
          <w:szCs w:val="28"/>
        </w:rPr>
        <w:t>1.3.1门票预约系统云托管服务</w:t>
      </w:r>
    </w:p>
    <w:p>
      <w:pPr>
        <w:snapToGrid w:val="0"/>
        <w:spacing w:line="360" w:lineRule="auto"/>
        <w:ind w:firstLine="420"/>
        <w:rPr>
          <w:rFonts w:ascii="宋体" w:hAnsi="宋体" w:cs="宋体"/>
          <w:kern w:val="0"/>
          <w:sz w:val="24"/>
        </w:rPr>
      </w:pPr>
      <w:r>
        <w:rPr>
          <w:rFonts w:hint="eastAsia" w:ascii="宋体" w:hAnsi="宋体" w:cs="宋体"/>
          <w:kern w:val="0"/>
          <w:sz w:val="24"/>
        </w:rPr>
        <w:t>湖北省博物馆票务系统是具备大量网络并发和网络资源需求的应用服务，需要完善的基础支撑。本次云数据中心服务设计，旨在充分保证湖北省博物馆票务系统的稳定运行和安全访问，从而为观众提供便捷、泛在化的网络服务入口，使观众能够方便地进行博物馆在线预约、免费预约博物馆门票。</w:t>
      </w:r>
    </w:p>
    <w:p>
      <w:pPr>
        <w:pStyle w:val="71"/>
        <w:spacing w:line="360" w:lineRule="auto"/>
        <w:rPr>
          <w:rFonts w:hAnsi="宋体"/>
          <w:snapToGrid w:val="0"/>
          <w:color w:val="auto"/>
        </w:rPr>
      </w:pPr>
      <w:r>
        <w:rPr>
          <w:rFonts w:hint="eastAsia" w:hAnsi="宋体"/>
          <w:snapToGrid w:val="0"/>
          <w:color w:val="auto"/>
        </w:rPr>
        <w:t>配置需求见上表《采购服务具体技术参数及要求》。</w:t>
      </w:r>
    </w:p>
    <w:p>
      <w:pPr>
        <w:pStyle w:val="6"/>
        <w:numPr>
          <w:ilvl w:val="2"/>
          <w:numId w:val="0"/>
        </w:numPr>
        <w:tabs>
          <w:tab w:val="left" w:pos="576"/>
          <w:tab w:val="clear" w:pos="1260"/>
        </w:tabs>
        <w:rPr>
          <w:rFonts w:ascii="宋体" w:hAnsi="宋体" w:cs="宋体"/>
          <w:kern w:val="0"/>
          <w:szCs w:val="28"/>
        </w:rPr>
      </w:pPr>
      <w:r>
        <w:rPr>
          <w:rFonts w:ascii="宋体" w:hAnsi="宋体" w:cs="宋体"/>
          <w:kern w:val="0"/>
          <w:sz w:val="28"/>
          <w:szCs w:val="28"/>
        </w:rPr>
        <w:t>1.3.2</w:t>
      </w:r>
      <w:r>
        <w:rPr>
          <w:rFonts w:hint="eastAsia" w:ascii="宋体" w:hAnsi="宋体" w:cs="宋体"/>
          <w:kern w:val="0"/>
          <w:sz w:val="28"/>
          <w:szCs w:val="28"/>
        </w:rPr>
        <w:t>新馆展厅VR全景展示导览系统云托管服务</w:t>
      </w:r>
    </w:p>
    <w:p>
      <w:pPr>
        <w:pStyle w:val="71"/>
        <w:spacing w:line="360" w:lineRule="auto"/>
        <w:ind w:firstLine="480" w:firstLineChars="200"/>
        <w:rPr>
          <w:rFonts w:hAnsi="宋体"/>
          <w:bCs/>
          <w:snapToGrid w:val="0"/>
          <w:color w:val="auto"/>
          <w:kern w:val="21"/>
          <w:szCs w:val="21"/>
        </w:rPr>
      </w:pPr>
      <w:r>
        <w:rPr>
          <w:rFonts w:hint="eastAsia" w:hAnsi="宋体"/>
          <w:bCs/>
          <w:snapToGrid w:val="0"/>
          <w:color w:val="auto"/>
          <w:kern w:val="21"/>
          <w:szCs w:val="21"/>
        </w:rPr>
        <w:t>主要导览内容包括但不限于：新馆展厅（含曾侯乙展厅、曾世家、楚国八百年、梁庄王展厅、越王勾践展厅）720°全景虚拟线上拍摄制作，部分展品实景三维制作，实现展览在PC、移动平台（手机、平板、iPad等）上可根据用户意愿自主参观。暂需配置需求见上表《采购服务具体技术参数及要求》，后期加模型、视频还要扩展一定空间。</w:t>
      </w:r>
    </w:p>
    <w:p>
      <w:pPr>
        <w:pStyle w:val="6"/>
        <w:numPr>
          <w:ilvl w:val="2"/>
          <w:numId w:val="0"/>
        </w:numPr>
        <w:tabs>
          <w:tab w:val="left" w:pos="576"/>
          <w:tab w:val="clear" w:pos="1260"/>
        </w:tabs>
        <w:rPr>
          <w:rFonts w:ascii="宋体" w:hAnsi="宋体" w:cs="宋体"/>
          <w:kern w:val="0"/>
          <w:szCs w:val="28"/>
        </w:rPr>
      </w:pPr>
      <w:r>
        <w:rPr>
          <w:rFonts w:ascii="宋体" w:hAnsi="宋体" w:cs="宋体"/>
          <w:kern w:val="0"/>
          <w:sz w:val="28"/>
          <w:szCs w:val="28"/>
        </w:rPr>
        <w:t>1.3.3</w:t>
      </w:r>
      <w:r>
        <w:rPr>
          <w:rFonts w:hint="eastAsia" w:ascii="宋体" w:hAnsi="宋体" w:cs="宋体"/>
          <w:kern w:val="0"/>
          <w:sz w:val="28"/>
          <w:szCs w:val="28"/>
        </w:rPr>
        <w:t>陂安南革命旧址语音导览系统云托管服务</w:t>
      </w:r>
    </w:p>
    <w:p>
      <w:pPr>
        <w:pStyle w:val="71"/>
        <w:spacing w:line="360" w:lineRule="auto"/>
        <w:rPr>
          <w:rFonts w:hAnsi="宋体"/>
          <w:bCs/>
          <w:snapToGrid w:val="0"/>
          <w:color w:val="auto"/>
          <w:kern w:val="21"/>
          <w:szCs w:val="21"/>
        </w:rPr>
      </w:pPr>
      <w:r>
        <w:rPr>
          <w:rFonts w:hint="eastAsia" w:hAnsi="宋体"/>
          <w:bCs/>
          <w:snapToGrid w:val="0"/>
          <w:color w:val="auto"/>
          <w:kern w:val="21"/>
          <w:szCs w:val="21"/>
        </w:rPr>
        <w:t>主要导览内容包括但不限于：</w:t>
      </w:r>
    </w:p>
    <w:p>
      <w:pPr>
        <w:pStyle w:val="71"/>
        <w:spacing w:line="360" w:lineRule="auto"/>
        <w:rPr>
          <w:rFonts w:hAnsi="宋体"/>
          <w:bCs/>
          <w:snapToGrid w:val="0"/>
          <w:color w:val="auto"/>
          <w:kern w:val="21"/>
          <w:szCs w:val="21"/>
        </w:rPr>
      </w:pPr>
      <w:r>
        <w:rPr>
          <w:rFonts w:hint="eastAsia" w:hAnsi="宋体"/>
          <w:bCs/>
          <w:snapToGrid w:val="0"/>
          <w:color w:val="auto"/>
          <w:kern w:val="21"/>
          <w:szCs w:val="21"/>
        </w:rPr>
        <w:t>1.陂安南革命史展览及旧址复原陈列的语音讲解。</w:t>
      </w:r>
    </w:p>
    <w:p>
      <w:pPr>
        <w:pStyle w:val="71"/>
        <w:spacing w:line="360" w:lineRule="auto"/>
        <w:rPr>
          <w:rFonts w:hAnsi="宋体"/>
          <w:bCs/>
          <w:snapToGrid w:val="0"/>
          <w:color w:val="auto"/>
          <w:kern w:val="21"/>
          <w:szCs w:val="21"/>
        </w:rPr>
      </w:pPr>
      <w:r>
        <w:rPr>
          <w:rFonts w:hint="eastAsia" w:hAnsi="宋体"/>
          <w:bCs/>
          <w:snapToGrid w:val="0"/>
          <w:color w:val="auto"/>
          <w:kern w:val="21"/>
          <w:szCs w:val="21"/>
        </w:rPr>
        <w:t>2.陂安南革命史展览辅助阅读材料，如烈士名录等展板未能全面展示的内容。</w:t>
      </w:r>
    </w:p>
    <w:p>
      <w:pPr>
        <w:pStyle w:val="71"/>
        <w:spacing w:line="360" w:lineRule="auto"/>
        <w:rPr>
          <w:rFonts w:hAnsi="宋体"/>
          <w:bCs/>
          <w:snapToGrid w:val="0"/>
          <w:color w:val="auto"/>
          <w:kern w:val="21"/>
          <w:szCs w:val="21"/>
        </w:rPr>
      </w:pPr>
      <w:r>
        <w:rPr>
          <w:rFonts w:hint="eastAsia" w:hAnsi="宋体"/>
          <w:bCs/>
          <w:snapToGrid w:val="0"/>
          <w:color w:val="auto"/>
          <w:kern w:val="21"/>
          <w:szCs w:val="21"/>
        </w:rPr>
        <w:t>3.扩红广场AR动画展示。</w:t>
      </w:r>
    </w:p>
    <w:p>
      <w:pPr>
        <w:pStyle w:val="71"/>
        <w:spacing w:line="360" w:lineRule="auto"/>
        <w:rPr>
          <w:rFonts w:hAnsi="宋体"/>
          <w:bCs/>
          <w:snapToGrid w:val="0"/>
          <w:color w:val="auto"/>
          <w:kern w:val="21"/>
          <w:szCs w:val="21"/>
        </w:rPr>
      </w:pPr>
      <w:r>
        <w:rPr>
          <w:rFonts w:hint="eastAsia" w:hAnsi="宋体"/>
          <w:bCs/>
          <w:snapToGrid w:val="0"/>
          <w:color w:val="auto"/>
          <w:kern w:val="21"/>
          <w:szCs w:val="21"/>
        </w:rPr>
        <w:t>配置需求见上表《采购服务具体技术参数及要求》。</w:t>
      </w:r>
    </w:p>
    <w:p>
      <w:pPr>
        <w:pStyle w:val="6"/>
        <w:numPr>
          <w:ilvl w:val="2"/>
          <w:numId w:val="0"/>
        </w:numPr>
        <w:tabs>
          <w:tab w:val="left" w:pos="576"/>
          <w:tab w:val="clear" w:pos="1260"/>
        </w:tabs>
        <w:rPr>
          <w:rFonts w:ascii="宋体" w:hAnsi="宋体" w:cs="宋体"/>
          <w:kern w:val="0"/>
          <w:szCs w:val="28"/>
        </w:rPr>
      </w:pPr>
      <w:r>
        <w:rPr>
          <w:rFonts w:ascii="宋体" w:hAnsi="宋体" w:cs="宋体"/>
          <w:kern w:val="0"/>
          <w:sz w:val="28"/>
          <w:szCs w:val="28"/>
        </w:rPr>
        <w:t>1.3.4</w:t>
      </w:r>
      <w:r>
        <w:rPr>
          <w:rFonts w:hint="eastAsia" w:ascii="宋体" w:hAnsi="宋体" w:cs="宋体"/>
          <w:kern w:val="0"/>
          <w:sz w:val="28"/>
          <w:szCs w:val="28"/>
        </w:rPr>
        <w:t>长江文明百物展运维服务</w:t>
      </w:r>
    </w:p>
    <w:p>
      <w:pPr>
        <w:pStyle w:val="71"/>
        <w:spacing w:line="360" w:lineRule="auto"/>
        <w:rPr>
          <w:rFonts w:hAnsi="宋体"/>
          <w:bCs/>
          <w:snapToGrid w:val="0"/>
          <w:color w:val="auto"/>
          <w:kern w:val="21"/>
          <w:szCs w:val="21"/>
        </w:rPr>
      </w:pPr>
      <w:r>
        <w:rPr>
          <w:rFonts w:hint="eastAsia" w:hAnsi="宋体"/>
          <w:bCs/>
          <w:snapToGrid w:val="0"/>
          <w:color w:val="auto"/>
          <w:kern w:val="21"/>
          <w:szCs w:val="21"/>
        </w:rPr>
        <w:t>配置需求见上表《采购服务具体技术参数及要求》。</w:t>
      </w:r>
    </w:p>
    <w:p>
      <w:pPr>
        <w:pStyle w:val="6"/>
        <w:numPr>
          <w:ilvl w:val="2"/>
          <w:numId w:val="0"/>
        </w:numPr>
        <w:spacing w:line="416" w:lineRule="auto"/>
        <w:rPr>
          <w:rFonts w:hAnsi="宋体"/>
          <w:bCs w:val="0"/>
          <w:color w:val="auto"/>
          <w:kern w:val="0"/>
          <w:sz w:val="28"/>
          <w:szCs w:val="28"/>
        </w:rPr>
      </w:pPr>
      <w:r>
        <w:rPr>
          <w:rFonts w:ascii="宋体" w:hAnsi="宋体" w:cs="宋体"/>
          <w:b w:val="0"/>
          <w:kern w:val="0"/>
          <w:sz w:val="28"/>
          <w:szCs w:val="28"/>
        </w:rPr>
        <w:t>1.3.5OA系统云托管服务</w:t>
      </w:r>
    </w:p>
    <w:p>
      <w:pPr>
        <w:pStyle w:val="71"/>
        <w:spacing w:line="360" w:lineRule="auto"/>
        <w:rPr>
          <w:rFonts w:hAnsi="宋体"/>
          <w:bCs/>
          <w:snapToGrid w:val="0"/>
          <w:color w:val="auto"/>
          <w:kern w:val="21"/>
          <w:szCs w:val="21"/>
        </w:rPr>
      </w:pPr>
      <w:r>
        <w:rPr>
          <w:rFonts w:hint="eastAsia" w:hAnsi="宋体"/>
          <w:bCs/>
          <w:snapToGrid w:val="0"/>
          <w:color w:val="auto"/>
          <w:kern w:val="21"/>
          <w:szCs w:val="21"/>
        </w:rPr>
        <w:t>配置需求见上表《采购服务具体技术参数及要求》。</w:t>
      </w:r>
    </w:p>
    <w:p>
      <w:pPr>
        <w:pStyle w:val="71"/>
        <w:spacing w:line="360" w:lineRule="auto"/>
        <w:rPr>
          <w:rFonts w:hAnsi="宋体"/>
          <w:bCs/>
          <w:snapToGrid w:val="0"/>
          <w:color w:val="auto"/>
          <w:kern w:val="21"/>
          <w:szCs w:val="21"/>
        </w:rPr>
      </w:pPr>
    </w:p>
    <w:p>
      <w:pPr>
        <w:pStyle w:val="71"/>
        <w:spacing w:line="360" w:lineRule="auto"/>
      </w:pPr>
    </w:p>
    <w:p>
      <w:pPr>
        <w:pStyle w:val="5"/>
        <w:ind w:left="0" w:firstLine="0"/>
      </w:pPr>
      <w:r>
        <w:rPr>
          <w:rFonts w:hint="eastAsia"/>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2.1.1合同履行期限：合同签订之日起7个日历天内实施完毕。实施过程中，各业务系统的中断时间不得超过1次，每次不得超过1天。中断前需提前3天征得采购人同意</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2.1.4验收要求：服务安装调试完毕，经采购人验收签字认可。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pStyle w:val="71"/>
        <w:ind w:firstLine="480" w:firstLineChars="200"/>
        <w:rPr>
          <w:rFonts w:hAnsi="宋体" w:cs="Times New Roman"/>
          <w:color w:val="auto"/>
          <w:kern w:val="2"/>
          <w:szCs w:val="22"/>
        </w:rPr>
      </w:pPr>
      <w:r>
        <w:rPr>
          <w:rFonts w:hAnsi="宋体" w:cs="Times New Roman"/>
          <w:color w:val="auto"/>
          <w:kern w:val="2"/>
          <w:szCs w:val="22"/>
        </w:rPr>
        <w:t>2.1.7付款方式：</w:t>
      </w:r>
      <w:r>
        <w:rPr>
          <w:rFonts w:hint="eastAsia" w:hAnsi="宋体" w:cs="Times New Roman"/>
          <w:color w:val="auto"/>
          <w:kern w:val="2"/>
          <w:szCs w:val="22"/>
        </w:rPr>
        <w:t>本项目无预付款，中标人开通相关服务功能，经验收合格后，中标人提供票据后15日之内，采购人按湖北省财政厅相关规定将款项从国库支付至中标人对公账户。中标人认可采购人按约定的付款时间向湖北省财政厅提出了资金支付申请，则视同采购人已履行了合同付款时间义务。中标人必须按国家有关财税规定开具发票。</w:t>
      </w:r>
    </w:p>
    <w:p>
      <w:pPr>
        <w:spacing w:line="440" w:lineRule="exact"/>
        <w:ind w:left="240" w:hanging="240" w:hangingChars="100"/>
        <w:rPr>
          <w:rFonts w:ascii="宋体" w:hAnsi="宋体"/>
          <w:sz w:val="24"/>
          <w:szCs w:val="22"/>
        </w:rPr>
      </w:pPr>
      <w:r>
        <w:rPr>
          <w:rFonts w:hint="eastAsia" w:ascii="宋体" w:hAnsi="宋体"/>
          <w:sz w:val="24"/>
          <w:szCs w:val="22"/>
        </w:rPr>
        <w:t>2.1.8服务期限：若合同履行期间无纠纷，履约到位后，经采购人同意可与中标人在次年续签采购合同，</w:t>
      </w:r>
      <w:r>
        <w:rPr>
          <w:rFonts w:hint="eastAsia" w:ascii="宋体" w:hAnsi="宋体" w:cs="Times New Roman"/>
          <w:color w:val="auto"/>
          <w:kern w:val="0"/>
          <w:sz w:val="24"/>
          <w:szCs w:val="22"/>
        </w:rPr>
        <w:t>每次续签一年，</w:t>
      </w:r>
      <w:r>
        <w:rPr>
          <w:rFonts w:hint="eastAsia" w:ascii="宋体" w:hAnsi="宋体"/>
          <w:sz w:val="24"/>
          <w:szCs w:val="22"/>
        </w:rPr>
        <w:t>最多续签两次。</w:t>
      </w: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s="宋体"/>
          <w:caps/>
          <w:sz w:val="24"/>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pPr>
        <w:pStyle w:val="5"/>
        <w:ind w:left="0" w:firstLine="0"/>
      </w:pPr>
      <w:r>
        <w:rPr>
          <w:rFonts w:hint="eastAsia"/>
        </w:rPr>
        <w:t>三、评审方法</w:t>
      </w:r>
    </w:p>
    <w:p>
      <w:pPr>
        <w:shd w:val="clear" w:color="auto" w:fill="FFFFFF"/>
        <w:spacing w:line="360" w:lineRule="auto"/>
        <w:ind w:firstLine="480" w:firstLineChars="200"/>
        <w:rPr>
          <w:rFonts w:ascii="宋体" w:hAnsi="宋体" w:cs="宋体"/>
          <w:caps/>
          <w:sz w:val="24"/>
        </w:rPr>
      </w:pPr>
      <w:r>
        <w:rPr>
          <w:rFonts w:hint="eastAsia" w:ascii="宋体" w:hAnsi="宋体" w:cs="宋体"/>
          <w:caps/>
          <w:sz w:val="24"/>
        </w:rPr>
        <w:t>磋商小组按以下工作程序进行评审：资格审查、符合性检查、磋商、综合比较和评价、确定成交候选供应商名单。</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（一）资格审查方法和标准</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磋商小组根据法律、法规和磋商文件的规定，对照供应商提供的资格证明文件，对供应商的资格进行审查，以确定供应商资格是否合格。</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资格证明文件审查</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供应商所递交的资格证明文件出现不符合下列情形之一或不足以证明其符合下列情形之一的，应视为资格审查不合格，并按照无效响应处理：</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应具备《政府采购法》第二十二条第一款规定的条件，需提供营业执照或事业单位法人证书或执业许可证（非企业专业服务机构）或个体工商户营业执照等证明文件（银行、保险、石油石化、电力、电信等有行业特殊情况的，视为其总公司的分支机构具备独立承担民事责任的能力；其他行业总公司的分支机构不具备独立承担民事责任的能力）及盖章的《资格条件承诺函》（格式详见采购文件第六章）。</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无政府采购回避事项的书面声明。（格式参见第六章附件《资格条件承诺函》）</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未被列入失信被执行人、重大税收违法案件当事人名单，未被列入政府采购严重违法失信行为记录名单的查询结果截图（无需供应商提供截图，以集中采购代理机构或采购人在首次递交文件截止当日查询截图为准）；</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磋商文件第二章“供应商资格要求”中有特殊要求的，供应商应提供其符合特殊要求的证明材料或者情况说明；</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符合联合体磋商相关规定和要求的；</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供应商认为需提供的其它相关资格证明材料；</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确定资格审查合格供应商</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磋商小组按照本章“资格审查方法及标准”，对各供应商资格证明文件进行审查。磋商小组依据对各供应商资格证明文件的审查结果，确定资格审查合格的供应商，并形成书面的资格审查报告。</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资格审查合格供应商不足3家的，不进行符合性检查。</w:t>
      </w:r>
    </w:p>
    <w:p>
      <w:pPr>
        <w:shd w:val="clear" w:color="auto" w:fill="FFFFFF"/>
        <w:spacing w:line="360" w:lineRule="auto"/>
        <w:ind w:firstLine="240" w:firstLineChars="100"/>
        <w:rPr>
          <w:rFonts w:ascii="宋体" w:hAnsi="宋体" w:cs="宋体"/>
          <w:caps/>
          <w:sz w:val="24"/>
        </w:rPr>
      </w:pPr>
      <w:r>
        <w:rPr>
          <w:rFonts w:ascii="宋体" w:hAnsi="宋体" w:cs="宋体"/>
          <w:caps/>
          <w:sz w:val="24"/>
        </w:rPr>
        <w:br w:type="page"/>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附表1：资格审查表</w:t>
      </w:r>
    </w:p>
    <w:tbl>
      <w:tblPr>
        <w:tblStyle w:val="34"/>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988"/>
        <w:gridCol w:w="865"/>
        <w:gridCol w:w="3954"/>
        <w:gridCol w:w="3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85" w:hRule="atLeast"/>
          <w:jc w:val="center"/>
        </w:trPr>
        <w:tc>
          <w:tcPr>
            <w:tcW w:w="988" w:type="dxa"/>
            <w:vAlign w:val="center"/>
          </w:tcPr>
          <w:p>
            <w:pPr>
              <w:rPr>
                <w:sz w:val="21"/>
              </w:rPr>
            </w:pPr>
            <w:r>
              <w:rPr>
                <w:rFonts w:hint="eastAsia"/>
                <w:sz w:val="21"/>
              </w:rPr>
              <w:t>序号</w:t>
            </w:r>
          </w:p>
        </w:tc>
        <w:tc>
          <w:tcPr>
            <w:tcW w:w="4819" w:type="dxa"/>
            <w:gridSpan w:val="2"/>
            <w:vAlign w:val="center"/>
          </w:tcPr>
          <w:p>
            <w:pPr>
              <w:rPr>
                <w:sz w:val="21"/>
              </w:rPr>
            </w:pPr>
            <w:r>
              <w:rPr>
                <w:rFonts w:hint="eastAsia"/>
                <w:sz w:val="21"/>
              </w:rPr>
              <w:t>资格要求</w:t>
            </w:r>
          </w:p>
        </w:tc>
        <w:tc>
          <w:tcPr>
            <w:tcW w:w="3933" w:type="dxa"/>
            <w:vAlign w:val="center"/>
          </w:tcPr>
          <w:p>
            <w:pPr>
              <w:rPr>
                <w:sz w:val="21"/>
              </w:rPr>
            </w:pPr>
            <w:r>
              <w:rPr>
                <w:rFonts w:hint="eastAsia"/>
                <w:sz w:val="21"/>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85" w:hRule="atLeast"/>
          <w:jc w:val="center"/>
        </w:trPr>
        <w:tc>
          <w:tcPr>
            <w:tcW w:w="988" w:type="dxa"/>
            <w:vMerge w:val="restart"/>
            <w:vAlign w:val="center"/>
          </w:tcPr>
          <w:p>
            <w:pPr>
              <w:rPr>
                <w:sz w:val="21"/>
              </w:rPr>
            </w:pPr>
            <w:r>
              <w:rPr>
                <w:rFonts w:hint="eastAsia"/>
                <w:sz w:val="21"/>
              </w:rPr>
              <w:t>1</w:t>
            </w:r>
          </w:p>
        </w:tc>
        <w:tc>
          <w:tcPr>
            <w:tcW w:w="865" w:type="dxa"/>
            <w:vMerge w:val="restart"/>
            <w:vAlign w:val="center"/>
          </w:tcPr>
          <w:p>
            <w:pPr>
              <w:rPr>
                <w:sz w:val="21"/>
              </w:rPr>
            </w:pPr>
            <w:r>
              <w:rPr>
                <w:rFonts w:hint="eastAsia"/>
                <w:sz w:val="21"/>
              </w:rPr>
              <w:t>《中华人民共和国政府采购法》第二十二条规定</w:t>
            </w:r>
          </w:p>
        </w:tc>
        <w:tc>
          <w:tcPr>
            <w:tcW w:w="3954" w:type="dxa"/>
            <w:vAlign w:val="center"/>
          </w:tcPr>
          <w:p>
            <w:pPr>
              <w:rPr>
                <w:sz w:val="21"/>
              </w:rPr>
            </w:pPr>
            <w:r>
              <w:rPr>
                <w:rFonts w:hint="eastAsia"/>
                <w:sz w:val="21"/>
              </w:rPr>
              <w:t xml:space="preserve">具有独立承担民事责任的能力 </w:t>
            </w:r>
          </w:p>
        </w:tc>
        <w:tc>
          <w:tcPr>
            <w:tcW w:w="3933" w:type="dxa"/>
            <w:vAlign w:val="center"/>
          </w:tcPr>
          <w:p>
            <w:pPr>
              <w:rPr>
                <w:sz w:val="21"/>
              </w:rPr>
            </w:pPr>
            <w:r>
              <w:rPr>
                <w:rFonts w:hint="eastAsia"/>
                <w:sz w:val="21"/>
              </w:rPr>
              <w:t>营业执照或事业单位法人证书或执业许可证（非企业专业服务机构）或个体工商户营业执照等证明文件</w:t>
            </w:r>
            <w:r>
              <w:rPr>
                <w:sz w:val="21"/>
              </w:rPr>
              <w:t>（银行、保险、石油石化、电力、电信等有行业特殊情况的，视为其总公司的分支机构具备独立承担民事责任的能力；其他行业总公司的分支机构不具备独立承担民事责任的能力）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85" w:hRule="atLeast"/>
          <w:jc w:val="center"/>
        </w:trPr>
        <w:tc>
          <w:tcPr>
            <w:tcW w:w="988" w:type="dxa"/>
            <w:vMerge w:val="continue"/>
            <w:vAlign w:val="center"/>
          </w:tcPr>
          <w:p>
            <w:pPr>
              <w:rPr>
                <w:sz w:val="21"/>
              </w:rPr>
            </w:pPr>
          </w:p>
        </w:tc>
        <w:tc>
          <w:tcPr>
            <w:tcW w:w="865" w:type="dxa"/>
            <w:vMerge w:val="continue"/>
            <w:vAlign w:val="center"/>
          </w:tcPr>
          <w:p>
            <w:pPr>
              <w:rPr>
                <w:sz w:val="21"/>
              </w:rPr>
            </w:pPr>
          </w:p>
        </w:tc>
        <w:tc>
          <w:tcPr>
            <w:tcW w:w="3954" w:type="dxa"/>
            <w:vAlign w:val="center"/>
          </w:tcPr>
          <w:p>
            <w:pPr>
              <w:rPr>
                <w:sz w:val="21"/>
              </w:rPr>
            </w:pPr>
            <w:r>
              <w:rPr>
                <w:rFonts w:hint="eastAsia"/>
                <w:sz w:val="21"/>
              </w:rPr>
              <w:t>具有良好的商业信誉和健全的财务会计制度</w:t>
            </w:r>
          </w:p>
        </w:tc>
        <w:tc>
          <w:tcPr>
            <w:tcW w:w="3933" w:type="dxa"/>
            <w:vMerge w:val="restart"/>
            <w:vAlign w:val="center"/>
          </w:tcPr>
          <w:p>
            <w:pPr>
              <w:rPr>
                <w:sz w:val="21"/>
              </w:rPr>
            </w:pPr>
            <w:r>
              <w:rPr>
                <w:rFonts w:hint="eastAsia"/>
                <w:sz w:val="21"/>
              </w:rPr>
              <w:t>需提供盖章的《资格条件承诺函》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47" w:hRule="atLeast"/>
          <w:jc w:val="center"/>
        </w:trPr>
        <w:tc>
          <w:tcPr>
            <w:tcW w:w="988" w:type="dxa"/>
            <w:vMerge w:val="continue"/>
            <w:vAlign w:val="center"/>
          </w:tcPr>
          <w:p>
            <w:pPr>
              <w:rPr>
                <w:sz w:val="21"/>
              </w:rPr>
            </w:pPr>
          </w:p>
        </w:tc>
        <w:tc>
          <w:tcPr>
            <w:tcW w:w="865" w:type="dxa"/>
            <w:vMerge w:val="continue"/>
            <w:vAlign w:val="center"/>
          </w:tcPr>
          <w:p>
            <w:pPr>
              <w:rPr>
                <w:sz w:val="21"/>
              </w:rPr>
            </w:pPr>
          </w:p>
        </w:tc>
        <w:tc>
          <w:tcPr>
            <w:tcW w:w="3954" w:type="dxa"/>
            <w:vAlign w:val="center"/>
          </w:tcPr>
          <w:p>
            <w:pPr>
              <w:rPr>
                <w:sz w:val="21"/>
              </w:rPr>
            </w:pPr>
            <w:r>
              <w:rPr>
                <w:rFonts w:hint="eastAsia"/>
                <w:sz w:val="21"/>
              </w:rPr>
              <w:t>有依法缴纳税收和社会保障资金的良好记录</w:t>
            </w:r>
          </w:p>
        </w:tc>
        <w:tc>
          <w:tcPr>
            <w:tcW w:w="3933" w:type="dxa"/>
            <w:vMerge w:val="continue"/>
            <w:vAlign w:val="center"/>
          </w:tcPr>
          <w:p>
            <w:pP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96" w:hRule="atLeast"/>
          <w:jc w:val="center"/>
        </w:trPr>
        <w:tc>
          <w:tcPr>
            <w:tcW w:w="988" w:type="dxa"/>
            <w:vMerge w:val="continue"/>
            <w:vAlign w:val="center"/>
          </w:tcPr>
          <w:p>
            <w:pPr>
              <w:rPr>
                <w:sz w:val="21"/>
              </w:rPr>
            </w:pPr>
          </w:p>
        </w:tc>
        <w:tc>
          <w:tcPr>
            <w:tcW w:w="865" w:type="dxa"/>
            <w:vMerge w:val="continue"/>
            <w:vAlign w:val="center"/>
          </w:tcPr>
          <w:p>
            <w:pPr>
              <w:rPr>
                <w:sz w:val="21"/>
              </w:rPr>
            </w:pPr>
          </w:p>
        </w:tc>
        <w:tc>
          <w:tcPr>
            <w:tcW w:w="3954" w:type="dxa"/>
            <w:vAlign w:val="center"/>
          </w:tcPr>
          <w:p>
            <w:pPr>
              <w:rPr>
                <w:sz w:val="21"/>
              </w:rPr>
            </w:pPr>
            <w:r>
              <w:rPr>
                <w:rFonts w:hint="eastAsia"/>
                <w:sz w:val="21"/>
              </w:rPr>
              <w:t>参加政府采购活动前三年内，在经营活动中没有重大违法记录</w:t>
            </w:r>
          </w:p>
        </w:tc>
        <w:tc>
          <w:tcPr>
            <w:tcW w:w="3933" w:type="dxa"/>
            <w:vMerge w:val="continue"/>
            <w:vAlign w:val="center"/>
          </w:tcPr>
          <w:p>
            <w:pP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96" w:hRule="atLeast"/>
          <w:jc w:val="center"/>
        </w:trPr>
        <w:tc>
          <w:tcPr>
            <w:tcW w:w="988" w:type="dxa"/>
            <w:vMerge w:val="continue"/>
            <w:vAlign w:val="center"/>
          </w:tcPr>
          <w:p>
            <w:pPr>
              <w:rPr>
                <w:sz w:val="21"/>
              </w:rPr>
            </w:pPr>
          </w:p>
        </w:tc>
        <w:tc>
          <w:tcPr>
            <w:tcW w:w="865" w:type="dxa"/>
            <w:vMerge w:val="continue"/>
            <w:vAlign w:val="center"/>
          </w:tcPr>
          <w:p>
            <w:pPr>
              <w:rPr>
                <w:sz w:val="21"/>
              </w:rPr>
            </w:pPr>
          </w:p>
        </w:tc>
        <w:tc>
          <w:tcPr>
            <w:tcW w:w="3954" w:type="dxa"/>
            <w:vAlign w:val="center"/>
          </w:tcPr>
          <w:p>
            <w:pPr>
              <w:rPr>
                <w:sz w:val="21"/>
              </w:rPr>
            </w:pPr>
            <w:r>
              <w:rPr>
                <w:rFonts w:hint="eastAsia"/>
                <w:sz w:val="21"/>
              </w:rPr>
              <w:t>具有履行合同所必需的设备和专业技术能力</w:t>
            </w:r>
          </w:p>
        </w:tc>
        <w:tc>
          <w:tcPr>
            <w:tcW w:w="3933" w:type="dxa"/>
            <w:vAlign w:val="center"/>
          </w:tcPr>
          <w:p>
            <w:pPr>
              <w:rPr>
                <w:sz w:val="21"/>
              </w:rPr>
            </w:pPr>
            <w:r>
              <w:rPr>
                <w:rFonts w:hint="eastAsia"/>
                <w:sz w:val="21"/>
              </w:rPr>
              <w:t>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85" w:hRule="atLeast"/>
          <w:jc w:val="center"/>
        </w:trPr>
        <w:tc>
          <w:tcPr>
            <w:tcW w:w="988" w:type="dxa"/>
            <w:vMerge w:val="continue"/>
            <w:vAlign w:val="center"/>
          </w:tcPr>
          <w:p>
            <w:pPr>
              <w:rPr>
                <w:sz w:val="21"/>
              </w:rPr>
            </w:pPr>
          </w:p>
        </w:tc>
        <w:tc>
          <w:tcPr>
            <w:tcW w:w="865" w:type="dxa"/>
            <w:vMerge w:val="continue"/>
            <w:vAlign w:val="center"/>
          </w:tcPr>
          <w:p>
            <w:pPr>
              <w:rPr>
                <w:sz w:val="21"/>
              </w:rPr>
            </w:pPr>
          </w:p>
        </w:tc>
        <w:tc>
          <w:tcPr>
            <w:tcW w:w="3954" w:type="dxa"/>
            <w:vAlign w:val="center"/>
          </w:tcPr>
          <w:p>
            <w:pPr>
              <w:rPr>
                <w:sz w:val="21"/>
              </w:rPr>
            </w:pPr>
            <w:r>
              <w:rPr>
                <w:rFonts w:hint="eastAsia"/>
                <w:sz w:val="21"/>
              </w:rPr>
              <w:t>法律、行政法规规定的其他条件</w:t>
            </w:r>
          </w:p>
        </w:tc>
        <w:tc>
          <w:tcPr>
            <w:tcW w:w="3933" w:type="dxa"/>
            <w:vAlign w:val="center"/>
          </w:tcPr>
          <w:p>
            <w:pPr>
              <w:rPr>
                <w:sz w:val="21"/>
              </w:rPr>
            </w:pPr>
            <w:r>
              <w:rPr>
                <w:rFonts w:hint="eastAsia"/>
                <w:sz w:val="21"/>
              </w:rPr>
              <w:t>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85" w:hRule="atLeast"/>
          <w:jc w:val="center"/>
        </w:trPr>
        <w:tc>
          <w:tcPr>
            <w:tcW w:w="988" w:type="dxa"/>
            <w:vAlign w:val="center"/>
          </w:tcPr>
          <w:p>
            <w:pPr>
              <w:rPr>
                <w:sz w:val="21"/>
              </w:rPr>
            </w:pPr>
            <w:r>
              <w:rPr>
                <w:rFonts w:hint="eastAsia"/>
                <w:sz w:val="21"/>
              </w:rPr>
              <w:t>2</w:t>
            </w:r>
          </w:p>
        </w:tc>
        <w:tc>
          <w:tcPr>
            <w:tcW w:w="4819" w:type="dxa"/>
            <w:gridSpan w:val="2"/>
            <w:vAlign w:val="center"/>
          </w:tcPr>
          <w:p>
            <w:pPr>
              <w:rPr>
                <w:sz w:val="21"/>
              </w:rPr>
            </w:pPr>
            <w:r>
              <w:rPr>
                <w:rFonts w:hint="eastAsia"/>
                <w:sz w:val="21"/>
              </w:rPr>
              <w:t>2.1单位负责人为同一人或者存在直接控股、管理关系的不同投标人，不得参加本项目同一合同项下的政府采购活动。</w:t>
            </w:r>
          </w:p>
          <w:p>
            <w:pPr>
              <w:rPr>
                <w:sz w:val="21"/>
              </w:rPr>
            </w:pPr>
            <w:r>
              <w:rPr>
                <w:rFonts w:hint="eastAsia"/>
                <w:sz w:val="21"/>
              </w:rPr>
              <w:t>2.2为本采购项目提供整体设计、规范编制或者项目管理、监理、检测等服务的，不得再参加本项目的其他招标采购活动。</w:t>
            </w:r>
          </w:p>
        </w:tc>
        <w:tc>
          <w:tcPr>
            <w:tcW w:w="3933" w:type="dxa"/>
            <w:vAlign w:val="center"/>
          </w:tcPr>
          <w:p>
            <w:pPr>
              <w:rPr>
                <w:sz w:val="21"/>
              </w:rPr>
            </w:pPr>
            <w:r>
              <w:rPr>
                <w:rFonts w:hint="eastAsia"/>
                <w:sz w:val="21"/>
              </w:rPr>
              <w:t>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85" w:hRule="atLeast"/>
          <w:jc w:val="center"/>
        </w:trPr>
        <w:tc>
          <w:tcPr>
            <w:tcW w:w="988" w:type="dxa"/>
            <w:vAlign w:val="center"/>
          </w:tcPr>
          <w:p>
            <w:pPr>
              <w:rPr>
                <w:sz w:val="21"/>
              </w:rPr>
            </w:pPr>
            <w:r>
              <w:rPr>
                <w:rFonts w:hint="eastAsia"/>
                <w:sz w:val="21"/>
              </w:rPr>
              <w:t>3</w:t>
            </w:r>
          </w:p>
        </w:tc>
        <w:tc>
          <w:tcPr>
            <w:tcW w:w="4819" w:type="dxa"/>
            <w:gridSpan w:val="2"/>
            <w:vAlign w:val="center"/>
          </w:tcPr>
          <w:p>
            <w:pPr>
              <w:rPr>
                <w:sz w:val="21"/>
              </w:rPr>
            </w:pPr>
            <w:r>
              <w:rPr>
                <w:rFonts w:hint="eastAsia"/>
                <w:sz w:val="21"/>
              </w:rPr>
              <w:t>未被列入失信被执行人、重大税收违法案件当事人名单，未被列入政府采购严重违法失信行为记录名单。</w:t>
            </w:r>
          </w:p>
        </w:tc>
        <w:tc>
          <w:tcPr>
            <w:tcW w:w="3933" w:type="dxa"/>
            <w:vAlign w:val="center"/>
          </w:tcPr>
          <w:p>
            <w:pPr>
              <w:rPr>
                <w:sz w:val="21"/>
              </w:rPr>
            </w:pPr>
            <w:r>
              <w:rPr>
                <w:rFonts w:hint="eastAsia"/>
                <w:sz w:val="21"/>
              </w:rPr>
              <w:t>“信用中国”网站(www.creditchina.gov.cn)和“中国政府采购”网站（www.ccgp.gov.cn）查询结果截图（以首次递交响应文件截止当日查询结果为准），由采购人查询并打印存档。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85" w:hRule="atLeast"/>
          <w:jc w:val="center"/>
        </w:trPr>
        <w:tc>
          <w:tcPr>
            <w:tcW w:w="988" w:type="dxa"/>
            <w:vAlign w:val="center"/>
          </w:tcPr>
          <w:p>
            <w:pPr>
              <w:rPr>
                <w:sz w:val="21"/>
              </w:rPr>
            </w:pPr>
            <w:r>
              <w:rPr>
                <w:rFonts w:hint="eastAsia"/>
                <w:sz w:val="21"/>
              </w:rPr>
              <w:t>4</w:t>
            </w:r>
          </w:p>
        </w:tc>
        <w:tc>
          <w:tcPr>
            <w:tcW w:w="4819" w:type="dxa"/>
            <w:gridSpan w:val="2"/>
            <w:vAlign w:val="center"/>
          </w:tcPr>
          <w:p>
            <w:pPr>
              <w:rPr>
                <w:sz w:val="21"/>
              </w:rPr>
            </w:pPr>
            <w:r>
              <w:rPr>
                <w:rFonts w:hint="eastAsia"/>
                <w:sz w:val="21"/>
              </w:rPr>
              <w:t>本项目不接受联合体磋商</w:t>
            </w:r>
          </w:p>
        </w:tc>
        <w:tc>
          <w:tcPr>
            <w:tcW w:w="3933" w:type="dxa"/>
            <w:vAlign w:val="center"/>
          </w:tcPr>
          <w:p>
            <w:pPr>
              <w:rPr>
                <w:sz w:val="21"/>
              </w:rPr>
            </w:pPr>
            <w:r>
              <w:rPr>
                <w:rFonts w:hint="eastAsia"/>
                <w:sz w:val="21"/>
              </w:rPr>
              <w:t>本项目不接受联合体磋商。</w:t>
            </w:r>
          </w:p>
        </w:tc>
      </w:tr>
    </w:tbl>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备注：</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1）所有证书、证明文件包括按要求提供的官网截图必须是真实可查证的，须注明资料来源。资格证明文件应为原件的复印件。所有证明材料须清晰可辨认，如因证明材料模糊无法辨认，缺页、漏页导致无法进行评审认定的责任由供应商自负。如发现弄虚作假将按照有关规定严肃处理。</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证明材料仅限于供应商本身，参股或控股单位及独立法人子公司的材料不能作为证明材料，但供应商兼并的企业的材料可作为证明材料。</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（2）对于磋商文件中有任意一条不满足上表要求的将导致其响应无效，不进入下一项评审。</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br w:type="page"/>
      </w:r>
      <w:r>
        <w:rPr>
          <w:rFonts w:hint="eastAsia" w:ascii="宋体" w:hAnsi="宋体" w:cs="宋体"/>
          <w:caps/>
          <w:sz w:val="24"/>
        </w:rPr>
        <w:t>（二）符合性检查</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磋商小组</w:t>
      </w:r>
      <w:r>
        <w:rPr>
          <w:rFonts w:ascii="宋体" w:hAnsi="宋体" w:cs="宋体"/>
          <w:caps/>
          <w:sz w:val="24"/>
        </w:rPr>
        <w:t>应当对符合资格的</w:t>
      </w:r>
      <w:r>
        <w:rPr>
          <w:rFonts w:hint="eastAsia" w:ascii="宋体" w:hAnsi="宋体" w:cs="宋体"/>
          <w:caps/>
          <w:sz w:val="24"/>
        </w:rPr>
        <w:t>供应商</w:t>
      </w:r>
      <w:r>
        <w:rPr>
          <w:rFonts w:ascii="宋体" w:hAnsi="宋体" w:cs="宋体"/>
          <w:caps/>
          <w:sz w:val="24"/>
        </w:rPr>
        <w:t>的响应文件进行符合性审查，以确定其是否满足</w:t>
      </w:r>
      <w:r>
        <w:rPr>
          <w:rFonts w:hint="eastAsia" w:ascii="宋体" w:hAnsi="宋体" w:cs="宋体"/>
          <w:caps/>
          <w:sz w:val="24"/>
        </w:rPr>
        <w:t>磋商</w:t>
      </w:r>
      <w:r>
        <w:rPr>
          <w:rFonts w:ascii="宋体" w:hAnsi="宋体" w:cs="宋体"/>
          <w:caps/>
          <w:sz w:val="24"/>
        </w:rPr>
        <w:t>文件的实质性要求。</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符合性审查合格供应商不足3家的，不进行磋商，但法律另有规定2家可以继续进行的情形除外，详见供应商须知正文。</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符合性审查出现下列情形之一的按照无效响应处理：</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总报价超过项目（分包）预算金额或最高限价的；</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合同履行期限不满足磋商文件要求；</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磋商有效期不满足磋商文件要求；</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供应商不满足磋商文件第三章“采购需求”中“</w:t>
      </w:r>
      <w:r>
        <w:rPr>
          <w:rFonts w:hint="eastAsia" w:ascii="宋体" w:hAnsi="宋体"/>
          <w:sz w:val="22"/>
          <w:szCs w:val="22"/>
        </w:rPr>
        <w:t>◆</w:t>
      </w:r>
      <w:r>
        <w:rPr>
          <w:rFonts w:hint="eastAsia" w:ascii="宋体" w:hAnsi="宋体" w:cs="宋体"/>
          <w:caps/>
          <w:sz w:val="24"/>
        </w:rPr>
        <w:t>”号条款要求的；</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响应文件中含有采购人不能接受的附加条件；</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供应商存在法律、法规和磋商文件规定的其他无效响应情形。</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附表2：符合性审查表</w:t>
      </w:r>
    </w:p>
    <w:tbl>
      <w:tblPr>
        <w:tblStyle w:val="34"/>
        <w:tblW w:w="8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591"/>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rPr>
                <w:rFonts w:ascii="宋体" w:hAnsi="宋体"/>
                <w:sz w:val="22"/>
                <w:szCs w:val="22"/>
              </w:rPr>
            </w:pPr>
            <w:r>
              <w:rPr>
                <w:rFonts w:hint="eastAsia" w:ascii="宋体" w:hAnsi="宋体"/>
                <w:sz w:val="22"/>
                <w:szCs w:val="22"/>
              </w:rPr>
              <w:t>序号</w:t>
            </w:r>
          </w:p>
        </w:tc>
        <w:tc>
          <w:tcPr>
            <w:tcW w:w="3591" w:type="dxa"/>
            <w:vAlign w:val="center"/>
          </w:tcPr>
          <w:p>
            <w:pPr>
              <w:rPr>
                <w:rFonts w:ascii="宋体" w:hAnsi="宋体"/>
                <w:sz w:val="22"/>
                <w:szCs w:val="22"/>
              </w:rPr>
            </w:pPr>
            <w:r>
              <w:rPr>
                <w:rFonts w:hint="eastAsia" w:ascii="宋体" w:hAnsi="宋体"/>
                <w:sz w:val="22"/>
                <w:szCs w:val="22"/>
              </w:rPr>
              <w:t>条款内容</w:t>
            </w:r>
          </w:p>
        </w:tc>
        <w:tc>
          <w:tcPr>
            <w:tcW w:w="4323" w:type="dxa"/>
            <w:vAlign w:val="center"/>
          </w:tcPr>
          <w:p>
            <w:pPr>
              <w:rPr>
                <w:rFonts w:ascii="宋体" w:hAnsi="宋体"/>
                <w:sz w:val="22"/>
                <w:szCs w:val="22"/>
              </w:rPr>
            </w:pPr>
            <w:r>
              <w:rPr>
                <w:rFonts w:hint="eastAsia" w:ascii="宋体" w:hAnsi="宋体"/>
                <w:sz w:val="22"/>
                <w:szCs w:val="22"/>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728" w:type="dxa"/>
            <w:vAlign w:val="center"/>
          </w:tcPr>
          <w:p>
            <w:pPr>
              <w:rPr>
                <w:rFonts w:ascii="宋体" w:hAnsi="宋体"/>
                <w:sz w:val="22"/>
                <w:szCs w:val="22"/>
              </w:rPr>
            </w:pPr>
            <w:r>
              <w:rPr>
                <w:rFonts w:ascii="宋体" w:hAnsi="宋体"/>
                <w:sz w:val="22"/>
                <w:szCs w:val="22"/>
              </w:rPr>
              <w:t>1</w:t>
            </w:r>
          </w:p>
        </w:tc>
        <w:tc>
          <w:tcPr>
            <w:tcW w:w="3591" w:type="dxa"/>
            <w:vAlign w:val="center"/>
          </w:tcPr>
          <w:p>
            <w:pPr>
              <w:rPr>
                <w:rFonts w:ascii="宋体" w:hAnsi="宋体"/>
                <w:sz w:val="22"/>
                <w:szCs w:val="22"/>
              </w:rPr>
            </w:pPr>
            <w:r>
              <w:rPr>
                <w:rFonts w:ascii="宋体" w:hAnsi="宋体"/>
                <w:sz w:val="22"/>
                <w:szCs w:val="22"/>
              </w:rPr>
              <w:t>总报价超过项目（分包）预算金额或最高限价的；</w:t>
            </w:r>
          </w:p>
        </w:tc>
        <w:tc>
          <w:tcPr>
            <w:tcW w:w="4323" w:type="dxa"/>
            <w:vAlign w:val="center"/>
          </w:tcPr>
          <w:p>
            <w:pPr>
              <w:rPr>
                <w:rFonts w:ascii="宋体" w:hAnsi="宋体"/>
                <w:sz w:val="22"/>
                <w:szCs w:val="22"/>
              </w:rPr>
            </w:pPr>
            <w:r>
              <w:rPr>
                <w:rFonts w:ascii="宋体" w:hAnsi="宋体"/>
                <w:sz w:val="22"/>
                <w:szCs w:val="22"/>
              </w:rPr>
              <w:t>供应商在《报价组成情况表》中填写的报价信息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rPr>
                <w:rFonts w:ascii="宋体" w:hAnsi="宋体"/>
                <w:sz w:val="22"/>
                <w:szCs w:val="22"/>
              </w:rPr>
            </w:pPr>
            <w:r>
              <w:rPr>
                <w:rFonts w:ascii="宋体" w:hAnsi="宋体"/>
                <w:sz w:val="22"/>
                <w:szCs w:val="22"/>
              </w:rPr>
              <w:t>2</w:t>
            </w:r>
          </w:p>
        </w:tc>
        <w:tc>
          <w:tcPr>
            <w:tcW w:w="3591" w:type="dxa"/>
            <w:vAlign w:val="center"/>
          </w:tcPr>
          <w:p>
            <w:pPr>
              <w:rPr>
                <w:rFonts w:ascii="宋体" w:hAnsi="宋体"/>
                <w:sz w:val="22"/>
                <w:szCs w:val="22"/>
              </w:rPr>
            </w:pPr>
            <w:r>
              <w:rPr>
                <w:rFonts w:ascii="宋体" w:hAnsi="宋体"/>
                <w:sz w:val="22"/>
                <w:szCs w:val="22"/>
              </w:rPr>
              <w:t>合同履行期限</w:t>
            </w:r>
            <w:r>
              <w:rPr>
                <w:rFonts w:hint="eastAsia" w:ascii="宋体" w:hAnsi="宋体"/>
                <w:sz w:val="22"/>
                <w:szCs w:val="22"/>
              </w:rPr>
              <w:t>不</w:t>
            </w:r>
            <w:r>
              <w:rPr>
                <w:rFonts w:ascii="宋体" w:hAnsi="宋体"/>
                <w:sz w:val="22"/>
                <w:szCs w:val="22"/>
              </w:rPr>
              <w:t>满足磋商文件要求</w:t>
            </w:r>
          </w:p>
        </w:tc>
        <w:tc>
          <w:tcPr>
            <w:tcW w:w="4323" w:type="dxa"/>
            <w:vAlign w:val="center"/>
          </w:tcPr>
          <w:p>
            <w:pPr>
              <w:rPr>
                <w:rFonts w:ascii="宋体" w:hAnsi="宋体"/>
                <w:sz w:val="22"/>
                <w:szCs w:val="22"/>
              </w:rPr>
            </w:pPr>
            <w:r>
              <w:rPr>
                <w:rFonts w:ascii="宋体" w:hAnsi="宋体"/>
                <w:sz w:val="22"/>
                <w:szCs w:val="22"/>
              </w:rPr>
              <w:t>供应商在《</w:t>
            </w:r>
            <w:r>
              <w:rPr>
                <w:rFonts w:hint="eastAsia" w:ascii="宋体" w:hAnsi="宋体"/>
                <w:sz w:val="22"/>
                <w:szCs w:val="22"/>
              </w:rPr>
              <w:t>合同草案条款响应、偏离情况说明表</w:t>
            </w:r>
            <w:r>
              <w:rPr>
                <w:rFonts w:ascii="宋体" w:hAnsi="宋体"/>
                <w:sz w:val="22"/>
                <w:szCs w:val="22"/>
              </w:rPr>
              <w:t>》中填写的合同履行期限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rPr>
                <w:rFonts w:ascii="宋体" w:hAnsi="宋体"/>
                <w:sz w:val="22"/>
                <w:szCs w:val="22"/>
              </w:rPr>
            </w:pPr>
            <w:r>
              <w:rPr>
                <w:rFonts w:ascii="宋体" w:hAnsi="宋体"/>
                <w:sz w:val="22"/>
                <w:szCs w:val="22"/>
              </w:rPr>
              <w:t>3</w:t>
            </w:r>
          </w:p>
        </w:tc>
        <w:tc>
          <w:tcPr>
            <w:tcW w:w="3591" w:type="dxa"/>
            <w:vAlign w:val="center"/>
          </w:tcPr>
          <w:p>
            <w:pPr>
              <w:rPr>
                <w:rFonts w:ascii="宋体" w:hAnsi="宋体"/>
                <w:sz w:val="22"/>
                <w:szCs w:val="22"/>
              </w:rPr>
            </w:pPr>
            <w:r>
              <w:rPr>
                <w:rFonts w:ascii="宋体" w:hAnsi="宋体"/>
                <w:sz w:val="22"/>
                <w:szCs w:val="22"/>
              </w:rPr>
              <w:t>磋商有效期</w:t>
            </w:r>
            <w:r>
              <w:rPr>
                <w:rFonts w:hint="eastAsia" w:ascii="宋体" w:hAnsi="宋体"/>
                <w:sz w:val="22"/>
                <w:szCs w:val="22"/>
              </w:rPr>
              <w:t>不</w:t>
            </w:r>
            <w:r>
              <w:rPr>
                <w:rFonts w:ascii="宋体" w:hAnsi="宋体"/>
                <w:sz w:val="22"/>
                <w:szCs w:val="22"/>
              </w:rPr>
              <w:t>满足</w:t>
            </w:r>
            <w:r>
              <w:rPr>
                <w:rFonts w:hint="eastAsia" w:ascii="宋体" w:hAnsi="宋体"/>
                <w:sz w:val="22"/>
                <w:szCs w:val="22"/>
              </w:rPr>
              <w:t>磋商</w:t>
            </w:r>
            <w:r>
              <w:rPr>
                <w:rFonts w:ascii="宋体" w:hAnsi="宋体"/>
                <w:sz w:val="22"/>
                <w:szCs w:val="22"/>
              </w:rPr>
              <w:t>文件要求</w:t>
            </w:r>
          </w:p>
        </w:tc>
        <w:tc>
          <w:tcPr>
            <w:tcW w:w="4323" w:type="dxa"/>
            <w:vAlign w:val="center"/>
          </w:tcPr>
          <w:p>
            <w:pPr>
              <w:rPr>
                <w:rFonts w:ascii="宋体" w:hAnsi="宋体"/>
                <w:sz w:val="22"/>
                <w:szCs w:val="22"/>
              </w:rPr>
            </w:pPr>
            <w:r>
              <w:rPr>
                <w:rFonts w:ascii="宋体" w:hAnsi="宋体"/>
                <w:sz w:val="22"/>
                <w:szCs w:val="22"/>
              </w:rPr>
              <w:t>磋商有效期不得少于90天，供应商可在《</w:t>
            </w:r>
            <w:r>
              <w:rPr>
                <w:rFonts w:hint="eastAsia" w:ascii="宋体" w:hAnsi="宋体"/>
                <w:sz w:val="22"/>
                <w:szCs w:val="22"/>
              </w:rPr>
              <w:t>磋商</w:t>
            </w:r>
            <w:r>
              <w:rPr>
                <w:rFonts w:ascii="宋体" w:hAnsi="宋体"/>
                <w:sz w:val="22"/>
                <w:szCs w:val="22"/>
              </w:rPr>
              <w:t>书》中相应位置进行填写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rPr>
                <w:rFonts w:ascii="宋体" w:hAnsi="宋体"/>
                <w:sz w:val="22"/>
                <w:szCs w:val="22"/>
              </w:rPr>
            </w:pPr>
            <w:r>
              <w:rPr>
                <w:rFonts w:ascii="宋体" w:hAnsi="宋体"/>
                <w:sz w:val="22"/>
                <w:szCs w:val="22"/>
              </w:rPr>
              <w:t>4</w:t>
            </w:r>
          </w:p>
        </w:tc>
        <w:tc>
          <w:tcPr>
            <w:tcW w:w="3591" w:type="dxa"/>
            <w:vAlign w:val="center"/>
          </w:tcPr>
          <w:p>
            <w:pPr>
              <w:rPr>
                <w:rFonts w:ascii="宋体" w:hAnsi="宋体"/>
                <w:sz w:val="22"/>
                <w:szCs w:val="22"/>
              </w:rPr>
            </w:pPr>
            <w:r>
              <w:rPr>
                <w:rFonts w:ascii="宋体" w:hAnsi="宋体"/>
                <w:sz w:val="22"/>
                <w:szCs w:val="22"/>
              </w:rPr>
              <w:t>供应商</w:t>
            </w:r>
            <w:r>
              <w:rPr>
                <w:rFonts w:hint="eastAsia" w:ascii="宋体" w:hAnsi="宋体"/>
                <w:sz w:val="22"/>
                <w:szCs w:val="22"/>
              </w:rPr>
              <w:t>不</w:t>
            </w:r>
            <w:r>
              <w:rPr>
                <w:rFonts w:ascii="宋体" w:hAnsi="宋体"/>
                <w:sz w:val="22"/>
                <w:szCs w:val="22"/>
              </w:rPr>
              <w:t>满足磋商文件第三章“</w:t>
            </w:r>
            <w:r>
              <w:rPr>
                <w:rFonts w:hint="eastAsia" w:ascii="宋体" w:hAnsi="宋体"/>
                <w:sz w:val="22"/>
                <w:szCs w:val="22"/>
              </w:rPr>
              <w:t>采购货物（服务）</w:t>
            </w:r>
            <w:r>
              <w:rPr>
                <w:rFonts w:ascii="宋体" w:hAnsi="宋体"/>
                <w:sz w:val="22"/>
                <w:szCs w:val="22"/>
              </w:rPr>
              <w:t>”中“</w:t>
            </w:r>
            <w:r>
              <w:rPr>
                <w:rFonts w:hint="eastAsia" w:ascii="宋体" w:hAnsi="宋体"/>
                <w:sz w:val="22"/>
                <w:szCs w:val="22"/>
              </w:rPr>
              <w:t>◆</w:t>
            </w:r>
            <w:r>
              <w:rPr>
                <w:rFonts w:ascii="宋体" w:hAnsi="宋体"/>
                <w:sz w:val="22"/>
                <w:szCs w:val="22"/>
              </w:rPr>
              <w:t>”号条款要求的；</w:t>
            </w:r>
          </w:p>
        </w:tc>
        <w:tc>
          <w:tcPr>
            <w:tcW w:w="4323" w:type="dxa"/>
            <w:vAlign w:val="center"/>
          </w:tcPr>
          <w:p>
            <w:pPr>
              <w:rPr>
                <w:rFonts w:ascii="宋体" w:hAnsi="宋体"/>
                <w:sz w:val="22"/>
                <w:szCs w:val="22"/>
              </w:rPr>
            </w:pPr>
            <w:r>
              <w:rPr>
                <w:rFonts w:ascii="宋体" w:hAnsi="宋体"/>
                <w:sz w:val="22"/>
                <w:szCs w:val="22"/>
              </w:rPr>
              <w:t>供应商需根据文件第三章中“</w:t>
            </w:r>
            <w:r>
              <w:rPr>
                <w:rFonts w:hint="eastAsia" w:ascii="宋体" w:hAnsi="宋体"/>
                <w:sz w:val="22"/>
                <w:szCs w:val="22"/>
              </w:rPr>
              <w:t>◆</w:t>
            </w:r>
            <w:r>
              <w:rPr>
                <w:rFonts w:ascii="宋体" w:hAnsi="宋体"/>
                <w:sz w:val="22"/>
                <w:szCs w:val="22"/>
              </w:rPr>
              <w:t>”号条款中要求的响应模式对“</w:t>
            </w:r>
            <w:r>
              <w:rPr>
                <w:rFonts w:hint="eastAsia" w:ascii="宋体" w:hAnsi="宋体"/>
                <w:sz w:val="22"/>
                <w:szCs w:val="22"/>
              </w:rPr>
              <w:t>◆</w:t>
            </w:r>
            <w:r>
              <w:rPr>
                <w:rFonts w:ascii="宋体" w:hAnsi="宋体"/>
                <w:sz w:val="22"/>
                <w:szCs w:val="22"/>
              </w:rPr>
              <w:t>”号条款进行相应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rPr>
                <w:rFonts w:ascii="宋体" w:hAnsi="宋体"/>
                <w:sz w:val="22"/>
                <w:szCs w:val="22"/>
              </w:rPr>
            </w:pPr>
            <w:r>
              <w:rPr>
                <w:rFonts w:hint="eastAsia" w:ascii="宋体" w:hAnsi="宋体"/>
                <w:sz w:val="22"/>
                <w:szCs w:val="22"/>
              </w:rPr>
              <w:t>8</w:t>
            </w:r>
          </w:p>
        </w:tc>
        <w:tc>
          <w:tcPr>
            <w:tcW w:w="3591" w:type="dxa"/>
            <w:vAlign w:val="center"/>
          </w:tcPr>
          <w:p>
            <w:pPr>
              <w:rPr>
                <w:rFonts w:ascii="宋体" w:hAnsi="宋体"/>
                <w:sz w:val="22"/>
                <w:szCs w:val="22"/>
              </w:rPr>
            </w:pPr>
            <w:r>
              <w:rPr>
                <w:rFonts w:ascii="宋体" w:hAnsi="宋体"/>
                <w:sz w:val="22"/>
                <w:szCs w:val="22"/>
              </w:rPr>
              <w:t>响应文件中含有采购人不能接受的附加条件</w:t>
            </w:r>
          </w:p>
        </w:tc>
        <w:tc>
          <w:tcPr>
            <w:tcW w:w="4323" w:type="dxa"/>
            <w:vAlign w:val="center"/>
          </w:tcPr>
          <w:p>
            <w:pPr>
              <w:rPr>
                <w:rFonts w:ascii="宋体" w:hAnsi="宋体"/>
                <w:sz w:val="22"/>
                <w:szCs w:val="22"/>
              </w:rPr>
            </w:pPr>
            <w:r>
              <w:rPr>
                <w:rFonts w:ascii="宋体" w:hAnsi="宋体"/>
                <w:sz w:val="22"/>
                <w:szCs w:val="22"/>
              </w:rPr>
              <w:t>评审专家对供应商的响应文件进行审查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rPr>
                <w:rFonts w:ascii="宋体" w:hAnsi="宋体"/>
                <w:sz w:val="22"/>
                <w:szCs w:val="22"/>
              </w:rPr>
            </w:pPr>
            <w:r>
              <w:rPr>
                <w:rFonts w:hint="eastAsia" w:ascii="宋体" w:hAnsi="宋体"/>
                <w:sz w:val="22"/>
                <w:szCs w:val="22"/>
              </w:rPr>
              <w:t>9</w:t>
            </w:r>
          </w:p>
        </w:tc>
        <w:tc>
          <w:tcPr>
            <w:tcW w:w="3591" w:type="dxa"/>
            <w:vAlign w:val="center"/>
          </w:tcPr>
          <w:p>
            <w:pPr>
              <w:rPr>
                <w:rFonts w:ascii="宋体" w:hAnsi="宋体"/>
                <w:sz w:val="22"/>
                <w:szCs w:val="22"/>
              </w:rPr>
            </w:pPr>
            <w:r>
              <w:rPr>
                <w:rFonts w:ascii="宋体" w:hAnsi="宋体"/>
                <w:sz w:val="22"/>
                <w:szCs w:val="22"/>
              </w:rPr>
              <w:t>供应商存在法律、法规和磋商文件规定的其他无效响应情形。</w:t>
            </w:r>
          </w:p>
        </w:tc>
        <w:tc>
          <w:tcPr>
            <w:tcW w:w="4323" w:type="dxa"/>
            <w:vAlign w:val="center"/>
          </w:tcPr>
          <w:p>
            <w:pPr>
              <w:rPr>
                <w:rFonts w:ascii="宋体" w:hAnsi="宋体"/>
                <w:sz w:val="22"/>
                <w:szCs w:val="22"/>
              </w:rPr>
            </w:pPr>
            <w:r>
              <w:rPr>
                <w:rFonts w:ascii="宋体" w:hAnsi="宋体"/>
                <w:sz w:val="22"/>
                <w:szCs w:val="22"/>
              </w:rPr>
              <w:t>评审专家对供应商的响应文件进行审查</w:t>
            </w:r>
          </w:p>
        </w:tc>
      </w:tr>
    </w:tbl>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（三）磋商</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磋商小组将集中与单一供应商分别进行磋商。磋商小组对照磋商文件与供应商的响应文件分别就采购需求、质量和服务等进行磋商，并了解其报价组成情况。在磋商过程中，任何一方不得透露与磋商有关的其他供应商的技术资料、价格和其他信息。</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对磋商响应文件中报价的修正</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电子响应文件（若有）中报价出现前后不一致的，除采购文件另有规定外，按照下列规定修正：</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1)</w:t>
      </w:r>
      <w:r>
        <w:rPr>
          <w:rFonts w:hint="eastAsia" w:ascii="宋体" w:hAnsi="宋体" w:cs="宋体"/>
          <w:caps/>
          <w:sz w:val="24"/>
        </w:rPr>
        <w:tab/>
      </w:r>
      <w:r>
        <w:rPr>
          <w:rFonts w:hint="eastAsia" w:ascii="宋体" w:hAnsi="宋体" w:cs="宋体"/>
          <w:caps/>
          <w:sz w:val="24"/>
        </w:rPr>
        <w:t>电子响应文件（若有）中报价组成情况表内容与电子响应文件（若有）中磋商书相应内容不一致的，以报价组成情况表为准</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2)</w:t>
      </w:r>
      <w:r>
        <w:rPr>
          <w:rFonts w:hint="eastAsia" w:ascii="宋体" w:hAnsi="宋体" w:cs="宋体"/>
          <w:caps/>
          <w:sz w:val="24"/>
        </w:rPr>
        <w:tab/>
      </w:r>
      <w:r>
        <w:rPr>
          <w:rFonts w:hint="eastAsia" w:ascii="宋体" w:hAnsi="宋体" w:cs="宋体"/>
          <w:caps/>
          <w:sz w:val="24"/>
        </w:rPr>
        <w:t>大写金额和小写金额不一致的，以大写金额为准；</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3)</w:t>
      </w:r>
      <w:r>
        <w:rPr>
          <w:rFonts w:hint="eastAsia" w:ascii="宋体" w:hAnsi="宋体" w:cs="宋体"/>
          <w:caps/>
          <w:sz w:val="24"/>
        </w:rPr>
        <w:tab/>
      </w:r>
      <w:r>
        <w:rPr>
          <w:rFonts w:hint="eastAsia" w:ascii="宋体" w:hAnsi="宋体" w:cs="宋体"/>
          <w:caps/>
          <w:sz w:val="24"/>
        </w:rPr>
        <w:t>单价金额小数点或者百分比有明显错位的，以报价组成情况表的总价为准，并修改单价；</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4)</w:t>
      </w:r>
      <w:r>
        <w:rPr>
          <w:rFonts w:hint="eastAsia" w:ascii="宋体" w:hAnsi="宋体" w:cs="宋体"/>
          <w:caps/>
          <w:sz w:val="24"/>
        </w:rPr>
        <w:tab/>
      </w:r>
      <w:r>
        <w:rPr>
          <w:rFonts w:hint="eastAsia" w:ascii="宋体" w:hAnsi="宋体" w:cs="宋体"/>
          <w:caps/>
          <w:sz w:val="24"/>
        </w:rPr>
        <w:t>总价金额与按单价汇总金额不一致的，以单价金额计算结果为准。</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同时出现两种以上不一致的，按照前款规定的顺序修正。修正后的报价按照第3条第二款的规定经供应商确认后产生约束力，供应商不确认的，其响应无效。</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响应文件的澄清和说明</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磋商小组要求供应商澄清、说明或者更正响应文件应以电子（若有）形式作出。供应商的澄清、说明或者更正应当由供应商盖公章或电子（若有）签章。</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供应商可以对参加竞争性磋商项目的采购需求提出优化建议，并以电子形式提交磋商小组。</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电子（若有）形式通知所有磋商供应商，并提供必要的修正时间。</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供应商应当按照磋商文件的变动情况和磋商小组的要求重新提交响应文件，对原响应文件进行技术、商务、价格修正，重新提交的响应文件应当实质性响应本磋商文件以及对磋商文件作出的实质性变动，并按磋商文件的规定进行签署。重新提交的响应文件与原响应文件不一致的，以重新提交的响应文件为准。不按要求签署或者逾期未提交响应文件的，视同放弃磋商。</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最后报价</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磋商小组将对资格及符合性审查合格的供应商发出最后报价邀请。要求磋商供应商在指定时间内提交满足要求的最后报价，供应商进行最后报价的，应当按照最后报价的规定格式报出。未在规定的时间内提交最后报价的供应商，其响应文件将作无效响应处理。最后报价为本次磋商采购活动中不可变动的最终价格。</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6.1.磋商文件能够详细列明采购标的的技术、服务要求的，磋商结束后，磋商小组应当要求所有继续参加磋商的供应商在规定时间内提交最后报价，提交最后报价的供应商不得少于3家。但法律规定的特殊情形除外，详见供应商须知正文。</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6.2.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6.3.异常低价。磋商小组认为供应商的报价明显低于其他通过符合性审查供应商的报价，有可能影响产品质量或者不能诚信履约的，应当要求其在评标现场合理的时间内提供说明，必要时提交相关证明材料；供应商不能证明其报价合理性的，磋商小组应当将其作为无效响应处理。</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7.多轮磋商。如有需要，磋商小组可以进行多轮磋商，直至最终确定磋商文件中采购需求中的技术、服务要求以及合同草案条款。如果磋商文件无需修改，可以直接要求磋商供应商提交最后报价。</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（四）综合比较与评价</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磋商</w:t>
      </w:r>
      <w:r>
        <w:rPr>
          <w:rFonts w:ascii="宋体" w:hAnsi="宋体" w:cs="宋体"/>
          <w:caps/>
          <w:sz w:val="24"/>
        </w:rPr>
        <w:t>小组应当按照</w:t>
      </w:r>
      <w:r>
        <w:rPr>
          <w:rFonts w:hint="eastAsia" w:ascii="宋体" w:hAnsi="宋体" w:cs="宋体"/>
          <w:caps/>
          <w:sz w:val="24"/>
        </w:rPr>
        <w:t>本章</w:t>
      </w:r>
      <w:r>
        <w:rPr>
          <w:rFonts w:ascii="宋体" w:hAnsi="宋体" w:cs="宋体"/>
          <w:caps/>
          <w:sz w:val="24"/>
        </w:rPr>
        <w:t>中规定的</w:t>
      </w:r>
      <w:r>
        <w:rPr>
          <w:rFonts w:hint="eastAsia" w:ascii="宋体" w:hAnsi="宋体" w:cs="宋体"/>
          <w:caps/>
          <w:sz w:val="24"/>
        </w:rPr>
        <w:t>评分标准</w:t>
      </w:r>
      <w:r>
        <w:rPr>
          <w:rFonts w:ascii="宋体" w:hAnsi="宋体" w:cs="宋体"/>
          <w:caps/>
          <w:sz w:val="24"/>
        </w:rPr>
        <w:t>，对符合性审查合格且提交了最终报价的响应文件进行商务和技术</w:t>
      </w:r>
      <w:r>
        <w:rPr>
          <w:rFonts w:hint="eastAsia" w:ascii="宋体" w:hAnsi="宋体" w:cs="宋体"/>
          <w:caps/>
          <w:sz w:val="24"/>
        </w:rPr>
        <w:t>、服务</w:t>
      </w:r>
      <w:r>
        <w:rPr>
          <w:rFonts w:ascii="宋体" w:hAnsi="宋体" w:cs="宋体"/>
          <w:caps/>
          <w:sz w:val="24"/>
        </w:rPr>
        <w:t>评估，综合比较与评价。</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商务评议</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磋商小组对符合性审查合格</w:t>
      </w:r>
      <w:r>
        <w:rPr>
          <w:rFonts w:ascii="宋体" w:hAnsi="宋体" w:cs="宋体"/>
          <w:caps/>
          <w:sz w:val="24"/>
        </w:rPr>
        <w:t>且提交了最终报价的</w:t>
      </w:r>
      <w:r>
        <w:rPr>
          <w:rFonts w:hint="eastAsia" w:ascii="宋体" w:hAnsi="宋体" w:cs="宋体"/>
          <w:caps/>
          <w:sz w:val="24"/>
        </w:rPr>
        <w:t>响应文件进行评议，并依据本章“评分标准”中的商务评议进行综合比较和评分。</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技术评议</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磋商小组对符合性审查合格</w:t>
      </w:r>
      <w:r>
        <w:rPr>
          <w:rFonts w:ascii="宋体" w:hAnsi="宋体" w:cs="宋体"/>
          <w:caps/>
          <w:sz w:val="24"/>
        </w:rPr>
        <w:t>且提交了最终报价的</w:t>
      </w:r>
      <w:r>
        <w:rPr>
          <w:rFonts w:hint="eastAsia" w:ascii="宋体" w:hAnsi="宋体" w:cs="宋体"/>
          <w:caps/>
          <w:sz w:val="24"/>
        </w:rPr>
        <w:t>响应文件进行评议，并依据本章“评分标准”中的技术服务评议进行综合比较和评分。</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价格评议</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磋商小组对符合性审查合格</w:t>
      </w:r>
      <w:r>
        <w:rPr>
          <w:rFonts w:ascii="宋体" w:hAnsi="宋体" w:cs="宋体"/>
          <w:caps/>
          <w:sz w:val="24"/>
        </w:rPr>
        <w:t>且提交了最终报价的</w:t>
      </w:r>
      <w:r>
        <w:rPr>
          <w:rFonts w:hint="eastAsia" w:ascii="宋体" w:hAnsi="宋体" w:cs="宋体"/>
          <w:caps/>
          <w:sz w:val="24"/>
        </w:rPr>
        <w:t>响应文件进行价格评议，价格分采用综合法计算，详见本章“评分标准”中的具体计算公式。</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（五）确定成交候选供应商</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磋商小组依据评审结果，按各供应商的评审后得分由高到低的顺序向采购人推荐得分前三名的进入成交候选供应商名单，并形成书面的评审报告。</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磋商小组应当在评审报告上签字，对自己的评审意见承担法律责任。对评审报告有异议的，应当在评审报告上签署不同意见，并说明理由，否则视为同意评审报告。</w:t>
      </w:r>
    </w:p>
    <w:p>
      <w:pPr>
        <w:shd w:val="clear" w:color="auto" w:fill="FFFFFF"/>
        <w:spacing w:line="360" w:lineRule="auto"/>
        <w:ind w:firstLine="240" w:firstLineChars="100"/>
        <w:rPr>
          <w:rFonts w:ascii="宋体" w:hAnsi="宋体" w:cs="宋体"/>
          <w:caps/>
          <w:sz w:val="24"/>
        </w:rPr>
      </w:pPr>
      <w:r>
        <w:rPr>
          <w:rFonts w:ascii="宋体" w:hAnsi="宋体" w:cs="宋体"/>
          <w:caps/>
          <w:sz w:val="24"/>
        </w:rPr>
        <w:t>（</w:t>
      </w:r>
      <w:r>
        <w:rPr>
          <w:rFonts w:hint="eastAsia" w:ascii="宋体" w:hAnsi="宋体" w:cs="宋体"/>
          <w:caps/>
          <w:sz w:val="24"/>
        </w:rPr>
        <w:t>六</w:t>
      </w:r>
      <w:r>
        <w:rPr>
          <w:rFonts w:ascii="宋体" w:hAnsi="宋体" w:cs="宋体"/>
          <w:caps/>
          <w:sz w:val="24"/>
        </w:rPr>
        <w:t>）</w:t>
      </w:r>
      <w:r>
        <w:rPr>
          <w:rFonts w:hint="eastAsia" w:ascii="宋体" w:hAnsi="宋体" w:cs="宋体"/>
          <w:caps/>
          <w:sz w:val="24"/>
        </w:rPr>
        <w:t>恶意低价竞标</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磋商小组会发现投标人的报价明显低于其他投标报价或者在设有标底时明显低于标底，使得其投标报价可能低于其个别成本的。</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应当要求该投标人作出书面说明并提供相关证明材料。投标人不能合理说明或者不能提供相关证明材料的，由磋商小组认定该投标人以低于成本报价竞标，应当否决其投标。</w:t>
      </w:r>
    </w:p>
    <w:p>
      <w:pPr>
        <w:pStyle w:val="71"/>
        <w:spacing w:line="360" w:lineRule="auto"/>
        <w:outlineLvl w:val="2"/>
        <w:rPr>
          <w:rFonts w:hAnsi="宋体"/>
          <w:b/>
          <w:bCs/>
          <w:color w:val="auto"/>
          <w:sz w:val="28"/>
          <w:szCs w:val="28"/>
        </w:rPr>
      </w:pPr>
      <w:bookmarkStart w:id="0" w:name="_Toc48203674"/>
      <w:r>
        <w:rPr>
          <w:rFonts w:hint="eastAsia" w:hAnsi="宋体"/>
          <w:b/>
          <w:bCs/>
          <w:color w:val="auto"/>
          <w:sz w:val="28"/>
          <w:szCs w:val="28"/>
        </w:rPr>
        <w:t>评分标准</w:t>
      </w:r>
      <w:bookmarkEnd w:id="0"/>
    </w:p>
    <w:tbl>
      <w:tblPr>
        <w:tblStyle w:val="34"/>
        <w:tblW w:w="8931"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7"/>
        <w:gridCol w:w="1275"/>
        <w:gridCol w:w="851"/>
        <w:gridCol w:w="5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trPr>
        <w:tc>
          <w:tcPr>
            <w:tcW w:w="1277"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262" w:lineRule="exact"/>
              <w:ind w:left="131"/>
              <w:jc w:val="center"/>
              <w:rPr>
                <w:sz w:val="24"/>
              </w:rPr>
            </w:pPr>
            <w:r>
              <w:rPr>
                <w:rFonts w:hint="eastAsia" w:ascii="宋体" w:hAnsi="宋体"/>
                <w:b/>
                <w:sz w:val="21"/>
                <w:szCs w:val="21"/>
              </w:rPr>
              <w:t>评审项目</w:t>
            </w:r>
          </w:p>
        </w:tc>
        <w:tc>
          <w:tcPr>
            <w:tcW w:w="1275"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62" w:lineRule="exact"/>
              <w:ind w:left="148"/>
              <w:jc w:val="center"/>
              <w:rPr>
                <w:sz w:val="24"/>
              </w:rPr>
            </w:pPr>
            <w:r>
              <w:rPr>
                <w:rFonts w:hint="eastAsia" w:ascii="宋体" w:hAnsi="宋体"/>
                <w:b/>
                <w:sz w:val="21"/>
                <w:szCs w:val="21"/>
              </w:rPr>
              <w:t>评审分项</w:t>
            </w:r>
          </w:p>
        </w:tc>
        <w:tc>
          <w:tcPr>
            <w:tcW w:w="851"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62" w:lineRule="exact"/>
              <w:ind w:left="144"/>
              <w:jc w:val="center"/>
              <w:rPr>
                <w:sz w:val="24"/>
              </w:rPr>
            </w:pPr>
            <w:r>
              <w:rPr>
                <w:rFonts w:hint="eastAsia" w:ascii="宋体" w:hAnsi="宋体"/>
                <w:b/>
                <w:sz w:val="21"/>
                <w:szCs w:val="21"/>
              </w:rPr>
              <w:t>分值</w:t>
            </w:r>
          </w:p>
        </w:tc>
        <w:tc>
          <w:tcPr>
            <w:tcW w:w="5528"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62" w:lineRule="exact"/>
              <w:ind w:left="103"/>
              <w:jc w:val="center"/>
              <w:rPr>
                <w:sz w:val="24"/>
              </w:rPr>
            </w:pPr>
            <w:r>
              <w:rPr>
                <w:rFonts w:hint="eastAsia" w:ascii="宋体" w:hAnsi="宋体"/>
                <w:b/>
                <w:sz w:val="21"/>
                <w:szCs w:val="21"/>
              </w:rPr>
              <w:t>评审内容及分值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7" w:hRule="atLeast"/>
        </w:trPr>
        <w:tc>
          <w:tcPr>
            <w:tcW w:w="1277"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jc w:val="center"/>
              <w:rPr>
                <w:rFonts w:ascii="宋体" w:hAnsi="宋体"/>
                <w:sz w:val="22"/>
                <w:szCs w:val="22"/>
              </w:rPr>
            </w:pPr>
          </w:p>
          <w:p>
            <w:pPr>
              <w:kinsoku w:val="0"/>
              <w:overflowPunct w:val="0"/>
              <w:autoSpaceDE w:val="0"/>
              <w:autoSpaceDN w:val="0"/>
              <w:adjustRightInd w:val="0"/>
              <w:ind w:left="131"/>
              <w:jc w:val="center"/>
              <w:rPr>
                <w:rFonts w:ascii="宋体" w:hAnsi="宋体"/>
                <w:sz w:val="21"/>
                <w:szCs w:val="21"/>
              </w:rPr>
            </w:pPr>
            <w:r>
              <w:rPr>
                <w:rFonts w:hint="eastAsia" w:ascii="宋体" w:hAnsi="宋体"/>
                <w:sz w:val="21"/>
                <w:szCs w:val="21"/>
              </w:rPr>
              <w:t>价格部分</w:t>
            </w:r>
          </w:p>
          <w:p>
            <w:pPr>
              <w:kinsoku w:val="0"/>
              <w:overflowPunct w:val="0"/>
              <w:autoSpaceDE w:val="0"/>
              <w:autoSpaceDN w:val="0"/>
              <w:adjustRightInd w:val="0"/>
              <w:ind w:left="105"/>
              <w:jc w:val="center"/>
              <w:rPr>
                <w:sz w:val="24"/>
              </w:rPr>
            </w:pPr>
            <w:r>
              <w:rPr>
                <w:rFonts w:hint="eastAsia" w:ascii="宋体" w:hAnsi="宋体"/>
                <w:sz w:val="21"/>
                <w:szCs w:val="21"/>
              </w:rPr>
              <w:t>（10</w:t>
            </w:r>
            <w:r>
              <w:rPr>
                <w:rFonts w:hint="eastAsia" w:ascii="宋体" w:hAnsi="宋体"/>
                <w:spacing w:val="-54"/>
                <w:sz w:val="21"/>
                <w:szCs w:val="21"/>
              </w:rPr>
              <w:t xml:space="preserve"> </w:t>
            </w:r>
            <w:r>
              <w:rPr>
                <w:rFonts w:hint="eastAsia" w:ascii="宋体" w:hAnsi="宋体"/>
                <w:sz w:val="21"/>
                <w:szCs w:val="21"/>
              </w:rPr>
              <w:t>分）</w:t>
            </w:r>
          </w:p>
        </w:tc>
        <w:tc>
          <w:tcPr>
            <w:tcW w:w="1275"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jc w:val="center"/>
              <w:rPr>
                <w:rFonts w:ascii="宋体" w:hAnsi="宋体"/>
                <w:sz w:val="20"/>
                <w:szCs w:val="20"/>
              </w:rPr>
            </w:pPr>
          </w:p>
          <w:p>
            <w:pPr>
              <w:kinsoku w:val="0"/>
              <w:overflowPunct w:val="0"/>
              <w:autoSpaceDE w:val="0"/>
              <w:autoSpaceDN w:val="0"/>
              <w:adjustRightInd w:val="0"/>
              <w:jc w:val="center"/>
              <w:rPr>
                <w:rFonts w:ascii="宋体" w:hAnsi="宋体"/>
                <w:sz w:val="14"/>
                <w:szCs w:val="14"/>
              </w:rPr>
            </w:pPr>
          </w:p>
          <w:p>
            <w:pPr>
              <w:kinsoku w:val="0"/>
              <w:overflowPunct w:val="0"/>
              <w:autoSpaceDE w:val="0"/>
              <w:autoSpaceDN w:val="0"/>
              <w:adjustRightInd w:val="0"/>
              <w:ind w:left="148"/>
              <w:jc w:val="center"/>
              <w:rPr>
                <w:sz w:val="24"/>
              </w:rPr>
            </w:pPr>
            <w:r>
              <w:rPr>
                <w:rFonts w:hint="eastAsia" w:ascii="宋体" w:hAnsi="宋体"/>
                <w:sz w:val="21"/>
                <w:szCs w:val="21"/>
              </w:rPr>
              <w:t>报价得分</w:t>
            </w:r>
          </w:p>
        </w:tc>
        <w:tc>
          <w:tcPr>
            <w:tcW w:w="851"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jc w:val="center"/>
              <w:rPr>
                <w:rFonts w:ascii="宋体" w:hAnsi="宋体"/>
                <w:sz w:val="20"/>
                <w:szCs w:val="20"/>
              </w:rPr>
            </w:pPr>
          </w:p>
          <w:p>
            <w:pPr>
              <w:kinsoku w:val="0"/>
              <w:overflowPunct w:val="0"/>
              <w:autoSpaceDE w:val="0"/>
              <w:autoSpaceDN w:val="0"/>
              <w:adjustRightInd w:val="0"/>
              <w:jc w:val="center"/>
              <w:rPr>
                <w:rFonts w:ascii="宋体" w:hAnsi="宋体"/>
                <w:sz w:val="14"/>
                <w:szCs w:val="14"/>
              </w:rPr>
            </w:pPr>
          </w:p>
          <w:p>
            <w:pPr>
              <w:kinsoku w:val="0"/>
              <w:overflowPunct w:val="0"/>
              <w:autoSpaceDE w:val="0"/>
              <w:autoSpaceDN w:val="0"/>
              <w:adjustRightInd w:val="0"/>
              <w:ind w:left="120"/>
              <w:jc w:val="center"/>
              <w:rPr>
                <w:sz w:val="24"/>
              </w:rPr>
            </w:pPr>
            <w:r>
              <w:rPr>
                <w:rFonts w:hint="eastAsia" w:ascii="宋体" w:hAnsi="宋体"/>
                <w:sz w:val="21"/>
                <w:szCs w:val="21"/>
              </w:rPr>
              <w:t>10</w:t>
            </w:r>
            <w:r>
              <w:rPr>
                <w:rFonts w:hint="eastAsia" w:ascii="宋体" w:hAnsi="宋体"/>
                <w:spacing w:val="-51"/>
                <w:sz w:val="21"/>
                <w:szCs w:val="21"/>
              </w:rPr>
              <w:t xml:space="preserve"> </w:t>
            </w:r>
            <w:r>
              <w:rPr>
                <w:rFonts w:hint="eastAsia" w:ascii="宋体" w:hAnsi="宋体"/>
                <w:spacing w:val="-3"/>
                <w:sz w:val="21"/>
                <w:szCs w:val="21"/>
              </w:rPr>
              <w:t>分</w:t>
            </w:r>
          </w:p>
        </w:tc>
        <w:tc>
          <w:tcPr>
            <w:tcW w:w="5528"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62" w:lineRule="exact"/>
              <w:jc w:val="center"/>
              <w:rPr>
                <w:sz w:val="24"/>
              </w:rPr>
            </w:pPr>
            <w:r>
              <w:rPr>
                <w:rFonts w:hint="eastAsia" w:ascii="宋体" w:hAnsi="宋体"/>
                <w:sz w:val="21"/>
                <w:szCs w:val="21"/>
              </w:rPr>
              <w:t>满足磋商文件要求，执行政府采购政策后折算的最后报价最低的供应商的价格为磋商基准价，其价格分为满分。其他供应商的价格分按照下列公式计算：磋商报价得分=(磋商基准价／最后磋商报价)×</w:t>
            </w:r>
            <w:r>
              <w:rPr>
                <w:rFonts w:ascii="宋体" w:hAnsi="宋体"/>
                <w:sz w:val="21"/>
                <w:szCs w:val="21"/>
              </w:rPr>
              <w:t>1</w:t>
            </w:r>
            <w:r>
              <w:rPr>
                <w:rFonts w:hint="eastAsia" w:ascii="宋体" w:hAnsi="宋体"/>
                <w:sz w:val="21"/>
                <w:szCs w:val="21"/>
              </w:rPr>
              <w:t>0分。依此计算出所有供应商的价格评分。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277" w:type="dxa"/>
            <w:tcBorders>
              <w:left w:val="single" w:color="000000" w:sz="4" w:space="0"/>
              <w:bottom w:val="single" w:color="auto" w:sz="4" w:space="0"/>
              <w:right w:val="single" w:color="000000" w:sz="4" w:space="0"/>
            </w:tcBorders>
            <w:vAlign w:val="center"/>
          </w:tcPr>
          <w:p>
            <w:pPr>
              <w:kinsoku w:val="0"/>
              <w:overflowPunct w:val="0"/>
              <w:autoSpaceDE w:val="0"/>
              <w:autoSpaceDN w:val="0"/>
              <w:adjustRightInd w:val="0"/>
              <w:jc w:val="center"/>
              <w:rPr>
                <w:rFonts w:ascii="宋体" w:hAnsi="宋体"/>
                <w:sz w:val="22"/>
                <w:szCs w:val="22"/>
              </w:rPr>
            </w:pPr>
            <w:r>
              <w:rPr>
                <w:rFonts w:hint="eastAsia" w:ascii="宋体" w:hAnsi="宋体"/>
                <w:sz w:val="22"/>
                <w:szCs w:val="22"/>
              </w:rPr>
              <w:t>商务部分 （</w:t>
            </w:r>
            <w:r>
              <w:rPr>
                <w:rFonts w:ascii="宋体" w:hAnsi="宋体"/>
                <w:sz w:val="22"/>
                <w:szCs w:val="22"/>
              </w:rPr>
              <w:t>18</w:t>
            </w:r>
            <w:r>
              <w:rPr>
                <w:rFonts w:hint="eastAsia" w:ascii="宋体" w:hAnsi="宋体"/>
                <w:sz w:val="22"/>
                <w:szCs w:val="22"/>
              </w:rPr>
              <w:t xml:space="preserve"> 分）</w:t>
            </w:r>
          </w:p>
        </w:tc>
        <w:tc>
          <w:tcPr>
            <w:tcW w:w="1275" w:type="dxa"/>
            <w:tcBorders>
              <w:left w:val="nil"/>
              <w:bottom w:val="single" w:color="000000" w:sz="4" w:space="0"/>
              <w:right w:val="single" w:color="000000" w:sz="4" w:space="0"/>
            </w:tcBorders>
            <w:vAlign w:val="center"/>
          </w:tcPr>
          <w:p>
            <w:pPr>
              <w:kinsoku w:val="0"/>
              <w:overflowPunct w:val="0"/>
              <w:autoSpaceDE w:val="0"/>
              <w:autoSpaceDN w:val="0"/>
              <w:adjustRightInd w:val="0"/>
              <w:ind w:left="148"/>
              <w:jc w:val="center"/>
              <w:rPr>
                <w:rFonts w:ascii="宋体" w:hAnsi="宋体"/>
                <w:sz w:val="22"/>
                <w:szCs w:val="22"/>
              </w:rPr>
            </w:pPr>
            <w:r>
              <w:rPr>
                <w:rFonts w:hint="eastAsia" w:ascii="宋体" w:hAnsi="宋体"/>
                <w:sz w:val="22"/>
                <w:szCs w:val="22"/>
              </w:rPr>
              <w:t>综合实力</w:t>
            </w:r>
          </w:p>
        </w:tc>
        <w:tc>
          <w:tcPr>
            <w:tcW w:w="851"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ind w:left="120"/>
              <w:jc w:val="center"/>
              <w:rPr>
                <w:rFonts w:ascii="宋体" w:hAnsi="宋体"/>
                <w:sz w:val="22"/>
                <w:szCs w:val="22"/>
              </w:rPr>
            </w:pPr>
            <w:r>
              <w:rPr>
                <w:rFonts w:hint="eastAsia" w:ascii="宋体" w:hAnsi="宋体"/>
                <w:sz w:val="22"/>
                <w:szCs w:val="22"/>
              </w:rPr>
              <w:t>1</w:t>
            </w:r>
            <w:r>
              <w:rPr>
                <w:rFonts w:ascii="宋体" w:hAnsi="宋体"/>
                <w:sz w:val="22"/>
                <w:szCs w:val="22"/>
              </w:rPr>
              <w:t>8</w:t>
            </w:r>
            <w:r>
              <w:rPr>
                <w:rFonts w:hint="eastAsia" w:ascii="宋体" w:hAnsi="宋体"/>
                <w:sz w:val="22"/>
                <w:szCs w:val="22"/>
              </w:rPr>
              <w:t>分</w:t>
            </w:r>
          </w:p>
        </w:tc>
        <w:tc>
          <w:tcPr>
            <w:tcW w:w="5528"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62" w:lineRule="exact"/>
              <w:jc w:val="center"/>
              <w:rPr>
                <w:rFonts w:ascii="宋体" w:hAnsi="宋体"/>
                <w:sz w:val="22"/>
                <w:szCs w:val="22"/>
              </w:rPr>
            </w:pPr>
            <w:r>
              <w:rPr>
                <w:rFonts w:hint="eastAsia" w:ascii="宋体" w:hAnsi="宋体"/>
                <w:sz w:val="22"/>
                <w:szCs w:val="22"/>
              </w:rPr>
              <w:t>所投的云厂商具有可信云认证的云组网、5G云专线、云灾备容灾解决方案、云网一体化能力-卓越级、5G-MEC边缘云平台、云工作负载保护平台证书，每提供一个证书得</w:t>
            </w:r>
            <w:r>
              <w:rPr>
                <w:rFonts w:ascii="宋体" w:hAnsi="宋体"/>
                <w:sz w:val="22"/>
                <w:szCs w:val="22"/>
              </w:rPr>
              <w:t>3</w:t>
            </w:r>
            <w:r>
              <w:rPr>
                <w:rFonts w:hint="eastAsia" w:ascii="宋体" w:hAnsi="宋体"/>
                <w:sz w:val="22"/>
                <w:szCs w:val="22"/>
              </w:rPr>
              <w:t>分，最多得</w:t>
            </w:r>
            <w:r>
              <w:rPr>
                <w:rFonts w:ascii="宋体" w:hAnsi="宋体"/>
                <w:sz w:val="22"/>
                <w:szCs w:val="22"/>
              </w:rPr>
              <w:t>18</w:t>
            </w:r>
            <w:r>
              <w:rPr>
                <w:rFonts w:hint="eastAsia" w:ascii="宋体" w:hAnsi="宋体"/>
                <w:sz w:val="22"/>
                <w:szCs w:val="22"/>
              </w:rPr>
              <w:t>分，不提供不得分。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1277" w:type="dxa"/>
            <w:vMerge w:val="restart"/>
            <w:tcBorders>
              <w:top w:val="single" w:color="auto"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ind w:left="105"/>
              <w:jc w:val="center"/>
              <w:rPr>
                <w:rFonts w:ascii="宋体" w:hAnsi="宋体"/>
                <w:sz w:val="21"/>
                <w:szCs w:val="21"/>
              </w:rPr>
            </w:pPr>
            <w:r>
              <w:rPr>
                <w:rFonts w:ascii="宋体" w:hAnsi="宋体"/>
                <w:sz w:val="21"/>
                <w:szCs w:val="21"/>
              </w:rPr>
              <w:t>技术部分（</w:t>
            </w:r>
            <w:r>
              <w:rPr>
                <w:rFonts w:hint="eastAsia" w:ascii="宋体" w:hAnsi="宋体"/>
                <w:sz w:val="21"/>
                <w:szCs w:val="21"/>
              </w:rPr>
              <w:t>7</w:t>
            </w:r>
            <w:r>
              <w:rPr>
                <w:rFonts w:ascii="宋体" w:hAnsi="宋体"/>
                <w:sz w:val="21"/>
                <w:szCs w:val="21"/>
              </w:rPr>
              <w:t>2分）</w:t>
            </w:r>
          </w:p>
        </w:tc>
        <w:tc>
          <w:tcPr>
            <w:tcW w:w="1275" w:type="dxa"/>
            <w:vMerge w:val="restart"/>
            <w:tcBorders>
              <w:top w:val="nil"/>
              <w:left w:val="nil"/>
              <w:bottom w:val="single" w:color="000000" w:sz="4" w:space="0"/>
              <w:right w:val="single" w:color="000000" w:sz="4" w:space="0"/>
            </w:tcBorders>
            <w:vAlign w:val="center"/>
          </w:tcPr>
          <w:p>
            <w:pPr>
              <w:kinsoku w:val="0"/>
              <w:overflowPunct w:val="0"/>
              <w:autoSpaceDE w:val="0"/>
              <w:autoSpaceDN w:val="0"/>
              <w:adjustRightInd w:val="0"/>
              <w:ind w:left="103"/>
              <w:jc w:val="center"/>
              <w:rPr>
                <w:rFonts w:ascii="宋体" w:hAnsi="宋体"/>
                <w:sz w:val="21"/>
                <w:szCs w:val="21"/>
              </w:rPr>
            </w:pPr>
          </w:p>
          <w:p>
            <w:pPr>
              <w:kinsoku w:val="0"/>
              <w:overflowPunct w:val="0"/>
              <w:autoSpaceDE w:val="0"/>
              <w:autoSpaceDN w:val="0"/>
              <w:adjustRightInd w:val="0"/>
              <w:ind w:left="103"/>
              <w:jc w:val="center"/>
              <w:rPr>
                <w:rFonts w:ascii="宋体" w:hAnsi="宋体"/>
                <w:sz w:val="21"/>
                <w:szCs w:val="21"/>
              </w:rPr>
            </w:pPr>
          </w:p>
          <w:p>
            <w:pPr>
              <w:kinsoku w:val="0"/>
              <w:overflowPunct w:val="0"/>
              <w:autoSpaceDE w:val="0"/>
              <w:autoSpaceDN w:val="0"/>
              <w:adjustRightInd w:val="0"/>
              <w:ind w:left="103"/>
              <w:jc w:val="center"/>
              <w:rPr>
                <w:rFonts w:ascii="宋体" w:hAnsi="宋体"/>
                <w:sz w:val="21"/>
                <w:szCs w:val="21"/>
              </w:rPr>
            </w:pPr>
          </w:p>
          <w:p>
            <w:pPr>
              <w:kinsoku w:val="0"/>
              <w:overflowPunct w:val="0"/>
              <w:autoSpaceDE w:val="0"/>
              <w:autoSpaceDN w:val="0"/>
              <w:adjustRightInd w:val="0"/>
              <w:ind w:left="103"/>
              <w:jc w:val="center"/>
              <w:rPr>
                <w:rFonts w:ascii="宋体" w:hAnsi="宋体"/>
                <w:sz w:val="21"/>
                <w:szCs w:val="21"/>
              </w:rPr>
            </w:pPr>
          </w:p>
          <w:p>
            <w:pPr>
              <w:kinsoku w:val="0"/>
              <w:overflowPunct w:val="0"/>
              <w:autoSpaceDE w:val="0"/>
              <w:autoSpaceDN w:val="0"/>
              <w:adjustRightInd w:val="0"/>
              <w:ind w:left="103"/>
              <w:jc w:val="center"/>
              <w:rPr>
                <w:rFonts w:ascii="宋体" w:hAnsi="宋体"/>
                <w:sz w:val="21"/>
                <w:szCs w:val="21"/>
              </w:rPr>
            </w:pPr>
          </w:p>
          <w:p>
            <w:pPr>
              <w:kinsoku w:val="0"/>
              <w:overflowPunct w:val="0"/>
              <w:autoSpaceDE w:val="0"/>
              <w:autoSpaceDN w:val="0"/>
              <w:adjustRightInd w:val="0"/>
              <w:ind w:left="103"/>
              <w:jc w:val="center"/>
              <w:rPr>
                <w:rFonts w:ascii="宋体" w:hAnsi="宋体"/>
                <w:sz w:val="21"/>
                <w:szCs w:val="21"/>
              </w:rPr>
            </w:pPr>
          </w:p>
          <w:p>
            <w:pPr>
              <w:kinsoku w:val="0"/>
              <w:overflowPunct w:val="0"/>
              <w:autoSpaceDE w:val="0"/>
              <w:autoSpaceDN w:val="0"/>
              <w:adjustRightInd w:val="0"/>
              <w:ind w:left="103"/>
              <w:jc w:val="center"/>
              <w:rPr>
                <w:rFonts w:ascii="宋体" w:hAnsi="宋体"/>
                <w:sz w:val="21"/>
                <w:szCs w:val="21"/>
              </w:rPr>
            </w:pPr>
          </w:p>
          <w:p>
            <w:pPr>
              <w:kinsoku w:val="0"/>
              <w:overflowPunct w:val="0"/>
              <w:autoSpaceDE w:val="0"/>
              <w:autoSpaceDN w:val="0"/>
              <w:adjustRightInd w:val="0"/>
              <w:ind w:left="103"/>
              <w:jc w:val="center"/>
              <w:rPr>
                <w:rFonts w:ascii="宋体" w:hAnsi="宋体"/>
                <w:sz w:val="21"/>
                <w:szCs w:val="21"/>
              </w:rPr>
            </w:pPr>
          </w:p>
          <w:p>
            <w:pPr>
              <w:kinsoku w:val="0"/>
              <w:overflowPunct w:val="0"/>
              <w:autoSpaceDE w:val="0"/>
              <w:autoSpaceDN w:val="0"/>
              <w:adjustRightInd w:val="0"/>
              <w:ind w:left="103"/>
              <w:jc w:val="center"/>
              <w:rPr>
                <w:rFonts w:ascii="宋体" w:hAnsi="宋体"/>
                <w:sz w:val="21"/>
                <w:szCs w:val="21"/>
              </w:rPr>
            </w:pPr>
          </w:p>
          <w:p>
            <w:pPr>
              <w:kinsoku w:val="0"/>
              <w:overflowPunct w:val="0"/>
              <w:autoSpaceDE w:val="0"/>
              <w:autoSpaceDN w:val="0"/>
              <w:adjustRightInd w:val="0"/>
              <w:ind w:left="103"/>
              <w:jc w:val="center"/>
              <w:rPr>
                <w:rFonts w:ascii="宋体" w:hAnsi="宋体"/>
                <w:sz w:val="21"/>
                <w:szCs w:val="21"/>
              </w:rPr>
            </w:pPr>
            <w:r>
              <w:rPr>
                <w:rFonts w:hint="eastAsia" w:ascii="宋体" w:hAnsi="宋体"/>
                <w:sz w:val="21"/>
                <w:szCs w:val="21"/>
              </w:rPr>
              <w:t>服务方案</w:t>
            </w:r>
          </w:p>
        </w:tc>
        <w:tc>
          <w:tcPr>
            <w:tcW w:w="851"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jc w:val="center"/>
              <w:rPr>
                <w:rFonts w:ascii="宋体" w:hAnsi="宋体"/>
                <w:sz w:val="21"/>
                <w:szCs w:val="21"/>
              </w:rPr>
            </w:pPr>
          </w:p>
          <w:p>
            <w:pPr>
              <w:kinsoku w:val="0"/>
              <w:overflowPunct w:val="0"/>
              <w:autoSpaceDE w:val="0"/>
              <w:autoSpaceDN w:val="0"/>
              <w:adjustRightInd w:val="0"/>
              <w:ind w:left="103"/>
              <w:jc w:val="center"/>
              <w:rPr>
                <w:rFonts w:ascii="宋体" w:hAnsi="宋体"/>
                <w:sz w:val="21"/>
                <w:szCs w:val="21"/>
              </w:rPr>
            </w:pPr>
          </w:p>
          <w:p>
            <w:pPr>
              <w:kinsoku w:val="0"/>
              <w:overflowPunct w:val="0"/>
              <w:autoSpaceDE w:val="0"/>
              <w:autoSpaceDN w:val="0"/>
              <w:adjustRightInd w:val="0"/>
              <w:ind w:left="103"/>
              <w:jc w:val="center"/>
              <w:rPr>
                <w:rFonts w:ascii="宋体" w:hAnsi="宋体"/>
                <w:sz w:val="21"/>
                <w:szCs w:val="21"/>
              </w:rPr>
            </w:pPr>
            <w:r>
              <w:rPr>
                <w:rFonts w:ascii="宋体" w:hAnsi="宋体"/>
                <w:sz w:val="21"/>
                <w:szCs w:val="21"/>
              </w:rPr>
              <w:t>47</w:t>
            </w:r>
            <w:r>
              <w:rPr>
                <w:rFonts w:hint="eastAsia" w:ascii="宋体" w:hAnsi="宋体"/>
                <w:sz w:val="21"/>
                <w:szCs w:val="21"/>
              </w:rPr>
              <w:t>分</w:t>
            </w:r>
          </w:p>
        </w:tc>
        <w:tc>
          <w:tcPr>
            <w:tcW w:w="5528"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ind w:left="103"/>
              <w:jc w:val="center"/>
              <w:rPr>
                <w:rFonts w:ascii="宋体" w:hAnsi="宋体" w:cs="宋体"/>
                <w:color w:val="000000"/>
                <w:sz w:val="22"/>
                <w:szCs w:val="22"/>
              </w:rPr>
            </w:pPr>
            <w:r>
              <w:rPr>
                <w:rFonts w:ascii="宋体" w:hAnsi="宋体"/>
                <w:sz w:val="21"/>
                <w:szCs w:val="21"/>
              </w:rPr>
              <w:t>投标人需针对云服务要求中的技术指标做出响应，</w:t>
            </w:r>
          </w:p>
          <w:p>
            <w:pPr>
              <w:kinsoku w:val="0"/>
              <w:overflowPunct w:val="0"/>
              <w:autoSpaceDE w:val="0"/>
              <w:autoSpaceDN w:val="0"/>
              <w:adjustRightInd w:val="0"/>
              <w:ind w:left="103"/>
              <w:jc w:val="center"/>
              <w:rPr>
                <w:rFonts w:ascii="宋体" w:hAnsi="宋体"/>
                <w:sz w:val="21"/>
                <w:szCs w:val="21"/>
              </w:rPr>
            </w:pPr>
            <w:r>
              <w:rPr>
                <w:rFonts w:hint="eastAsia" w:ascii="宋体" w:hAnsi="宋体" w:cs="宋体"/>
                <w:color w:val="000000"/>
                <w:sz w:val="22"/>
                <w:szCs w:val="22"/>
              </w:rPr>
              <w:t>其中</w:t>
            </w:r>
            <w:r>
              <w:rPr>
                <w:rFonts w:hint="eastAsia" w:ascii="宋体" w:hAnsi="宋体" w:cs="宋体"/>
                <w:sz w:val="22"/>
                <w:szCs w:val="22"/>
              </w:rPr>
              <w:t>◆项不满足每项扣1.5分，其余项不满足的每项扣1分，扣完为止。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9" w:hRule="atLeast"/>
        </w:trPr>
        <w:tc>
          <w:tcPr>
            <w:tcW w:w="1277" w:type="dxa"/>
            <w:vMerge w:val="continue"/>
            <w:tcBorders>
              <w:top w:val="nil"/>
              <w:left w:val="single" w:color="000000" w:sz="4" w:space="0"/>
              <w:bottom w:val="single" w:color="000000" w:sz="4" w:space="0"/>
              <w:right w:val="single" w:color="000000" w:sz="4" w:space="0"/>
            </w:tcBorders>
            <w:vAlign w:val="center"/>
          </w:tcPr>
          <w:p>
            <w:pPr>
              <w:kinsoku w:val="0"/>
              <w:overflowPunct w:val="0"/>
              <w:autoSpaceDE w:val="0"/>
              <w:autoSpaceDN w:val="0"/>
              <w:adjustRightInd w:val="0"/>
              <w:ind w:left="103"/>
              <w:jc w:val="center"/>
              <w:rPr>
                <w:rFonts w:ascii="宋体" w:hAnsi="宋体"/>
                <w:sz w:val="21"/>
                <w:szCs w:val="21"/>
              </w:rPr>
            </w:pPr>
          </w:p>
        </w:tc>
        <w:tc>
          <w:tcPr>
            <w:tcW w:w="1275" w:type="dxa"/>
            <w:vMerge w:val="continue"/>
            <w:tcBorders>
              <w:top w:val="nil"/>
              <w:left w:val="nil"/>
              <w:bottom w:val="single" w:color="000000" w:sz="4" w:space="0"/>
              <w:right w:val="single" w:color="000000" w:sz="4" w:space="0"/>
            </w:tcBorders>
            <w:vAlign w:val="center"/>
          </w:tcPr>
          <w:p>
            <w:pPr>
              <w:kinsoku w:val="0"/>
              <w:overflowPunct w:val="0"/>
              <w:autoSpaceDE w:val="0"/>
              <w:autoSpaceDN w:val="0"/>
              <w:adjustRightInd w:val="0"/>
              <w:ind w:left="103"/>
              <w:jc w:val="center"/>
              <w:rPr>
                <w:rFonts w:ascii="宋体" w:hAnsi="宋体"/>
                <w:sz w:val="21"/>
                <w:szCs w:val="21"/>
              </w:rPr>
            </w:pPr>
          </w:p>
        </w:tc>
        <w:tc>
          <w:tcPr>
            <w:tcW w:w="851"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ind w:left="103"/>
              <w:jc w:val="center"/>
              <w:rPr>
                <w:rFonts w:ascii="宋体" w:hAnsi="宋体"/>
                <w:sz w:val="21"/>
                <w:szCs w:val="21"/>
              </w:rPr>
            </w:pPr>
          </w:p>
          <w:p>
            <w:pPr>
              <w:kinsoku w:val="0"/>
              <w:overflowPunct w:val="0"/>
              <w:autoSpaceDE w:val="0"/>
              <w:autoSpaceDN w:val="0"/>
              <w:adjustRightInd w:val="0"/>
              <w:ind w:left="103"/>
              <w:jc w:val="center"/>
              <w:rPr>
                <w:rFonts w:ascii="宋体" w:hAnsi="宋体"/>
                <w:sz w:val="21"/>
                <w:szCs w:val="21"/>
              </w:rPr>
            </w:pPr>
          </w:p>
          <w:p>
            <w:pPr>
              <w:kinsoku w:val="0"/>
              <w:overflowPunct w:val="0"/>
              <w:autoSpaceDE w:val="0"/>
              <w:autoSpaceDN w:val="0"/>
              <w:adjustRightInd w:val="0"/>
              <w:ind w:left="103"/>
              <w:jc w:val="center"/>
              <w:rPr>
                <w:rFonts w:ascii="宋体" w:hAnsi="宋体"/>
                <w:sz w:val="21"/>
                <w:szCs w:val="21"/>
              </w:rPr>
            </w:pPr>
            <w:r>
              <w:rPr>
                <w:rFonts w:ascii="宋体" w:hAnsi="宋体"/>
                <w:sz w:val="21"/>
                <w:szCs w:val="21"/>
              </w:rPr>
              <w:t>10</w:t>
            </w:r>
            <w:r>
              <w:rPr>
                <w:rFonts w:hint="eastAsia" w:ascii="宋体" w:hAnsi="宋体"/>
                <w:sz w:val="21"/>
                <w:szCs w:val="21"/>
              </w:rPr>
              <w:t>分</w:t>
            </w:r>
          </w:p>
        </w:tc>
        <w:tc>
          <w:tcPr>
            <w:tcW w:w="5528"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ind w:left="103"/>
              <w:jc w:val="center"/>
              <w:rPr>
                <w:rFonts w:ascii="宋体" w:hAnsi="宋体"/>
                <w:sz w:val="21"/>
                <w:szCs w:val="21"/>
              </w:rPr>
            </w:pPr>
            <w:r>
              <w:rPr>
                <w:rFonts w:hint="eastAsia" w:ascii="宋体" w:hAnsi="宋体"/>
                <w:sz w:val="21"/>
                <w:szCs w:val="21"/>
              </w:rPr>
              <w:t>根据供应商提供的项目实施方案进行打分。</w:t>
            </w:r>
          </w:p>
          <w:p>
            <w:pPr>
              <w:kinsoku w:val="0"/>
              <w:overflowPunct w:val="0"/>
              <w:autoSpaceDE w:val="0"/>
              <w:autoSpaceDN w:val="0"/>
              <w:adjustRightInd w:val="0"/>
              <w:ind w:left="103"/>
              <w:jc w:val="center"/>
              <w:rPr>
                <w:rFonts w:ascii="宋体" w:hAnsi="宋体"/>
                <w:sz w:val="21"/>
                <w:szCs w:val="21"/>
              </w:rPr>
            </w:pPr>
            <w:r>
              <w:rPr>
                <w:rFonts w:hint="eastAsia" w:ascii="宋体" w:hAnsi="宋体"/>
                <w:sz w:val="21"/>
                <w:szCs w:val="21"/>
              </w:rPr>
              <w:t>方案应包括项目实施方法、项目实施原则、项目实施方案的可行性、验收计划及质保服务等内容。方案内容完整、设计合理、符合用户场景需求的得1</w:t>
            </w:r>
            <w:r>
              <w:rPr>
                <w:rFonts w:ascii="宋体" w:hAnsi="宋体"/>
                <w:sz w:val="21"/>
                <w:szCs w:val="21"/>
              </w:rPr>
              <w:t>0</w:t>
            </w:r>
            <w:r>
              <w:rPr>
                <w:rFonts w:hint="eastAsia" w:ascii="宋体" w:hAnsi="宋体"/>
                <w:sz w:val="21"/>
                <w:szCs w:val="21"/>
              </w:rPr>
              <w:t>分；方案内容完整、设计较合理、较符合用户需求的得</w:t>
            </w:r>
            <w:r>
              <w:rPr>
                <w:rFonts w:ascii="宋体" w:hAnsi="宋体"/>
                <w:sz w:val="21"/>
                <w:szCs w:val="21"/>
              </w:rPr>
              <w:t>7</w:t>
            </w:r>
            <w:r>
              <w:rPr>
                <w:rFonts w:hint="eastAsia" w:ascii="宋体" w:hAnsi="宋体"/>
                <w:sz w:val="21"/>
                <w:szCs w:val="21"/>
              </w:rPr>
              <w:t>分；方案内容完整、设计不合理、不符合用户需求的得4分；每缺失一项内容扣3分，扣完为止。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24" w:hRule="atLeast"/>
        </w:trPr>
        <w:tc>
          <w:tcPr>
            <w:tcW w:w="1277" w:type="dxa"/>
            <w:vMerge w:val="continue"/>
            <w:tcBorders>
              <w:top w:val="nil"/>
              <w:left w:val="single" w:color="000000" w:sz="4" w:space="0"/>
              <w:bottom w:val="nil"/>
              <w:right w:val="single" w:color="000000" w:sz="4" w:space="0"/>
            </w:tcBorders>
            <w:vAlign w:val="center"/>
          </w:tcPr>
          <w:p>
            <w:pPr>
              <w:kinsoku w:val="0"/>
              <w:overflowPunct w:val="0"/>
              <w:autoSpaceDE w:val="0"/>
              <w:autoSpaceDN w:val="0"/>
              <w:adjustRightInd w:val="0"/>
              <w:ind w:left="103"/>
              <w:jc w:val="center"/>
              <w:rPr>
                <w:rFonts w:ascii="宋体" w:hAnsi="宋体"/>
                <w:sz w:val="21"/>
                <w:szCs w:val="21"/>
              </w:rPr>
            </w:pPr>
          </w:p>
        </w:tc>
        <w:tc>
          <w:tcPr>
            <w:tcW w:w="1275" w:type="dxa"/>
            <w:vMerge w:val="continue"/>
            <w:tcBorders>
              <w:top w:val="nil"/>
              <w:left w:val="nil"/>
              <w:bottom w:val="nil"/>
              <w:right w:val="single" w:color="000000" w:sz="4" w:space="0"/>
            </w:tcBorders>
            <w:vAlign w:val="center"/>
          </w:tcPr>
          <w:p>
            <w:pPr>
              <w:kinsoku w:val="0"/>
              <w:overflowPunct w:val="0"/>
              <w:autoSpaceDE w:val="0"/>
              <w:autoSpaceDN w:val="0"/>
              <w:adjustRightInd w:val="0"/>
              <w:ind w:left="103"/>
              <w:jc w:val="center"/>
              <w:rPr>
                <w:rFonts w:ascii="宋体" w:hAnsi="宋体"/>
                <w:sz w:val="21"/>
                <w:szCs w:val="21"/>
              </w:rPr>
            </w:pPr>
          </w:p>
        </w:tc>
        <w:tc>
          <w:tcPr>
            <w:tcW w:w="851"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ind w:left="103"/>
              <w:jc w:val="center"/>
              <w:rPr>
                <w:rFonts w:ascii="宋体" w:hAnsi="宋体"/>
                <w:sz w:val="21"/>
                <w:szCs w:val="21"/>
              </w:rPr>
            </w:pPr>
          </w:p>
          <w:p>
            <w:pPr>
              <w:kinsoku w:val="0"/>
              <w:overflowPunct w:val="0"/>
              <w:autoSpaceDE w:val="0"/>
              <w:autoSpaceDN w:val="0"/>
              <w:adjustRightInd w:val="0"/>
              <w:ind w:left="103"/>
              <w:jc w:val="center"/>
              <w:rPr>
                <w:rFonts w:ascii="宋体" w:hAnsi="宋体"/>
                <w:sz w:val="21"/>
                <w:szCs w:val="21"/>
              </w:rPr>
            </w:pPr>
            <w:r>
              <w:rPr>
                <w:rFonts w:ascii="宋体" w:hAnsi="宋体"/>
                <w:sz w:val="21"/>
                <w:szCs w:val="21"/>
              </w:rPr>
              <w:t>5</w:t>
            </w:r>
            <w:r>
              <w:rPr>
                <w:rFonts w:hint="eastAsia" w:ascii="宋体" w:hAnsi="宋体"/>
                <w:sz w:val="21"/>
                <w:szCs w:val="21"/>
              </w:rPr>
              <w:t>分</w:t>
            </w:r>
          </w:p>
        </w:tc>
        <w:tc>
          <w:tcPr>
            <w:tcW w:w="5528"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ind w:left="103"/>
              <w:jc w:val="center"/>
              <w:rPr>
                <w:rFonts w:ascii="宋体" w:hAnsi="宋体"/>
                <w:sz w:val="21"/>
                <w:szCs w:val="21"/>
              </w:rPr>
            </w:pPr>
            <w:r>
              <w:rPr>
                <w:rFonts w:hint="eastAsia" w:ascii="宋体" w:hAnsi="宋体"/>
                <w:sz w:val="21"/>
                <w:szCs w:val="21"/>
              </w:rPr>
              <w:t>根据供应商提供的进度保障措施方案进行打分。</w:t>
            </w:r>
          </w:p>
          <w:p>
            <w:pPr>
              <w:kinsoku w:val="0"/>
              <w:overflowPunct w:val="0"/>
              <w:autoSpaceDE w:val="0"/>
              <w:autoSpaceDN w:val="0"/>
              <w:adjustRightInd w:val="0"/>
              <w:ind w:left="103"/>
              <w:jc w:val="center"/>
              <w:rPr>
                <w:rFonts w:ascii="宋体" w:hAnsi="宋体"/>
                <w:sz w:val="21"/>
                <w:szCs w:val="21"/>
              </w:rPr>
            </w:pPr>
            <w:r>
              <w:rPr>
                <w:rFonts w:hint="eastAsia" w:ascii="宋体" w:hAnsi="宋体" w:cs="宋体"/>
                <w:sz w:val="22"/>
                <w:szCs w:val="22"/>
              </w:rPr>
              <w:t>供应商针对本项目提供的项目进度保障措施方案应包含但不限于：进度保障方案、进度安排、进度出现偏差的解决方案。进度保障措施方案全面、合理、符合用户需求的得</w:t>
            </w:r>
            <w:r>
              <w:rPr>
                <w:rFonts w:ascii="宋体" w:hAnsi="宋体" w:cs="宋体"/>
                <w:sz w:val="22"/>
                <w:szCs w:val="22"/>
              </w:rPr>
              <w:t>5</w:t>
            </w:r>
            <w:r>
              <w:rPr>
                <w:rFonts w:hint="eastAsia" w:ascii="宋体" w:hAnsi="宋体" w:cs="宋体"/>
                <w:sz w:val="22"/>
                <w:szCs w:val="22"/>
              </w:rPr>
              <w:t>分；进度保障措施方案全面、较合理、较符合用户需求的得</w:t>
            </w:r>
            <w:r>
              <w:rPr>
                <w:rFonts w:ascii="宋体" w:hAnsi="宋体" w:cs="宋体"/>
                <w:sz w:val="22"/>
                <w:szCs w:val="22"/>
              </w:rPr>
              <w:t>3</w:t>
            </w:r>
            <w:r>
              <w:rPr>
                <w:rFonts w:hint="eastAsia" w:ascii="宋体" w:hAnsi="宋体" w:cs="宋体"/>
                <w:sz w:val="22"/>
                <w:szCs w:val="22"/>
              </w:rPr>
              <w:t>分；进度保障措施方案全面、不合理、不符合用户需求的得</w:t>
            </w:r>
            <w:r>
              <w:rPr>
                <w:rFonts w:ascii="宋体" w:hAnsi="宋体" w:cs="宋体"/>
                <w:sz w:val="22"/>
                <w:szCs w:val="22"/>
              </w:rPr>
              <w:t>1</w:t>
            </w:r>
            <w:r>
              <w:rPr>
                <w:rFonts w:hint="eastAsia" w:ascii="宋体" w:hAnsi="宋体" w:cs="宋体"/>
                <w:sz w:val="22"/>
                <w:szCs w:val="22"/>
              </w:rPr>
              <w:t>分；</w:t>
            </w:r>
            <w:r>
              <w:rPr>
                <w:rFonts w:hint="eastAsia" w:ascii="宋体" w:hAnsi="宋体"/>
                <w:sz w:val="21"/>
                <w:szCs w:val="21"/>
              </w:rPr>
              <w:t>每缺失一项内容扣</w:t>
            </w:r>
            <w:r>
              <w:rPr>
                <w:rFonts w:ascii="宋体" w:hAnsi="宋体"/>
                <w:sz w:val="21"/>
                <w:szCs w:val="21"/>
              </w:rPr>
              <w:t>2</w:t>
            </w:r>
            <w:r>
              <w:rPr>
                <w:rFonts w:hint="eastAsia" w:ascii="宋体" w:hAnsi="宋体"/>
                <w:sz w:val="21"/>
                <w:szCs w:val="21"/>
              </w:rPr>
              <w:t>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trPr>
        <w:tc>
          <w:tcPr>
            <w:tcW w:w="1277" w:type="dxa"/>
            <w:tcBorders>
              <w:top w:val="nil"/>
              <w:left w:val="single" w:color="000000" w:sz="4" w:space="0"/>
              <w:bottom w:val="single" w:color="auto" w:sz="4" w:space="0"/>
              <w:right w:val="single" w:color="000000" w:sz="4" w:space="0"/>
            </w:tcBorders>
            <w:vAlign w:val="center"/>
          </w:tcPr>
          <w:p>
            <w:pPr>
              <w:kinsoku w:val="0"/>
              <w:overflowPunct w:val="0"/>
              <w:autoSpaceDE w:val="0"/>
              <w:autoSpaceDN w:val="0"/>
              <w:adjustRightInd w:val="0"/>
              <w:ind w:left="103"/>
              <w:jc w:val="center"/>
              <w:rPr>
                <w:rFonts w:ascii="宋体" w:hAnsi="宋体"/>
                <w:sz w:val="21"/>
                <w:szCs w:val="21"/>
              </w:rPr>
            </w:pPr>
          </w:p>
        </w:tc>
        <w:tc>
          <w:tcPr>
            <w:tcW w:w="1275" w:type="dxa"/>
            <w:tcBorders>
              <w:top w:val="nil"/>
              <w:left w:val="nil"/>
              <w:bottom w:val="single" w:color="auto" w:sz="4" w:space="0"/>
              <w:right w:val="single" w:color="000000" w:sz="4" w:space="0"/>
            </w:tcBorders>
            <w:vAlign w:val="center"/>
          </w:tcPr>
          <w:p>
            <w:pPr>
              <w:kinsoku w:val="0"/>
              <w:overflowPunct w:val="0"/>
              <w:autoSpaceDE w:val="0"/>
              <w:autoSpaceDN w:val="0"/>
              <w:adjustRightInd w:val="0"/>
              <w:ind w:left="103"/>
              <w:jc w:val="center"/>
              <w:rPr>
                <w:rFonts w:ascii="宋体" w:hAnsi="宋体"/>
                <w:sz w:val="21"/>
                <w:szCs w:val="21"/>
              </w:rPr>
            </w:pPr>
          </w:p>
        </w:tc>
        <w:tc>
          <w:tcPr>
            <w:tcW w:w="851"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ind w:left="103"/>
              <w:jc w:val="center"/>
              <w:rPr>
                <w:rFonts w:ascii="宋体" w:hAnsi="宋体"/>
                <w:sz w:val="21"/>
                <w:szCs w:val="21"/>
              </w:rPr>
            </w:pPr>
            <w:r>
              <w:rPr>
                <w:rFonts w:hint="eastAsia" w:ascii="宋体" w:hAnsi="宋体"/>
                <w:sz w:val="21"/>
                <w:szCs w:val="21"/>
              </w:rPr>
              <w:t>1</w:t>
            </w:r>
            <w:r>
              <w:rPr>
                <w:rFonts w:ascii="宋体" w:hAnsi="宋体"/>
                <w:sz w:val="21"/>
                <w:szCs w:val="21"/>
              </w:rPr>
              <w:t>0分</w:t>
            </w:r>
          </w:p>
          <w:p>
            <w:pPr>
              <w:kinsoku w:val="0"/>
              <w:overflowPunct w:val="0"/>
              <w:autoSpaceDE w:val="0"/>
              <w:autoSpaceDN w:val="0"/>
              <w:adjustRightInd w:val="0"/>
              <w:ind w:left="103"/>
              <w:jc w:val="center"/>
              <w:rPr>
                <w:rFonts w:ascii="宋体" w:hAnsi="宋体"/>
                <w:sz w:val="21"/>
                <w:szCs w:val="21"/>
              </w:rPr>
            </w:pPr>
          </w:p>
        </w:tc>
        <w:tc>
          <w:tcPr>
            <w:tcW w:w="5528"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ind w:left="103"/>
              <w:jc w:val="center"/>
              <w:rPr>
                <w:rFonts w:ascii="宋体" w:hAnsi="宋体"/>
                <w:sz w:val="21"/>
                <w:szCs w:val="21"/>
              </w:rPr>
            </w:pPr>
            <w:r>
              <w:rPr>
                <w:rFonts w:hint="eastAsia" w:ascii="宋体" w:hAnsi="宋体"/>
                <w:sz w:val="21"/>
                <w:szCs w:val="21"/>
              </w:rPr>
              <w:t>根据供应商提供的售后服务方案进行打分。</w:t>
            </w:r>
          </w:p>
          <w:p>
            <w:pPr>
              <w:kinsoku w:val="0"/>
              <w:overflowPunct w:val="0"/>
              <w:autoSpaceDE w:val="0"/>
              <w:autoSpaceDN w:val="0"/>
              <w:adjustRightInd w:val="0"/>
              <w:ind w:left="103"/>
              <w:jc w:val="center"/>
              <w:rPr>
                <w:rFonts w:ascii="宋体" w:hAnsi="宋体"/>
                <w:sz w:val="21"/>
                <w:szCs w:val="21"/>
              </w:rPr>
            </w:pPr>
            <w:r>
              <w:rPr>
                <w:rFonts w:hint="eastAsia" w:ascii="宋体" w:hAnsi="宋体" w:cs="宋体"/>
                <w:sz w:val="22"/>
                <w:szCs w:val="22"/>
              </w:rPr>
              <w:t>供应商针对本项目提供的售后服务方案应包含但不限于：售后服务内容、售后服务人员、售后服务方式、响应时间等。售后服务方案设计专业、服务方式多样、服务响应及时的得1</w:t>
            </w:r>
            <w:r>
              <w:rPr>
                <w:rFonts w:ascii="宋体" w:hAnsi="宋体" w:cs="宋体"/>
                <w:sz w:val="22"/>
                <w:szCs w:val="22"/>
              </w:rPr>
              <w:t>0</w:t>
            </w:r>
            <w:r>
              <w:rPr>
                <w:rFonts w:hint="eastAsia" w:ascii="宋体" w:hAnsi="宋体" w:cs="宋体"/>
                <w:sz w:val="22"/>
                <w:szCs w:val="22"/>
              </w:rPr>
              <w:t>分；售后服务方案设计较专业、服务方式种类较多、服务响应较及时的得</w:t>
            </w:r>
            <w:r>
              <w:rPr>
                <w:rFonts w:ascii="宋体" w:hAnsi="宋体" w:cs="宋体"/>
                <w:sz w:val="22"/>
                <w:szCs w:val="22"/>
              </w:rPr>
              <w:t>7</w:t>
            </w:r>
            <w:r>
              <w:rPr>
                <w:rFonts w:hint="eastAsia" w:ascii="宋体" w:hAnsi="宋体" w:cs="宋体"/>
                <w:sz w:val="22"/>
                <w:szCs w:val="22"/>
              </w:rPr>
              <w:t>分；售后服务方案设计专业水平低、服务方式种类少、服务响应时效性低的得4分；每缺失一项内容扣3分，扣完为止。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 w:hRule="atLeast"/>
        </w:trPr>
        <w:tc>
          <w:tcPr>
            <w:tcW w:w="2552" w:type="dxa"/>
            <w:gridSpan w:val="2"/>
            <w:tcBorders>
              <w:left w:val="single" w:color="000000" w:sz="4" w:space="0"/>
              <w:bottom w:val="single" w:color="000000" w:sz="4" w:space="0"/>
              <w:right w:val="single" w:color="000000" w:sz="4" w:space="0"/>
            </w:tcBorders>
            <w:vAlign w:val="center"/>
          </w:tcPr>
          <w:p>
            <w:pPr>
              <w:kinsoku w:val="0"/>
              <w:overflowPunct w:val="0"/>
              <w:autoSpaceDE w:val="0"/>
              <w:autoSpaceDN w:val="0"/>
              <w:adjustRightInd w:val="0"/>
              <w:ind w:left="103"/>
              <w:jc w:val="center"/>
              <w:rPr>
                <w:rFonts w:ascii="宋体" w:hAnsi="宋体"/>
                <w:sz w:val="21"/>
                <w:szCs w:val="21"/>
              </w:rPr>
            </w:pPr>
            <w:r>
              <w:rPr>
                <w:rFonts w:hint="eastAsia" w:ascii="宋体" w:hAnsi="宋体"/>
                <w:sz w:val="21"/>
                <w:szCs w:val="21"/>
              </w:rPr>
              <w:t>总分</w:t>
            </w:r>
          </w:p>
        </w:tc>
        <w:tc>
          <w:tcPr>
            <w:tcW w:w="6379" w:type="dxa"/>
            <w:gridSpan w:val="2"/>
            <w:tcBorders>
              <w:left w:val="nil"/>
              <w:bottom w:val="single" w:color="000000" w:sz="4" w:space="0"/>
              <w:right w:val="single" w:color="000000" w:sz="4" w:space="0"/>
            </w:tcBorders>
            <w:vAlign w:val="center"/>
          </w:tcPr>
          <w:p>
            <w:pPr>
              <w:kinsoku w:val="0"/>
              <w:overflowPunct w:val="0"/>
              <w:autoSpaceDE w:val="0"/>
              <w:autoSpaceDN w:val="0"/>
              <w:adjustRightInd w:val="0"/>
              <w:ind w:left="103"/>
              <w:jc w:val="center"/>
              <w:rPr>
                <w:rFonts w:ascii="宋体" w:hAnsi="宋体"/>
                <w:sz w:val="21"/>
                <w:szCs w:val="21"/>
              </w:rPr>
            </w:pPr>
            <w:r>
              <w:rPr>
                <w:rFonts w:hint="eastAsia" w:ascii="宋体" w:hAnsi="宋体"/>
                <w:sz w:val="21"/>
                <w:szCs w:val="21"/>
              </w:rPr>
              <w:t>1</w:t>
            </w:r>
            <w:r>
              <w:rPr>
                <w:rFonts w:ascii="宋体" w:hAnsi="宋体"/>
                <w:sz w:val="21"/>
                <w:szCs w:val="21"/>
              </w:rPr>
              <w:t>00</w:t>
            </w:r>
            <w:r>
              <w:rPr>
                <w:rFonts w:hint="eastAsia" w:ascii="宋体" w:hAnsi="宋体"/>
                <w:sz w:val="21"/>
                <w:szCs w:val="21"/>
              </w:rPr>
              <w:t>分</w:t>
            </w:r>
          </w:p>
        </w:tc>
      </w:tr>
    </w:tbl>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adjustRightInd w:val="0"/>
        <w:snapToGrid w:val="0"/>
        <w:ind w:left="-146" w:leftChars="-52" w:right="-196" w:rightChars="-70" w:firstLine="1"/>
        <w:jc w:val="center"/>
        <w:outlineLvl w:val="0"/>
        <w:rPr>
          <w:b/>
          <w:sz w:val="36"/>
          <w:szCs w:val="36"/>
        </w:rPr>
      </w:pPr>
      <w:r>
        <w:rPr>
          <w:b/>
          <w:sz w:val="36"/>
          <w:szCs w:val="36"/>
        </w:rPr>
        <w:t>第四章  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4.1磋商文件(编号：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本合同所提供的货物（服务）及数量详见磋商文件的要求及供方响应文件中的承诺。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本合同的付款条件在磋商文件中有明确规定。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本合同中货物（服务）的实施时间、地点在磋商文件中有明确规定。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kern w:val="0"/>
          <w:sz w:val="24"/>
          <w:szCs w:val="20"/>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jc w:val="left"/>
      </w:pPr>
    </w:p>
    <w:p>
      <w:r>
        <w:t>封面：</w:t>
      </w:r>
    </w:p>
    <w:p>
      <w:pPr>
        <w:pStyle w:val="20"/>
        <w:tabs>
          <w:tab w:val="left" w:pos="1260"/>
        </w:tabs>
        <w:jc w:val="center"/>
        <w:rPr>
          <w:rFonts w:ascii="Times New Roman" w:hAnsi="Times New Roman" w:cs="Times New Roman"/>
          <w:bCs/>
          <w:spacing w:val="100"/>
          <w:w w:val="110"/>
          <w:kern w:val="0"/>
          <w:sz w:val="52"/>
          <w:szCs w:val="52"/>
        </w:rPr>
      </w:pPr>
    </w:p>
    <w:p>
      <w:pPr>
        <w:pStyle w:val="20"/>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20"/>
        <w:jc w:val="center"/>
        <w:rPr>
          <w:rFonts w:ascii="Times New Roman" w:hAnsi="Times New Roman" w:cs="Times New Roman"/>
          <w:sz w:val="44"/>
        </w:rPr>
      </w:pPr>
      <w:r>
        <w:rPr>
          <w:rFonts w:ascii="Times New Roman" w:hAnsi="Times New Roman" w:cs="Times New Roman"/>
          <w:sz w:val="44"/>
        </w:rPr>
        <w:t>（正本）</w:t>
      </w:r>
    </w:p>
    <w:p>
      <w:pPr>
        <w:pStyle w:val="20"/>
        <w:jc w:val="center"/>
        <w:rPr>
          <w:rFonts w:ascii="Times New Roman" w:hAnsi="Times New Roman" w:cs="Times New Roman"/>
          <w:sz w:val="44"/>
        </w:rPr>
      </w:pPr>
    </w:p>
    <w:p>
      <w:pPr>
        <w:pStyle w:val="20"/>
        <w:jc w:val="center"/>
        <w:rPr>
          <w:rFonts w:ascii="Times New Roman" w:hAnsi="Times New Roman" w:cs="Times New Roman"/>
          <w:sz w:val="44"/>
        </w:rPr>
      </w:pPr>
    </w:p>
    <w:p>
      <w:pPr>
        <w:pStyle w:val="20"/>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3"/>
        <w:spacing w:line="360" w:lineRule="auto"/>
        <w:ind w:firstLine="1280" w:firstLineChars="400"/>
        <w:rPr>
          <w:szCs w:val="32"/>
          <w:u w:val="single"/>
        </w:rPr>
      </w:pPr>
      <w:r>
        <w:rPr>
          <w:szCs w:val="32"/>
        </w:rPr>
        <w:t>项目名称：</w:t>
      </w:r>
    </w:p>
    <w:p>
      <w:pPr>
        <w:pStyle w:val="20"/>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磋商内容：</w:t>
      </w:r>
    </w:p>
    <w:p>
      <w:pPr>
        <w:pStyle w:val="20"/>
        <w:ind w:firstLine="1320" w:firstLineChars="300"/>
        <w:rPr>
          <w:rFonts w:ascii="Times New Roman" w:hAnsi="Times New Roman" w:cs="Times New Roman"/>
          <w:sz w:val="44"/>
        </w:rPr>
      </w:pPr>
    </w:p>
    <w:p>
      <w:pPr>
        <w:pStyle w:val="20"/>
        <w:ind w:firstLine="1320" w:firstLineChars="300"/>
        <w:rPr>
          <w:rFonts w:ascii="Times New Roman" w:hAnsi="Times New Roman" w:cs="Times New Roman"/>
          <w:sz w:val="44"/>
        </w:rPr>
      </w:pPr>
    </w:p>
    <w:p>
      <w:pPr>
        <w:pStyle w:val="20"/>
        <w:ind w:firstLine="1320" w:firstLineChars="300"/>
        <w:rPr>
          <w:rFonts w:ascii="Times New Roman" w:hAnsi="Times New Roman" w:cs="Times New Roman"/>
          <w:sz w:val="44"/>
        </w:rPr>
      </w:pPr>
    </w:p>
    <w:p>
      <w:pPr>
        <w:pStyle w:val="20"/>
        <w:ind w:firstLine="1320" w:firstLineChars="300"/>
        <w:rPr>
          <w:rFonts w:ascii="Times New Roman" w:hAnsi="Times New Roman" w:cs="Times New Roman"/>
          <w:sz w:val="44"/>
        </w:rPr>
      </w:pPr>
    </w:p>
    <w:p>
      <w:pPr>
        <w:pStyle w:val="20"/>
        <w:ind w:firstLine="1320" w:firstLineChars="300"/>
        <w:rPr>
          <w:rFonts w:ascii="Times New Roman" w:hAnsi="Times New Roman" w:cs="Times New Roman"/>
          <w:sz w:val="44"/>
        </w:rPr>
      </w:pPr>
    </w:p>
    <w:p>
      <w:pPr>
        <w:pStyle w:val="20"/>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jc w:val="center"/>
        <w:rPr>
          <w:sz w:val="44"/>
          <w:szCs w:val="44"/>
        </w:rPr>
      </w:pPr>
      <w:r>
        <w:rPr>
          <w:szCs w:val="21"/>
        </w:rPr>
        <w:br w:type="page"/>
      </w:r>
      <w:r>
        <w:rPr>
          <w:sz w:val="44"/>
          <w:szCs w:val="44"/>
        </w:rPr>
        <w:t>目</w:t>
      </w:r>
      <w:r>
        <w:rPr>
          <w:rFonts w:hint="eastAsia"/>
          <w:sz w:val="44"/>
          <w:szCs w:val="44"/>
        </w:rPr>
        <w:t xml:space="preserve">  </w:t>
      </w:r>
      <w:r>
        <w:rPr>
          <w:sz w:val="44"/>
          <w:szCs w:val="44"/>
        </w:rPr>
        <w:t>录</w:t>
      </w:r>
    </w:p>
    <w:p>
      <w:pPr>
        <w:rPr>
          <w:sz w:val="24"/>
        </w:rPr>
      </w:pPr>
      <w:r>
        <w:rPr>
          <w:szCs w:val="21"/>
        </w:rPr>
        <w:br w:type="page"/>
      </w:r>
      <w:r>
        <w:rPr>
          <w:sz w:val="24"/>
        </w:rPr>
        <w:t>附件1</w:t>
      </w:r>
    </w:p>
    <w:p>
      <w:pPr>
        <w:jc w:val="center"/>
      </w:pPr>
      <w:r>
        <w:t>磋商书</w:t>
      </w:r>
    </w:p>
    <w:p>
      <w:pPr>
        <w:spacing w:line="500" w:lineRule="exact"/>
        <w:ind w:left="-118" w:leftChars="-42"/>
        <w:rPr>
          <w:rFonts w:eastAsia="仿宋_GB2312"/>
          <w:szCs w:val="28"/>
        </w:rPr>
      </w:pPr>
    </w:p>
    <w:p>
      <w:pPr>
        <w:pStyle w:val="20"/>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湖北省博物馆/湖北省文物考古研究所</w:t>
      </w:r>
      <w:r>
        <w:rPr>
          <w:rFonts w:ascii="Times New Roman" w:hAnsi="Times New Roman" w:cs="Times New Roman"/>
          <w:sz w:val="24"/>
          <w:u w:val="single"/>
        </w:rPr>
        <w:t>)</w:t>
      </w:r>
    </w:p>
    <w:p>
      <w:pPr>
        <w:pStyle w:val="20"/>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项目政府采购的磋商邀请，</w:t>
      </w:r>
      <w:r>
        <w:rPr>
          <w:rFonts w:hint="eastAsia" w:ascii="Times New Roman" w:hAnsi="Times New Roman" w:cs="Times New Roman"/>
          <w:sz w:val="24"/>
          <w:u w:val="single"/>
        </w:rPr>
        <w:t xml:space="preserve">          </w:t>
      </w:r>
      <w:r>
        <w:rPr>
          <w:rFonts w:ascii="Times New Roman" w:hAnsi="Times New Roman" w:cs="Times New Roman"/>
          <w:sz w:val="24"/>
        </w:rPr>
        <w:t>（姓名和职务）经正式授权并代表磋商供应商</w:t>
      </w:r>
      <w:r>
        <w:rPr>
          <w:rFonts w:ascii="Times New Roman" w:hAnsi="Times New Roman" w:cs="Times New Roman"/>
          <w:sz w:val="24"/>
          <w:u w:val="single"/>
        </w:rPr>
        <w:t>（磋商供应商名称、地址）</w:t>
      </w:r>
      <w:r>
        <w:rPr>
          <w:rFonts w:ascii="Times New Roman" w:hAnsi="Times New Roman" w:cs="Times New Roman"/>
          <w:sz w:val="24"/>
        </w:rPr>
        <w:t>提交下述响应文件正本一份。</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1.磋商书(附件1)；</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20"/>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20"/>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20"/>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已详细审查全部竞争性磋商文件，包括第（编号、补遗书）（如果有的话）；我们完全理解并同意放弃对这方面有不明及误解的权力；</w:t>
      </w:r>
    </w:p>
    <w:p>
      <w:pPr>
        <w:pStyle w:val="20"/>
        <w:spacing w:line="440" w:lineRule="exact"/>
        <w:ind w:firstLine="480"/>
        <w:rPr>
          <w:rFonts w:ascii="Times New Roman" w:hAnsi="Times New Roman" w:cs="Times New Roman"/>
          <w:sz w:val="24"/>
        </w:rPr>
      </w:pPr>
      <w:r>
        <w:rPr>
          <w:rFonts w:ascii="Times New Roman" w:hAnsi="Times New Roman" w:cs="Times New Roman"/>
          <w:sz w:val="24"/>
        </w:rPr>
        <w:t>3. 本响应文件有效期为自磋商之日</w:t>
      </w:r>
      <w:r>
        <w:rPr>
          <w:rFonts w:ascii="Times New Roman" w:hAnsi="Times New Roman" w:cs="Times New Roman"/>
          <w:sz w:val="24"/>
          <w:highlight w:val="yellow"/>
        </w:rPr>
        <w:t>起</w:t>
      </w:r>
      <w:r>
        <w:rPr>
          <w:rFonts w:hint="eastAsia" w:ascii="Times New Roman" w:hAnsi="Times New Roman" w:cs="Times New Roman"/>
          <w:sz w:val="24"/>
          <w:highlight w:val="yellow"/>
          <w:u w:val="single"/>
        </w:rPr>
        <w:t>（  ）</w:t>
      </w:r>
      <w:r>
        <w:rPr>
          <w:rFonts w:ascii="Times New Roman" w:hAnsi="Times New Roman" w:cs="Times New Roman"/>
          <w:sz w:val="24"/>
          <w:highlight w:val="yellow"/>
        </w:rPr>
        <w:t>个日</w:t>
      </w:r>
      <w:r>
        <w:rPr>
          <w:rFonts w:ascii="Times New Roman" w:hAnsi="Times New Roman" w:cs="Times New Roman"/>
          <w:sz w:val="24"/>
        </w:rPr>
        <w:t>历日；</w:t>
      </w:r>
    </w:p>
    <w:p>
      <w:pPr>
        <w:pStyle w:val="20"/>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同意提供按照贵方可能要求的与其磋商有关的一切数据或资料；</w:t>
      </w:r>
    </w:p>
    <w:p>
      <w:pPr>
        <w:pStyle w:val="20"/>
        <w:spacing w:line="440" w:lineRule="exact"/>
        <w:ind w:firstLine="480"/>
        <w:rPr>
          <w:rFonts w:ascii="Times New Roman" w:hAnsi="Times New Roman" w:cs="Times New Roman"/>
          <w:sz w:val="24"/>
        </w:rPr>
      </w:pPr>
      <w:r>
        <w:rPr>
          <w:rFonts w:ascii="Times New Roman" w:hAnsi="Times New Roman" w:cs="Times New Roman"/>
          <w:sz w:val="24"/>
        </w:rPr>
        <w:t>5. 与本磋商有关的一切正式往来信函请寄：</w:t>
      </w:r>
    </w:p>
    <w:p>
      <w:pPr>
        <w:pStyle w:val="20"/>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20"/>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20"/>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20"/>
        <w:spacing w:line="440" w:lineRule="exact"/>
        <w:ind w:firstLine="840"/>
        <w:rPr>
          <w:rFonts w:ascii="Times New Roman" w:hAnsi="Times New Roman" w:cs="Times New Roman"/>
          <w:sz w:val="24"/>
        </w:rPr>
      </w:pPr>
      <w:r>
        <w:rPr>
          <w:rFonts w:ascii="Times New Roman" w:hAnsi="Times New Roman" w:cs="Times New Roman"/>
          <w:sz w:val="24"/>
        </w:rPr>
        <w:t>磋商供应商（授权）代表签字：</w:t>
      </w:r>
    </w:p>
    <w:p>
      <w:pPr>
        <w:pStyle w:val="20"/>
        <w:spacing w:line="440" w:lineRule="exact"/>
        <w:ind w:firstLine="840"/>
        <w:rPr>
          <w:rFonts w:ascii="Times New Roman" w:hAnsi="Times New Roman" w:cs="Times New Roman"/>
          <w:sz w:val="24"/>
        </w:rPr>
      </w:pPr>
      <w:r>
        <w:rPr>
          <w:rFonts w:ascii="Times New Roman" w:hAnsi="Times New Roman" w:cs="Times New Roman"/>
          <w:sz w:val="24"/>
        </w:rPr>
        <w:t>磋商供应商名称（公章）：</w:t>
      </w:r>
    </w:p>
    <w:p>
      <w:pPr>
        <w:pStyle w:val="20"/>
        <w:spacing w:line="440" w:lineRule="exact"/>
        <w:ind w:firstLine="840"/>
        <w:rPr>
          <w:rFonts w:ascii="Times New Roman" w:hAnsi="Times New Roman" w:cs="Times New Roman"/>
          <w:sz w:val="24"/>
        </w:rPr>
      </w:pPr>
      <w:r>
        <w:rPr>
          <w:rFonts w:ascii="Times New Roman" w:hAnsi="Times New Roman" w:cs="Times New Roman"/>
          <w:sz w:val="24"/>
        </w:rPr>
        <w:t>日期：</w:t>
      </w:r>
    </w:p>
    <w:p>
      <w:pPr>
        <w:pStyle w:val="20"/>
        <w:spacing w:line="440" w:lineRule="exact"/>
        <w:ind w:firstLine="840"/>
        <w:rPr>
          <w:rFonts w:hAnsi="宋体"/>
          <w:sz w:val="24"/>
        </w:rPr>
      </w:pPr>
      <w:r>
        <w:rPr>
          <w:rFonts w:ascii="Times New Roman" w:hAnsi="Times New Roman" w:cs="Times New Roman"/>
          <w:sz w:val="24"/>
        </w:rPr>
        <w:br w:type="page"/>
      </w:r>
      <w:r>
        <w:rPr>
          <w:rFonts w:hAnsi="宋体"/>
          <w:sz w:val="24"/>
        </w:rPr>
        <w:t>附件2</w:t>
      </w:r>
    </w:p>
    <w:p>
      <w:pPr>
        <w:ind w:firstLine="3040" w:firstLineChars="950"/>
        <w:rPr>
          <w:sz w:val="32"/>
          <w:szCs w:val="32"/>
        </w:rPr>
      </w:pPr>
      <w:r>
        <w:rPr>
          <w:sz w:val="32"/>
          <w:szCs w:val="32"/>
        </w:rPr>
        <w:t>报价组成情况表</w:t>
      </w:r>
    </w:p>
    <w:p>
      <w:pPr>
        <w:spacing w:line="500" w:lineRule="exact"/>
        <w:rPr>
          <w:rFonts w:eastAsia="仿宋_GB2312"/>
        </w:rPr>
      </w:pPr>
    </w:p>
    <w:p>
      <w:pPr>
        <w:spacing w:line="240" w:lineRule="atLeast"/>
        <w:rPr>
          <w:sz w:val="24"/>
        </w:rPr>
      </w:pPr>
      <w:r>
        <w:rPr>
          <w:sz w:val="24"/>
        </w:rPr>
        <w:t>项目编号</w:t>
      </w:r>
      <w:r>
        <w:rPr>
          <w:rFonts w:hint="eastAsia"/>
          <w:sz w:val="24"/>
        </w:rPr>
        <w:t>（包号）</w:t>
      </w:r>
      <w:r>
        <w:rPr>
          <w:sz w:val="24"/>
        </w:rPr>
        <w:t>：</w:t>
      </w:r>
    </w:p>
    <w:tbl>
      <w:tblPr>
        <w:tblStyle w:val="34"/>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1130"/>
        <w:gridCol w:w="929"/>
        <w:gridCol w:w="3791"/>
        <w:gridCol w:w="1605"/>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411" w:type="dxa"/>
            <w:shd w:val="clear" w:color="auto" w:fill="D6DCE5"/>
            <w:vAlign w:val="center"/>
          </w:tcPr>
          <w:p>
            <w:pPr>
              <w:jc w:val="center"/>
              <w:rPr>
                <w:rFonts w:ascii="宋体" w:hAnsi="宋体" w:cs="宋体"/>
                <w:sz w:val="24"/>
              </w:rPr>
            </w:pPr>
            <w:r>
              <w:rPr>
                <w:rFonts w:hint="eastAsia" w:ascii="宋体" w:hAnsi="宋体" w:cs="宋体"/>
                <w:sz w:val="24"/>
              </w:rPr>
              <w:t>序号</w:t>
            </w:r>
          </w:p>
        </w:tc>
        <w:tc>
          <w:tcPr>
            <w:tcW w:w="1130" w:type="dxa"/>
            <w:shd w:val="clear" w:color="auto" w:fill="D6DCE5"/>
            <w:vAlign w:val="center"/>
          </w:tcPr>
          <w:p>
            <w:pPr>
              <w:jc w:val="center"/>
              <w:rPr>
                <w:rFonts w:ascii="宋体" w:hAnsi="宋体" w:cs="宋体"/>
                <w:sz w:val="24"/>
              </w:rPr>
            </w:pPr>
            <w:r>
              <w:rPr>
                <w:rFonts w:hint="eastAsia" w:ascii="宋体" w:hAnsi="宋体" w:cs="宋体"/>
                <w:sz w:val="24"/>
              </w:rPr>
              <w:t>货物名称</w:t>
            </w:r>
          </w:p>
        </w:tc>
        <w:tc>
          <w:tcPr>
            <w:tcW w:w="929" w:type="dxa"/>
            <w:shd w:val="clear" w:color="auto" w:fill="D6DCE5"/>
            <w:vAlign w:val="center"/>
          </w:tcPr>
          <w:p>
            <w:pPr>
              <w:jc w:val="center"/>
              <w:rPr>
                <w:rFonts w:ascii="宋体" w:hAnsi="宋体" w:cs="宋体"/>
                <w:sz w:val="24"/>
              </w:rPr>
            </w:pPr>
            <w:r>
              <w:rPr>
                <w:rFonts w:hint="eastAsia" w:ascii="宋体" w:hAnsi="宋体" w:cs="宋体"/>
                <w:sz w:val="24"/>
              </w:rPr>
              <w:t>采购</w:t>
            </w:r>
          </w:p>
          <w:p>
            <w:pPr>
              <w:jc w:val="center"/>
              <w:rPr>
                <w:rFonts w:ascii="宋体" w:hAnsi="宋体" w:cs="宋体"/>
                <w:sz w:val="24"/>
              </w:rPr>
            </w:pPr>
            <w:r>
              <w:rPr>
                <w:rFonts w:hint="eastAsia" w:ascii="宋体" w:hAnsi="宋体" w:cs="宋体"/>
                <w:sz w:val="24"/>
              </w:rPr>
              <w:t>数量</w:t>
            </w:r>
          </w:p>
        </w:tc>
        <w:tc>
          <w:tcPr>
            <w:tcW w:w="3791" w:type="dxa"/>
            <w:shd w:val="clear" w:color="auto" w:fill="D6DCE5"/>
            <w:vAlign w:val="center"/>
          </w:tcPr>
          <w:p>
            <w:pPr>
              <w:jc w:val="center"/>
              <w:rPr>
                <w:rFonts w:ascii="宋体" w:hAnsi="宋体" w:cs="宋体"/>
                <w:sz w:val="24"/>
              </w:rPr>
            </w:pPr>
            <w:r>
              <w:rPr>
                <w:rFonts w:hint="eastAsia" w:ascii="宋体" w:hAnsi="宋体" w:cs="宋体"/>
                <w:sz w:val="24"/>
              </w:rPr>
              <w:t>参数或指标需求</w:t>
            </w:r>
          </w:p>
        </w:tc>
        <w:tc>
          <w:tcPr>
            <w:tcW w:w="1605" w:type="dxa"/>
            <w:shd w:val="clear" w:color="auto" w:fill="D6DCE5"/>
            <w:vAlign w:val="center"/>
          </w:tcPr>
          <w:p>
            <w:pPr>
              <w:jc w:val="center"/>
              <w:rPr>
                <w:rFonts w:ascii="宋体" w:hAnsi="宋体" w:cs="宋体"/>
                <w:sz w:val="24"/>
              </w:rPr>
            </w:pPr>
            <w:r>
              <w:rPr>
                <w:rFonts w:hint="eastAsia" w:ascii="宋体" w:hAnsi="宋体" w:cs="宋体"/>
                <w:sz w:val="24"/>
              </w:rPr>
              <w:t>报价</w:t>
            </w:r>
          </w:p>
          <w:p>
            <w:pPr>
              <w:jc w:val="center"/>
              <w:rPr>
                <w:rFonts w:ascii="宋体" w:hAnsi="宋体" w:cs="宋体"/>
                <w:sz w:val="24"/>
              </w:rPr>
            </w:pPr>
            <w:r>
              <w:rPr>
                <w:rFonts w:hint="eastAsia" w:ascii="宋体" w:hAnsi="宋体" w:cs="宋体"/>
                <w:sz w:val="24"/>
              </w:rPr>
              <w:t>限价</w:t>
            </w:r>
          </w:p>
        </w:tc>
        <w:tc>
          <w:tcPr>
            <w:tcW w:w="875" w:type="dxa"/>
            <w:shd w:val="clear" w:color="auto" w:fill="D6DCE5"/>
            <w:vAlign w:val="center"/>
          </w:tcPr>
          <w:p>
            <w:pPr>
              <w:jc w:val="center"/>
              <w:rPr>
                <w:rFonts w:ascii="宋体" w:hAnsi="宋体" w:cs="宋体"/>
                <w:sz w:val="24"/>
              </w:rPr>
            </w:pPr>
            <w:r>
              <w:rPr>
                <w:rFonts w:hint="eastAsia" w:ascii="宋体" w:hAnsi="宋体" w:cs="宋体"/>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1</w:t>
            </w:r>
          </w:p>
        </w:tc>
        <w:tc>
          <w:tcPr>
            <w:tcW w:w="1130" w:type="dxa"/>
            <w:vAlign w:val="center"/>
          </w:tcPr>
          <w:p>
            <w:pPr>
              <w:jc w:val="center"/>
              <w:rPr>
                <w:rFonts w:ascii="宋体" w:hAnsi="宋体" w:cs="宋体"/>
                <w:caps/>
                <w:sz w:val="18"/>
                <w:szCs w:val="18"/>
              </w:rPr>
            </w:pPr>
            <w:r>
              <w:rPr>
                <w:rFonts w:hint="eastAsia" w:ascii="宋体" w:hAnsi="宋体" w:cs="宋体"/>
                <w:snapToGrid w:val="0"/>
                <w:kern w:val="0"/>
                <w:sz w:val="18"/>
                <w:szCs w:val="18"/>
              </w:rPr>
              <w:t>入口负载</w:t>
            </w:r>
          </w:p>
        </w:tc>
        <w:tc>
          <w:tcPr>
            <w:tcW w:w="929" w:type="dxa"/>
            <w:vAlign w:val="center"/>
          </w:tcPr>
          <w:p>
            <w:pPr>
              <w:jc w:val="center"/>
              <w:rPr>
                <w:rFonts w:ascii="宋体" w:hAnsi="宋体" w:cs="宋体"/>
                <w:caps/>
                <w:sz w:val="18"/>
                <w:szCs w:val="18"/>
              </w:rPr>
            </w:pPr>
            <w:r>
              <w:rPr>
                <w:rFonts w:hint="eastAsia" w:ascii="宋体" w:hAnsi="宋体" w:cs="宋体"/>
                <w:caps/>
                <w:sz w:val="18"/>
                <w:szCs w:val="18"/>
              </w:rPr>
              <w:t>1台/年</w:t>
            </w:r>
          </w:p>
        </w:tc>
        <w:tc>
          <w:tcPr>
            <w:tcW w:w="3791" w:type="dxa"/>
            <w:vAlign w:val="center"/>
          </w:tcPr>
          <w:p>
            <w:pPr>
              <w:jc w:val="center"/>
              <w:rPr>
                <w:rFonts w:ascii="宋体" w:hAnsi="宋体" w:cs="宋体"/>
                <w:caps/>
                <w:sz w:val="18"/>
                <w:szCs w:val="18"/>
              </w:rPr>
            </w:pPr>
            <w:r>
              <w:rPr>
                <w:rFonts w:hint="eastAsia" w:ascii="宋体" w:hAnsi="宋体" w:cs="宋体"/>
                <w:snapToGrid w:val="0"/>
                <w:kern w:val="0"/>
                <w:sz w:val="18"/>
                <w:szCs w:val="18"/>
              </w:rPr>
              <w:t>8核、16G、系统盘通用型SSD 50G、数据盘通用型SSD 200G、独享带宽60Mb、操作系统</w:t>
            </w:r>
          </w:p>
        </w:tc>
        <w:tc>
          <w:tcPr>
            <w:tcW w:w="1605" w:type="dxa"/>
            <w:vAlign w:val="center"/>
          </w:tcPr>
          <w:p>
            <w:pPr>
              <w:jc w:val="center"/>
              <w:rPr>
                <w:rFonts w:ascii="宋体" w:hAnsi="宋体" w:cs="宋体"/>
                <w:snapToGrid w:val="0"/>
                <w:kern w:val="0"/>
                <w:sz w:val="18"/>
                <w:szCs w:val="18"/>
              </w:rPr>
            </w:pPr>
            <w:r>
              <w:rPr>
                <w:rFonts w:hint="eastAsia" w:ascii="宋体" w:hAnsi="宋体" w:cs="宋体"/>
                <w:snapToGrid w:val="0"/>
                <w:kern w:val="0"/>
                <w:sz w:val="18"/>
                <w:szCs w:val="18"/>
              </w:rPr>
              <w:t>36278元</w:t>
            </w:r>
          </w:p>
        </w:tc>
        <w:tc>
          <w:tcPr>
            <w:tcW w:w="875" w:type="dxa"/>
            <w:vAlign w:val="center"/>
          </w:tcPr>
          <w:p>
            <w:pPr>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2</w:t>
            </w:r>
          </w:p>
        </w:tc>
        <w:tc>
          <w:tcPr>
            <w:tcW w:w="1130" w:type="dxa"/>
            <w:vAlign w:val="center"/>
          </w:tcPr>
          <w:p>
            <w:pPr>
              <w:jc w:val="center"/>
              <w:rPr>
                <w:rFonts w:ascii="宋体" w:hAnsi="宋体" w:cs="宋体"/>
                <w:sz w:val="18"/>
                <w:szCs w:val="18"/>
              </w:rPr>
            </w:pPr>
            <w:r>
              <w:rPr>
                <w:rFonts w:hint="eastAsia" w:ascii="宋体" w:hAnsi="宋体" w:cs="宋体"/>
                <w:snapToGrid w:val="0"/>
                <w:kern w:val="0"/>
                <w:sz w:val="18"/>
                <w:szCs w:val="18"/>
              </w:rPr>
              <w:t>应用节点1</w:t>
            </w:r>
          </w:p>
        </w:tc>
        <w:tc>
          <w:tcPr>
            <w:tcW w:w="929" w:type="dxa"/>
            <w:vAlign w:val="center"/>
          </w:tcPr>
          <w:p>
            <w:pPr>
              <w:jc w:val="center"/>
              <w:rPr>
                <w:rFonts w:ascii="宋体" w:hAnsi="宋体" w:cs="宋体"/>
                <w:caps/>
                <w:sz w:val="18"/>
                <w:szCs w:val="18"/>
              </w:rPr>
            </w:pPr>
            <w:r>
              <w:rPr>
                <w:rFonts w:hint="eastAsia" w:ascii="宋体" w:hAnsi="宋体" w:cs="宋体"/>
                <w:caps/>
                <w:sz w:val="18"/>
                <w:szCs w:val="18"/>
              </w:rPr>
              <w:t>1台/年</w:t>
            </w:r>
          </w:p>
        </w:tc>
        <w:tc>
          <w:tcPr>
            <w:tcW w:w="3791" w:type="dxa"/>
            <w:vAlign w:val="center"/>
          </w:tcPr>
          <w:p>
            <w:pPr>
              <w:jc w:val="center"/>
              <w:rPr>
                <w:rFonts w:ascii="宋体" w:hAnsi="宋体" w:cs="宋体"/>
                <w:caps/>
                <w:sz w:val="18"/>
                <w:szCs w:val="18"/>
              </w:rPr>
            </w:pPr>
            <w:r>
              <w:rPr>
                <w:rFonts w:hint="eastAsia" w:ascii="宋体" w:hAnsi="宋体" w:cs="宋体"/>
                <w:snapToGrid w:val="0"/>
                <w:kern w:val="0"/>
                <w:sz w:val="18"/>
                <w:szCs w:val="18"/>
              </w:rPr>
              <w:t>8核、32G、系统盘通用型SSD 50G、数据盘超高IO 300、独享带宽2Mb、操作系统</w:t>
            </w:r>
          </w:p>
        </w:tc>
        <w:tc>
          <w:tcPr>
            <w:tcW w:w="1605" w:type="dxa"/>
            <w:vAlign w:val="center"/>
          </w:tcPr>
          <w:p>
            <w:pPr>
              <w:jc w:val="center"/>
              <w:rPr>
                <w:rFonts w:ascii="宋体" w:hAnsi="宋体" w:cs="宋体"/>
                <w:snapToGrid w:val="0"/>
                <w:kern w:val="0"/>
                <w:sz w:val="18"/>
                <w:szCs w:val="18"/>
              </w:rPr>
            </w:pPr>
            <w:r>
              <w:rPr>
                <w:rFonts w:hint="eastAsia" w:ascii="宋体" w:hAnsi="宋体" w:cs="宋体"/>
                <w:snapToGrid w:val="0"/>
                <w:kern w:val="0"/>
                <w:sz w:val="18"/>
                <w:szCs w:val="18"/>
              </w:rPr>
              <w:t>13813.1元</w:t>
            </w:r>
          </w:p>
        </w:tc>
        <w:tc>
          <w:tcPr>
            <w:tcW w:w="875" w:type="dxa"/>
            <w:vAlign w:val="center"/>
          </w:tcPr>
          <w:p>
            <w:pPr>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3</w:t>
            </w:r>
          </w:p>
        </w:tc>
        <w:tc>
          <w:tcPr>
            <w:tcW w:w="1130" w:type="dxa"/>
            <w:vAlign w:val="center"/>
          </w:tcPr>
          <w:p>
            <w:pPr>
              <w:ind w:left="180" w:hanging="180" w:hangingChars="100"/>
              <w:jc w:val="center"/>
              <w:rPr>
                <w:rFonts w:ascii="宋体" w:hAnsi="宋体" w:cs="宋体"/>
                <w:caps/>
                <w:sz w:val="18"/>
                <w:szCs w:val="18"/>
              </w:rPr>
            </w:pPr>
            <w:r>
              <w:rPr>
                <w:rFonts w:hint="eastAsia" w:ascii="宋体" w:hAnsi="宋体" w:cs="宋体"/>
                <w:caps/>
                <w:sz w:val="18"/>
                <w:szCs w:val="18"/>
              </w:rPr>
              <w:t>应用节点2</w:t>
            </w:r>
          </w:p>
        </w:tc>
        <w:tc>
          <w:tcPr>
            <w:tcW w:w="929" w:type="dxa"/>
            <w:vAlign w:val="center"/>
          </w:tcPr>
          <w:p>
            <w:pPr>
              <w:jc w:val="center"/>
              <w:rPr>
                <w:rFonts w:ascii="宋体" w:hAnsi="宋体" w:cs="宋体"/>
                <w:caps/>
                <w:sz w:val="18"/>
                <w:szCs w:val="18"/>
              </w:rPr>
            </w:pPr>
            <w:r>
              <w:rPr>
                <w:rFonts w:hint="eastAsia" w:ascii="宋体" w:hAnsi="宋体" w:cs="宋体"/>
                <w:caps/>
                <w:sz w:val="18"/>
                <w:szCs w:val="18"/>
              </w:rPr>
              <w:t>1台/年</w:t>
            </w:r>
          </w:p>
        </w:tc>
        <w:tc>
          <w:tcPr>
            <w:tcW w:w="3791" w:type="dxa"/>
            <w:vAlign w:val="center"/>
          </w:tcPr>
          <w:p>
            <w:pPr>
              <w:jc w:val="center"/>
              <w:rPr>
                <w:rFonts w:ascii="宋体" w:hAnsi="宋体" w:cs="宋体"/>
                <w:caps/>
                <w:sz w:val="18"/>
                <w:szCs w:val="18"/>
              </w:rPr>
            </w:pPr>
            <w:r>
              <w:rPr>
                <w:rFonts w:hint="eastAsia" w:ascii="宋体" w:hAnsi="宋体" w:cs="宋体"/>
                <w:snapToGrid w:val="0"/>
                <w:kern w:val="0"/>
                <w:sz w:val="18"/>
                <w:szCs w:val="18"/>
              </w:rPr>
              <w:t>8核、32G、系统盘通用型SSD 50G、数据盘超高IO 300G、独享带宽2Mb、操作系统</w:t>
            </w:r>
          </w:p>
        </w:tc>
        <w:tc>
          <w:tcPr>
            <w:tcW w:w="1605" w:type="dxa"/>
            <w:vAlign w:val="center"/>
          </w:tcPr>
          <w:p>
            <w:pPr>
              <w:jc w:val="center"/>
              <w:rPr>
                <w:rFonts w:ascii="宋体" w:hAnsi="宋体" w:cs="宋体"/>
                <w:snapToGrid w:val="0"/>
                <w:kern w:val="0"/>
                <w:sz w:val="18"/>
                <w:szCs w:val="18"/>
              </w:rPr>
            </w:pPr>
            <w:r>
              <w:rPr>
                <w:rFonts w:hint="eastAsia" w:ascii="宋体" w:hAnsi="宋体" w:cs="宋体"/>
                <w:snapToGrid w:val="0"/>
                <w:kern w:val="0"/>
                <w:sz w:val="18"/>
                <w:szCs w:val="18"/>
              </w:rPr>
              <w:t>13813.1元</w:t>
            </w:r>
          </w:p>
        </w:tc>
        <w:tc>
          <w:tcPr>
            <w:tcW w:w="875" w:type="dxa"/>
            <w:vAlign w:val="center"/>
          </w:tcPr>
          <w:p>
            <w:pPr>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4</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数据库主</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caps/>
                <w:sz w:val="18"/>
                <w:szCs w:val="18"/>
              </w:rPr>
              <w:t>1台/年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8核、32G、系统盘通用型SSD 50G、数据盘超高IO 500G、独享带宽2Mb、操作系统</w:t>
            </w:r>
          </w:p>
        </w:tc>
        <w:tc>
          <w:tcPr>
            <w:tcW w:w="1605"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16813.1元</w:t>
            </w:r>
          </w:p>
        </w:tc>
        <w:tc>
          <w:tcPr>
            <w:tcW w:w="875" w:type="dxa"/>
            <w:vAlign w:val="center"/>
          </w:tcPr>
          <w:p>
            <w:pPr>
              <w:ind w:left="180" w:hanging="180" w:hangingChars="1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5</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数据库从</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caps/>
                <w:sz w:val="18"/>
                <w:szCs w:val="18"/>
              </w:rPr>
              <w:t>1台/年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8核、32G、系统盘 通用型SSD 50G、数据盘 超高IO 500G、独享带宽2Mb、操作系统</w:t>
            </w:r>
          </w:p>
        </w:tc>
        <w:tc>
          <w:tcPr>
            <w:tcW w:w="1605"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16813.1元</w:t>
            </w:r>
          </w:p>
        </w:tc>
        <w:tc>
          <w:tcPr>
            <w:tcW w:w="875" w:type="dxa"/>
            <w:vAlign w:val="center"/>
          </w:tcPr>
          <w:p>
            <w:pPr>
              <w:ind w:left="180" w:hanging="180" w:hangingChars="1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6</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z w:val="18"/>
                <w:szCs w:val="18"/>
              </w:rPr>
              <w:t>VR全景导览</w:t>
            </w:r>
          </w:p>
        </w:tc>
        <w:tc>
          <w:tcPr>
            <w:tcW w:w="929" w:type="dxa"/>
            <w:vAlign w:val="center"/>
          </w:tcPr>
          <w:p>
            <w:pPr>
              <w:ind w:left="180" w:hanging="180" w:hangingChars="100"/>
              <w:jc w:val="center"/>
              <w:rPr>
                <w:rFonts w:ascii="宋体" w:hAnsi="宋体" w:cs="宋体"/>
                <w:caps/>
                <w:sz w:val="18"/>
                <w:szCs w:val="18"/>
              </w:rPr>
            </w:pPr>
            <w:r>
              <w:rPr>
                <w:rFonts w:hint="eastAsia" w:ascii="宋体" w:hAnsi="宋体" w:cs="宋体"/>
                <w:caps/>
                <w:sz w:val="18"/>
                <w:szCs w:val="18"/>
              </w:rPr>
              <w:t>1项 /年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 xml:space="preserve">数据盘通用型SSD 60G </w:t>
            </w:r>
          </w:p>
        </w:tc>
        <w:tc>
          <w:tcPr>
            <w:tcW w:w="1605"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420元</w:t>
            </w:r>
          </w:p>
        </w:tc>
        <w:tc>
          <w:tcPr>
            <w:tcW w:w="875" w:type="dxa"/>
            <w:vAlign w:val="center"/>
          </w:tcPr>
          <w:p>
            <w:pPr>
              <w:ind w:left="180" w:hanging="180" w:hangingChars="1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7</w:t>
            </w:r>
          </w:p>
        </w:tc>
        <w:tc>
          <w:tcPr>
            <w:tcW w:w="1130" w:type="dxa"/>
            <w:vAlign w:val="center"/>
          </w:tcPr>
          <w:p>
            <w:pPr>
              <w:ind w:left="180" w:hanging="180" w:hangingChars="100"/>
              <w:jc w:val="center"/>
              <w:rPr>
                <w:rFonts w:ascii="宋体" w:hAnsi="宋体" w:cs="宋体"/>
                <w:sz w:val="18"/>
                <w:szCs w:val="18"/>
              </w:rPr>
            </w:pPr>
            <w:r>
              <w:rPr>
                <w:rFonts w:hint="eastAsia" w:ascii="宋体" w:hAnsi="宋体" w:cs="宋体"/>
                <w:sz w:val="18"/>
                <w:szCs w:val="18"/>
              </w:rPr>
              <w:t>语音导览系统</w:t>
            </w:r>
          </w:p>
        </w:tc>
        <w:tc>
          <w:tcPr>
            <w:tcW w:w="929" w:type="dxa"/>
            <w:vAlign w:val="center"/>
          </w:tcPr>
          <w:p>
            <w:pPr>
              <w:ind w:left="180" w:hanging="180" w:hangingChars="100"/>
              <w:jc w:val="center"/>
              <w:rPr>
                <w:rFonts w:ascii="宋体" w:hAnsi="宋体" w:cs="宋体"/>
                <w:caps/>
                <w:sz w:val="18"/>
                <w:szCs w:val="18"/>
              </w:rPr>
            </w:pPr>
            <w:r>
              <w:rPr>
                <w:rFonts w:hint="eastAsia" w:ascii="宋体" w:hAnsi="宋体" w:cs="宋体"/>
                <w:caps/>
                <w:sz w:val="18"/>
                <w:szCs w:val="18"/>
              </w:rPr>
              <w:t>1项/年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z w:val="18"/>
                <w:szCs w:val="18"/>
              </w:rPr>
              <w:t>数据盘通用型SSD 10G</w:t>
            </w:r>
          </w:p>
        </w:tc>
        <w:tc>
          <w:tcPr>
            <w:tcW w:w="1605"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60元</w:t>
            </w:r>
          </w:p>
        </w:tc>
        <w:tc>
          <w:tcPr>
            <w:tcW w:w="875" w:type="dxa"/>
            <w:vAlign w:val="center"/>
          </w:tcPr>
          <w:p>
            <w:pPr>
              <w:ind w:left="180" w:hanging="180" w:hangingChars="1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8</w:t>
            </w:r>
          </w:p>
        </w:tc>
        <w:tc>
          <w:tcPr>
            <w:tcW w:w="1130" w:type="dxa"/>
            <w:vAlign w:val="center"/>
          </w:tcPr>
          <w:p>
            <w:pPr>
              <w:ind w:left="180" w:hanging="180" w:hangingChars="100"/>
              <w:jc w:val="center"/>
              <w:rPr>
                <w:rFonts w:ascii="宋体" w:hAnsi="宋体" w:cs="宋体"/>
                <w:sz w:val="18"/>
                <w:szCs w:val="18"/>
              </w:rPr>
            </w:pPr>
            <w:r>
              <w:rPr>
                <w:rFonts w:hint="eastAsia" w:ascii="宋体" w:hAnsi="宋体" w:cs="宋体"/>
                <w:sz w:val="18"/>
                <w:szCs w:val="18"/>
              </w:rPr>
              <w:t>百物展云</w:t>
            </w:r>
          </w:p>
          <w:p>
            <w:pPr>
              <w:ind w:left="180" w:hanging="180" w:hangingChars="100"/>
              <w:jc w:val="center"/>
              <w:rPr>
                <w:rFonts w:ascii="宋体" w:hAnsi="宋体" w:cs="宋体"/>
                <w:sz w:val="18"/>
                <w:szCs w:val="18"/>
              </w:rPr>
            </w:pPr>
            <w:r>
              <w:rPr>
                <w:rFonts w:hint="eastAsia" w:ascii="宋体" w:hAnsi="宋体" w:cs="宋体"/>
                <w:sz w:val="18"/>
                <w:szCs w:val="18"/>
              </w:rPr>
              <w:t>服务系统</w:t>
            </w:r>
          </w:p>
        </w:tc>
        <w:tc>
          <w:tcPr>
            <w:tcW w:w="929" w:type="dxa"/>
            <w:vAlign w:val="center"/>
          </w:tcPr>
          <w:p>
            <w:pPr>
              <w:ind w:left="180" w:hanging="180" w:hangingChars="100"/>
              <w:jc w:val="center"/>
              <w:rPr>
                <w:rFonts w:ascii="宋体" w:hAnsi="宋体" w:cs="宋体"/>
                <w:caps/>
                <w:sz w:val="18"/>
                <w:szCs w:val="18"/>
              </w:rPr>
            </w:pPr>
            <w:r>
              <w:rPr>
                <w:rFonts w:hint="eastAsia" w:ascii="宋体" w:hAnsi="宋体" w:cs="宋体"/>
                <w:caps/>
                <w:sz w:val="18"/>
                <w:szCs w:val="18"/>
              </w:rPr>
              <w:t>1台/年</w:t>
            </w:r>
          </w:p>
        </w:tc>
        <w:tc>
          <w:tcPr>
            <w:tcW w:w="3791" w:type="dxa"/>
            <w:vAlign w:val="center"/>
          </w:tcPr>
          <w:p>
            <w:pPr>
              <w:ind w:left="180" w:hanging="180" w:hangingChars="100"/>
              <w:jc w:val="center"/>
              <w:rPr>
                <w:rFonts w:ascii="宋体" w:hAnsi="宋体" w:cs="宋体"/>
                <w:sz w:val="18"/>
                <w:szCs w:val="18"/>
              </w:rPr>
            </w:pPr>
            <w:r>
              <w:rPr>
                <w:rFonts w:hint="eastAsia" w:ascii="宋体" w:hAnsi="宋体" w:cs="宋体"/>
                <w:snapToGrid w:val="0"/>
                <w:kern w:val="0"/>
                <w:sz w:val="18"/>
                <w:szCs w:val="18"/>
              </w:rPr>
              <w:t>8核、32G、系统盘通用型SSD 50G 数据盘通用型SSD 150G、独享带宽20Mb、操作系统</w:t>
            </w:r>
          </w:p>
        </w:tc>
        <w:tc>
          <w:tcPr>
            <w:tcW w:w="1605"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20799.10元</w:t>
            </w:r>
          </w:p>
        </w:tc>
        <w:tc>
          <w:tcPr>
            <w:tcW w:w="875" w:type="dxa"/>
            <w:vAlign w:val="center"/>
          </w:tcPr>
          <w:p>
            <w:pPr>
              <w:ind w:left="180" w:hanging="180" w:hangingChars="1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9</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访问域名</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1个/年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访问域名，完成空间备案。</w:t>
            </w:r>
          </w:p>
        </w:tc>
        <w:tc>
          <w:tcPr>
            <w:tcW w:w="1605"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62元</w:t>
            </w:r>
          </w:p>
        </w:tc>
        <w:tc>
          <w:tcPr>
            <w:tcW w:w="875" w:type="dxa"/>
            <w:vAlign w:val="center"/>
          </w:tcPr>
          <w:p>
            <w:pPr>
              <w:ind w:left="180" w:hanging="180" w:hangingChars="1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10</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互联网ip</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7个/年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w:t>
            </w:r>
          </w:p>
        </w:tc>
        <w:tc>
          <w:tcPr>
            <w:tcW w:w="1605"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2240元</w:t>
            </w:r>
          </w:p>
        </w:tc>
        <w:tc>
          <w:tcPr>
            <w:tcW w:w="875" w:type="dxa"/>
            <w:vAlign w:val="center"/>
          </w:tcPr>
          <w:p>
            <w:pPr>
              <w:ind w:left="180" w:hanging="180" w:hangingChars="1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11</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证书</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1个/年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w:t>
            </w:r>
          </w:p>
        </w:tc>
        <w:tc>
          <w:tcPr>
            <w:tcW w:w="1605"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6064.74元</w:t>
            </w:r>
          </w:p>
        </w:tc>
        <w:tc>
          <w:tcPr>
            <w:tcW w:w="875" w:type="dxa"/>
            <w:vAlign w:val="center"/>
          </w:tcPr>
          <w:p>
            <w:pPr>
              <w:ind w:left="180" w:hanging="180" w:hangingChars="1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12</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网络安全防护</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1项/年</w:t>
            </w:r>
          </w:p>
        </w:tc>
        <w:tc>
          <w:tcPr>
            <w:tcW w:w="3791"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堡垒机、网络防火墙、入侵检测、入侵防御。</w:t>
            </w:r>
          </w:p>
        </w:tc>
        <w:tc>
          <w:tcPr>
            <w:tcW w:w="1605"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311586.64元</w:t>
            </w:r>
          </w:p>
        </w:tc>
        <w:tc>
          <w:tcPr>
            <w:tcW w:w="875" w:type="dxa"/>
            <w:vAlign w:val="center"/>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13</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OA系统</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1台/年</w:t>
            </w:r>
          </w:p>
        </w:tc>
        <w:tc>
          <w:tcPr>
            <w:tcW w:w="3791" w:type="dxa"/>
            <w:vAlign w:val="center"/>
          </w:tcPr>
          <w:p>
            <w:pPr>
              <w:ind w:left="180" w:hanging="180" w:hangingChars="100"/>
              <w:jc w:val="center"/>
              <w:rPr>
                <w:rFonts w:ascii="宋体" w:hAnsi="宋体" w:cs="宋体"/>
                <w:snapToGrid w:val="0"/>
                <w:kern w:val="0"/>
                <w:sz w:val="18"/>
                <w:szCs w:val="18"/>
              </w:rPr>
            </w:pPr>
            <w:r>
              <w:rPr>
                <w:rFonts w:ascii="宋体" w:hAnsi="宋体" w:cs="宋体"/>
                <w:snapToGrid w:val="0"/>
                <w:kern w:val="0"/>
                <w:sz w:val="18"/>
                <w:szCs w:val="18"/>
              </w:rPr>
              <w:t>16核、64G、系统盘通用型SSD 100G、数据盘 10</w:t>
            </w:r>
            <w:r>
              <w:rPr>
                <w:rFonts w:hint="eastAsia" w:ascii="宋体" w:hAnsi="宋体" w:cs="宋体"/>
                <w:snapToGrid w:val="0"/>
                <w:kern w:val="0"/>
                <w:sz w:val="18"/>
                <w:szCs w:val="18"/>
              </w:rPr>
              <w:t>24</w:t>
            </w:r>
            <w:r>
              <w:rPr>
                <w:rFonts w:ascii="宋体" w:hAnsi="宋体" w:cs="宋体"/>
                <w:snapToGrid w:val="0"/>
                <w:kern w:val="0"/>
                <w:sz w:val="18"/>
                <w:szCs w:val="18"/>
              </w:rPr>
              <w:t>G、独享</w:t>
            </w:r>
            <w:r>
              <w:rPr>
                <w:rFonts w:hint="eastAsia" w:ascii="宋体" w:hAnsi="宋体" w:cs="宋体"/>
                <w:snapToGrid w:val="0"/>
                <w:kern w:val="0"/>
                <w:sz w:val="18"/>
                <w:szCs w:val="18"/>
              </w:rPr>
              <w:t>带宽20</w:t>
            </w:r>
            <w:r>
              <w:rPr>
                <w:rFonts w:ascii="宋体" w:hAnsi="宋体" w:cs="宋体"/>
                <w:snapToGrid w:val="0"/>
                <w:kern w:val="0"/>
                <w:sz w:val="18"/>
                <w:szCs w:val="18"/>
              </w:rPr>
              <w:t>Mb、操作系统</w:t>
            </w:r>
          </w:p>
        </w:tc>
        <w:tc>
          <w:tcPr>
            <w:tcW w:w="1605" w:type="dxa"/>
            <w:vAlign w:val="center"/>
          </w:tcPr>
          <w:p>
            <w:pPr>
              <w:ind w:left="180" w:hanging="180" w:hangingChars="100"/>
              <w:jc w:val="center"/>
              <w:rPr>
                <w:rFonts w:ascii="宋体" w:hAnsi="宋体" w:cs="宋体"/>
                <w:snapToGrid w:val="0"/>
                <w:kern w:val="0"/>
                <w:sz w:val="18"/>
                <w:szCs w:val="18"/>
              </w:rPr>
            </w:pPr>
            <w:r>
              <w:rPr>
                <w:rFonts w:ascii="宋体" w:hAnsi="宋体" w:cs="宋体"/>
                <w:snapToGrid w:val="0"/>
                <w:kern w:val="0"/>
                <w:sz w:val="18"/>
                <w:szCs w:val="18"/>
              </w:rPr>
              <w:t>31114.1</w:t>
            </w:r>
            <w:r>
              <w:rPr>
                <w:rFonts w:hint="eastAsia" w:ascii="宋体" w:hAnsi="宋体" w:cs="宋体"/>
                <w:snapToGrid w:val="0"/>
                <w:kern w:val="0"/>
                <w:sz w:val="18"/>
                <w:szCs w:val="18"/>
              </w:rPr>
              <w:t>元</w:t>
            </w:r>
          </w:p>
        </w:tc>
        <w:tc>
          <w:tcPr>
            <w:tcW w:w="875" w:type="dxa"/>
            <w:vAlign w:val="center"/>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14</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业务系统维护服务</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1项/年</w:t>
            </w:r>
          </w:p>
        </w:tc>
        <w:tc>
          <w:tcPr>
            <w:tcW w:w="3791" w:type="dxa"/>
            <w:vAlign w:val="center"/>
          </w:tcPr>
          <w:p>
            <w:pPr>
              <w:ind w:left="180" w:hanging="180" w:hangingChars="100"/>
              <w:jc w:val="center"/>
              <w:rPr>
                <w:rFonts w:ascii="宋体" w:hAnsi="宋体" w:cs="宋体"/>
                <w:snapToGrid w:val="0"/>
                <w:kern w:val="0"/>
                <w:sz w:val="18"/>
                <w:szCs w:val="18"/>
              </w:rPr>
            </w:pPr>
          </w:p>
        </w:tc>
        <w:tc>
          <w:tcPr>
            <w:tcW w:w="1605"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免费</w:t>
            </w:r>
          </w:p>
        </w:tc>
        <w:tc>
          <w:tcPr>
            <w:tcW w:w="875" w:type="dxa"/>
            <w:vAlign w:val="center"/>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15</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云上业务部署</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1项/年</w:t>
            </w:r>
          </w:p>
        </w:tc>
        <w:tc>
          <w:tcPr>
            <w:tcW w:w="3791" w:type="dxa"/>
            <w:vAlign w:val="center"/>
          </w:tcPr>
          <w:p>
            <w:pPr>
              <w:ind w:left="180" w:hanging="180" w:hangingChars="100"/>
              <w:jc w:val="center"/>
              <w:rPr>
                <w:rFonts w:ascii="宋体" w:hAnsi="宋体" w:cs="宋体"/>
                <w:snapToGrid w:val="0"/>
                <w:kern w:val="0"/>
                <w:sz w:val="18"/>
                <w:szCs w:val="18"/>
              </w:rPr>
            </w:pPr>
          </w:p>
        </w:tc>
        <w:tc>
          <w:tcPr>
            <w:tcW w:w="1605"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免费</w:t>
            </w:r>
          </w:p>
        </w:tc>
        <w:tc>
          <w:tcPr>
            <w:tcW w:w="875" w:type="dxa"/>
            <w:vAlign w:val="center"/>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16</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系统迁移服务</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1项/年</w:t>
            </w:r>
          </w:p>
        </w:tc>
        <w:tc>
          <w:tcPr>
            <w:tcW w:w="3791" w:type="dxa"/>
            <w:vAlign w:val="center"/>
          </w:tcPr>
          <w:p>
            <w:pPr>
              <w:ind w:left="180" w:hanging="180" w:hangingChars="100"/>
              <w:jc w:val="center"/>
              <w:rPr>
                <w:rFonts w:ascii="宋体" w:hAnsi="宋体" w:cs="宋体"/>
                <w:snapToGrid w:val="0"/>
                <w:kern w:val="0"/>
                <w:sz w:val="18"/>
                <w:szCs w:val="18"/>
              </w:rPr>
            </w:pPr>
          </w:p>
        </w:tc>
        <w:tc>
          <w:tcPr>
            <w:tcW w:w="1605"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免费</w:t>
            </w:r>
          </w:p>
        </w:tc>
        <w:tc>
          <w:tcPr>
            <w:tcW w:w="875" w:type="dxa"/>
            <w:vAlign w:val="center"/>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411" w:type="dxa"/>
            <w:vAlign w:val="center"/>
          </w:tcPr>
          <w:p>
            <w:pPr>
              <w:jc w:val="center"/>
              <w:rPr>
                <w:rFonts w:ascii="宋体" w:hAnsi="宋体" w:cs="宋体"/>
                <w:caps/>
                <w:sz w:val="18"/>
                <w:szCs w:val="18"/>
              </w:rPr>
            </w:pPr>
            <w:r>
              <w:rPr>
                <w:rFonts w:hint="eastAsia" w:ascii="宋体" w:hAnsi="宋体" w:cs="宋体"/>
                <w:caps/>
                <w:sz w:val="18"/>
                <w:szCs w:val="18"/>
              </w:rPr>
              <w:t>17</w:t>
            </w:r>
          </w:p>
        </w:tc>
        <w:tc>
          <w:tcPr>
            <w:tcW w:w="1130"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云上安全巡检服务</w:t>
            </w:r>
          </w:p>
        </w:tc>
        <w:tc>
          <w:tcPr>
            <w:tcW w:w="929"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1项/年</w:t>
            </w:r>
          </w:p>
        </w:tc>
        <w:tc>
          <w:tcPr>
            <w:tcW w:w="3791" w:type="dxa"/>
            <w:vAlign w:val="center"/>
          </w:tcPr>
          <w:p>
            <w:pPr>
              <w:ind w:left="180" w:hanging="180" w:hangingChars="100"/>
              <w:jc w:val="center"/>
              <w:rPr>
                <w:rFonts w:ascii="宋体" w:hAnsi="宋体" w:cs="宋体"/>
                <w:snapToGrid w:val="0"/>
                <w:kern w:val="0"/>
                <w:sz w:val="18"/>
                <w:szCs w:val="18"/>
              </w:rPr>
            </w:pPr>
          </w:p>
        </w:tc>
        <w:tc>
          <w:tcPr>
            <w:tcW w:w="1605" w:type="dxa"/>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免费</w:t>
            </w:r>
          </w:p>
        </w:tc>
        <w:tc>
          <w:tcPr>
            <w:tcW w:w="875" w:type="dxa"/>
            <w:vAlign w:val="center"/>
          </w:tcPr>
          <w:p>
            <w:pPr>
              <w:pStyle w:val="7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261" w:type="dxa"/>
            <w:gridSpan w:val="4"/>
            <w:vAlign w:val="center"/>
          </w:tcPr>
          <w:p>
            <w:pPr>
              <w:ind w:left="180" w:hanging="180" w:hangingChars="100"/>
              <w:jc w:val="center"/>
              <w:rPr>
                <w:rFonts w:ascii="宋体" w:hAnsi="宋体" w:cs="宋体"/>
                <w:snapToGrid w:val="0"/>
                <w:kern w:val="0"/>
                <w:sz w:val="18"/>
                <w:szCs w:val="18"/>
              </w:rPr>
            </w:pPr>
            <w:r>
              <w:rPr>
                <w:rFonts w:hint="eastAsia" w:ascii="宋体" w:hAnsi="宋体" w:cs="宋体"/>
                <w:snapToGrid w:val="0"/>
                <w:kern w:val="0"/>
                <w:sz w:val="18"/>
                <w:szCs w:val="18"/>
              </w:rPr>
              <w:t>总计</w:t>
            </w:r>
          </w:p>
        </w:tc>
        <w:tc>
          <w:tcPr>
            <w:tcW w:w="1605" w:type="dxa"/>
            <w:vAlign w:val="center"/>
          </w:tcPr>
          <w:p>
            <w:pPr>
              <w:ind w:left="180" w:hanging="180" w:hangingChars="100"/>
              <w:jc w:val="center"/>
              <w:rPr>
                <w:rFonts w:ascii="宋体" w:hAnsi="宋体" w:cs="宋体"/>
                <w:snapToGrid w:val="0"/>
                <w:kern w:val="0"/>
                <w:sz w:val="18"/>
                <w:szCs w:val="18"/>
              </w:rPr>
            </w:pPr>
            <w:r>
              <w:rPr>
                <w:rFonts w:ascii="宋体" w:hAnsi="宋体" w:cs="宋体"/>
                <w:snapToGrid w:val="0"/>
                <w:kern w:val="0"/>
                <w:sz w:val="18"/>
                <w:szCs w:val="18"/>
                <w:highlight w:val="none"/>
              </w:rPr>
              <w:t>469876.82元</w:t>
            </w:r>
          </w:p>
        </w:tc>
        <w:tc>
          <w:tcPr>
            <w:tcW w:w="875" w:type="dxa"/>
            <w:vAlign w:val="center"/>
          </w:tcPr>
          <w:p>
            <w:pPr>
              <w:ind w:left="180" w:hanging="180" w:hangingChars="100"/>
              <w:jc w:val="center"/>
              <w:rPr>
                <w:rFonts w:ascii="宋体" w:hAnsi="宋体" w:cs="宋体"/>
                <w:snapToGrid w:val="0"/>
                <w:kern w:val="0"/>
                <w:sz w:val="18"/>
                <w:szCs w:val="18"/>
              </w:rPr>
            </w:pPr>
          </w:p>
        </w:tc>
      </w:tr>
    </w:tbl>
    <w:p>
      <w:pPr>
        <w:pStyle w:val="71"/>
      </w:pPr>
    </w:p>
    <w:p>
      <w:pPr>
        <w:spacing w:line="240" w:lineRule="atLeast"/>
        <w:rPr>
          <w:sz w:val="24"/>
        </w:rPr>
      </w:pPr>
      <w:r>
        <w:rPr>
          <w:sz w:val="24"/>
        </w:rPr>
        <w:t>项目名称：</w:t>
      </w:r>
    </w:p>
    <w:p>
      <w:pPr>
        <w:spacing w:line="240" w:lineRule="atLeast"/>
        <w:rPr>
          <w:sz w:val="24"/>
        </w:rPr>
      </w:pPr>
      <w:r>
        <w:rPr>
          <w:sz w:val="24"/>
        </w:rPr>
        <w:t>注：本表仅作为磋商小组了解报价组成情况，不作为</w:t>
      </w:r>
      <w:r>
        <w:rPr>
          <w:rFonts w:hint="eastAsia"/>
          <w:sz w:val="24"/>
        </w:rPr>
        <w:t>最终</w:t>
      </w:r>
      <w:r>
        <w:rPr>
          <w:sz w:val="24"/>
        </w:rPr>
        <w:t>成交报价。</w:t>
      </w:r>
    </w:p>
    <w:p>
      <w:pPr>
        <w:pStyle w:val="20"/>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20"/>
        <w:spacing w:line="500" w:lineRule="exact"/>
        <w:rPr>
          <w:rFonts w:ascii="Times New Roman" w:hAnsi="Times New Roman" w:cs="Times New Roman"/>
          <w:sz w:val="24"/>
          <w:szCs w:val="24"/>
        </w:rPr>
      </w:pPr>
    </w:p>
    <w:p>
      <w:pPr>
        <w:pStyle w:val="20"/>
        <w:spacing w:line="500" w:lineRule="exact"/>
        <w:rPr>
          <w:sz w:val="24"/>
        </w:rPr>
      </w:pPr>
      <w:r>
        <w:rPr>
          <w:rFonts w:ascii="Times New Roman" w:hAnsi="Times New Roman" w:cs="Times New Roman"/>
          <w:sz w:val="24"/>
          <w:szCs w:val="24"/>
        </w:rPr>
        <w:t>授权代表（签字）:</w:t>
      </w:r>
    </w:p>
    <w:p>
      <w:pPr>
        <w:spacing w:line="480" w:lineRule="auto"/>
        <w:rPr>
          <w:rFonts w:eastAsia="仿宋_GB2312"/>
        </w:rPr>
      </w:pPr>
      <w:r>
        <w:rPr>
          <w:sz w:val="24"/>
        </w:rPr>
        <w:t>时间：</w:t>
      </w:r>
    </w:p>
    <w:p>
      <w:pPr>
        <w:spacing w:line="480" w:lineRule="auto"/>
        <w:jc w:val="center"/>
        <w:rPr>
          <w:rFonts w:eastAsia="仿宋_GB2312"/>
        </w:rPr>
      </w:pPr>
    </w:p>
    <w:p>
      <w:pPr>
        <w:pStyle w:val="20"/>
        <w:spacing w:line="440" w:lineRule="exact"/>
        <w:ind w:firstLine="840"/>
        <w:rPr>
          <w:bCs/>
          <w:sz w:val="24"/>
        </w:rPr>
      </w:pPr>
      <w:r>
        <w:rPr>
          <w:bCs/>
          <w:sz w:val="24"/>
        </w:rPr>
        <w:br w:type="page"/>
      </w:r>
      <w:r>
        <w:rPr>
          <w:bCs/>
          <w:sz w:val="24"/>
        </w:rPr>
        <w:t>附件3</w:t>
      </w:r>
    </w:p>
    <w:p>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4"/>
        <w:tblW w:w="83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4"/>
        <w:gridCol w:w="2115"/>
        <w:gridCol w:w="1508"/>
        <w:gridCol w:w="1509"/>
        <w:gridCol w:w="1645"/>
        <w:gridCol w:w="10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8" w:hRule="atLeast"/>
          <w:jc w:val="center"/>
        </w:trPr>
        <w:tc>
          <w:tcPr>
            <w:tcW w:w="504" w:type="dxa"/>
            <w:vAlign w:val="center"/>
          </w:tcPr>
          <w:p>
            <w:pPr>
              <w:adjustRightInd w:val="0"/>
              <w:snapToGrid w:val="0"/>
              <w:ind w:left="-118" w:leftChars="-42"/>
              <w:jc w:val="center"/>
              <w:rPr>
                <w:sz w:val="24"/>
              </w:rPr>
            </w:pPr>
            <w:r>
              <w:rPr>
                <w:sz w:val="24"/>
              </w:rPr>
              <w:t>序号</w:t>
            </w:r>
          </w:p>
        </w:tc>
        <w:tc>
          <w:tcPr>
            <w:tcW w:w="2115"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08"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09" w:type="dxa"/>
            <w:tcBorders>
              <w:left w:val="single" w:color="auto" w:sz="4" w:space="0"/>
            </w:tcBorders>
            <w:vAlign w:val="center"/>
          </w:tcPr>
          <w:p>
            <w:pPr>
              <w:adjustRightInd w:val="0"/>
              <w:snapToGrid w:val="0"/>
              <w:jc w:val="center"/>
              <w:rPr>
                <w:sz w:val="24"/>
              </w:rPr>
            </w:pPr>
            <w:r>
              <w:rPr>
                <w:sz w:val="24"/>
              </w:rPr>
              <w:t>生产地</w:t>
            </w:r>
          </w:p>
        </w:tc>
        <w:tc>
          <w:tcPr>
            <w:tcW w:w="1645" w:type="dxa"/>
            <w:vAlign w:val="center"/>
          </w:tcPr>
          <w:p>
            <w:pPr>
              <w:adjustRightInd w:val="0"/>
              <w:snapToGrid w:val="0"/>
              <w:jc w:val="center"/>
              <w:rPr>
                <w:sz w:val="24"/>
              </w:rPr>
            </w:pPr>
            <w:r>
              <w:rPr>
                <w:sz w:val="24"/>
              </w:rPr>
              <w:t>规格型号</w:t>
            </w:r>
          </w:p>
        </w:tc>
        <w:tc>
          <w:tcPr>
            <w:tcW w:w="1097"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sz w:val="24"/>
              </w:rPr>
            </w:pPr>
            <w:r>
              <w:rPr>
                <w:sz w:val="24"/>
              </w:rPr>
              <w:t>1</w:t>
            </w:r>
          </w:p>
        </w:tc>
        <w:tc>
          <w:tcPr>
            <w:tcW w:w="2115" w:type="dxa"/>
            <w:vAlign w:val="center"/>
          </w:tcPr>
          <w:p>
            <w:pPr>
              <w:adjustRightInd w:val="0"/>
              <w:snapToGrid w:val="0"/>
              <w:ind w:left="-118" w:leftChars="-42"/>
              <w:jc w:val="center"/>
              <w:rPr>
                <w:sz w:val="24"/>
              </w:rPr>
            </w:pPr>
          </w:p>
        </w:tc>
        <w:tc>
          <w:tcPr>
            <w:tcW w:w="1508" w:type="dxa"/>
            <w:tcBorders>
              <w:right w:val="single" w:color="auto" w:sz="4" w:space="0"/>
            </w:tcBorders>
            <w:vAlign w:val="center"/>
          </w:tcPr>
          <w:p>
            <w:pPr>
              <w:adjustRightInd w:val="0"/>
              <w:snapToGrid w:val="0"/>
              <w:jc w:val="center"/>
              <w:rPr>
                <w:sz w:val="24"/>
              </w:rPr>
            </w:pPr>
          </w:p>
        </w:tc>
        <w:tc>
          <w:tcPr>
            <w:tcW w:w="1509" w:type="dxa"/>
            <w:tcBorders>
              <w:left w:val="single" w:color="auto" w:sz="4" w:space="0"/>
            </w:tcBorders>
            <w:vAlign w:val="center"/>
          </w:tcPr>
          <w:p>
            <w:pPr>
              <w:adjustRightInd w:val="0"/>
              <w:snapToGrid w:val="0"/>
              <w:jc w:val="center"/>
              <w:rPr>
                <w:sz w:val="24"/>
              </w:rPr>
            </w:pPr>
          </w:p>
        </w:tc>
        <w:tc>
          <w:tcPr>
            <w:tcW w:w="1645" w:type="dxa"/>
            <w:vAlign w:val="center"/>
          </w:tcPr>
          <w:p>
            <w:pPr>
              <w:adjustRightInd w:val="0"/>
              <w:snapToGrid w:val="0"/>
              <w:jc w:val="center"/>
              <w:rPr>
                <w:sz w:val="24"/>
              </w:rPr>
            </w:pPr>
          </w:p>
        </w:tc>
        <w:tc>
          <w:tcPr>
            <w:tcW w:w="1097"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sz w:val="24"/>
              </w:rPr>
            </w:pPr>
            <w:r>
              <w:rPr>
                <w:sz w:val="24"/>
              </w:rPr>
              <w:t>2</w:t>
            </w:r>
          </w:p>
        </w:tc>
        <w:tc>
          <w:tcPr>
            <w:tcW w:w="2115" w:type="dxa"/>
            <w:vAlign w:val="center"/>
          </w:tcPr>
          <w:p>
            <w:pPr>
              <w:adjustRightInd w:val="0"/>
              <w:snapToGrid w:val="0"/>
              <w:ind w:left="-118" w:leftChars="-42"/>
              <w:jc w:val="center"/>
              <w:rPr>
                <w:sz w:val="24"/>
              </w:rPr>
            </w:pPr>
          </w:p>
        </w:tc>
        <w:tc>
          <w:tcPr>
            <w:tcW w:w="1508" w:type="dxa"/>
            <w:tcBorders>
              <w:right w:val="single" w:color="auto" w:sz="4" w:space="0"/>
            </w:tcBorders>
            <w:vAlign w:val="center"/>
          </w:tcPr>
          <w:p>
            <w:pPr>
              <w:adjustRightInd w:val="0"/>
              <w:snapToGrid w:val="0"/>
              <w:jc w:val="center"/>
              <w:rPr>
                <w:sz w:val="24"/>
              </w:rPr>
            </w:pPr>
          </w:p>
        </w:tc>
        <w:tc>
          <w:tcPr>
            <w:tcW w:w="1509" w:type="dxa"/>
            <w:tcBorders>
              <w:left w:val="single" w:color="auto" w:sz="4" w:space="0"/>
            </w:tcBorders>
            <w:vAlign w:val="center"/>
          </w:tcPr>
          <w:p>
            <w:pPr>
              <w:adjustRightInd w:val="0"/>
              <w:snapToGrid w:val="0"/>
              <w:jc w:val="center"/>
              <w:rPr>
                <w:sz w:val="24"/>
              </w:rPr>
            </w:pPr>
          </w:p>
        </w:tc>
        <w:tc>
          <w:tcPr>
            <w:tcW w:w="1645" w:type="dxa"/>
            <w:vAlign w:val="center"/>
          </w:tcPr>
          <w:p>
            <w:pPr>
              <w:adjustRightInd w:val="0"/>
              <w:snapToGrid w:val="0"/>
              <w:jc w:val="center"/>
              <w:rPr>
                <w:sz w:val="24"/>
              </w:rPr>
            </w:pPr>
          </w:p>
        </w:tc>
        <w:tc>
          <w:tcPr>
            <w:tcW w:w="1097"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sz w:val="24"/>
              </w:rPr>
            </w:pPr>
            <w:r>
              <w:rPr>
                <w:sz w:val="24"/>
              </w:rPr>
              <w:t>3</w:t>
            </w:r>
          </w:p>
        </w:tc>
        <w:tc>
          <w:tcPr>
            <w:tcW w:w="2115" w:type="dxa"/>
            <w:vAlign w:val="center"/>
          </w:tcPr>
          <w:p>
            <w:pPr>
              <w:adjustRightInd w:val="0"/>
              <w:snapToGrid w:val="0"/>
              <w:ind w:left="-118" w:leftChars="-42"/>
              <w:jc w:val="center"/>
              <w:rPr>
                <w:sz w:val="24"/>
              </w:rPr>
            </w:pPr>
          </w:p>
        </w:tc>
        <w:tc>
          <w:tcPr>
            <w:tcW w:w="1508" w:type="dxa"/>
            <w:tcBorders>
              <w:right w:val="single" w:color="auto" w:sz="4" w:space="0"/>
            </w:tcBorders>
            <w:vAlign w:val="center"/>
          </w:tcPr>
          <w:p>
            <w:pPr>
              <w:adjustRightInd w:val="0"/>
              <w:snapToGrid w:val="0"/>
              <w:jc w:val="center"/>
              <w:rPr>
                <w:sz w:val="24"/>
              </w:rPr>
            </w:pPr>
          </w:p>
        </w:tc>
        <w:tc>
          <w:tcPr>
            <w:tcW w:w="1509" w:type="dxa"/>
            <w:tcBorders>
              <w:left w:val="single" w:color="auto" w:sz="4" w:space="0"/>
            </w:tcBorders>
            <w:vAlign w:val="center"/>
          </w:tcPr>
          <w:p>
            <w:pPr>
              <w:adjustRightInd w:val="0"/>
              <w:snapToGrid w:val="0"/>
              <w:jc w:val="center"/>
              <w:rPr>
                <w:sz w:val="24"/>
              </w:rPr>
            </w:pPr>
          </w:p>
        </w:tc>
        <w:tc>
          <w:tcPr>
            <w:tcW w:w="1645" w:type="dxa"/>
            <w:vAlign w:val="center"/>
          </w:tcPr>
          <w:p>
            <w:pPr>
              <w:adjustRightInd w:val="0"/>
              <w:snapToGrid w:val="0"/>
              <w:jc w:val="center"/>
              <w:rPr>
                <w:sz w:val="24"/>
              </w:rPr>
            </w:pPr>
          </w:p>
        </w:tc>
        <w:tc>
          <w:tcPr>
            <w:tcW w:w="1097"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sz w:val="24"/>
              </w:rPr>
            </w:pPr>
            <w:r>
              <w:rPr>
                <w:sz w:val="24"/>
              </w:rPr>
              <w:t>4</w:t>
            </w:r>
          </w:p>
        </w:tc>
        <w:tc>
          <w:tcPr>
            <w:tcW w:w="2115" w:type="dxa"/>
            <w:vAlign w:val="center"/>
          </w:tcPr>
          <w:p>
            <w:pPr>
              <w:adjustRightInd w:val="0"/>
              <w:snapToGrid w:val="0"/>
              <w:ind w:left="-118" w:leftChars="-42"/>
              <w:jc w:val="center"/>
              <w:rPr>
                <w:sz w:val="24"/>
              </w:rPr>
            </w:pPr>
          </w:p>
        </w:tc>
        <w:tc>
          <w:tcPr>
            <w:tcW w:w="1508" w:type="dxa"/>
            <w:tcBorders>
              <w:right w:val="single" w:color="auto" w:sz="4" w:space="0"/>
            </w:tcBorders>
            <w:vAlign w:val="center"/>
          </w:tcPr>
          <w:p>
            <w:pPr>
              <w:adjustRightInd w:val="0"/>
              <w:snapToGrid w:val="0"/>
              <w:jc w:val="center"/>
              <w:rPr>
                <w:sz w:val="24"/>
              </w:rPr>
            </w:pPr>
          </w:p>
        </w:tc>
        <w:tc>
          <w:tcPr>
            <w:tcW w:w="1509" w:type="dxa"/>
            <w:tcBorders>
              <w:left w:val="single" w:color="auto" w:sz="4" w:space="0"/>
            </w:tcBorders>
            <w:vAlign w:val="center"/>
          </w:tcPr>
          <w:p>
            <w:pPr>
              <w:adjustRightInd w:val="0"/>
              <w:snapToGrid w:val="0"/>
              <w:jc w:val="center"/>
              <w:rPr>
                <w:sz w:val="24"/>
              </w:rPr>
            </w:pPr>
          </w:p>
        </w:tc>
        <w:tc>
          <w:tcPr>
            <w:tcW w:w="1645" w:type="dxa"/>
            <w:vAlign w:val="center"/>
          </w:tcPr>
          <w:p>
            <w:pPr>
              <w:adjustRightInd w:val="0"/>
              <w:snapToGrid w:val="0"/>
              <w:jc w:val="center"/>
              <w:rPr>
                <w:sz w:val="24"/>
              </w:rPr>
            </w:pPr>
          </w:p>
        </w:tc>
        <w:tc>
          <w:tcPr>
            <w:tcW w:w="1097"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sz w:val="24"/>
              </w:rPr>
            </w:pPr>
            <w:r>
              <w:rPr>
                <w:sz w:val="24"/>
              </w:rPr>
              <w:t>5</w:t>
            </w:r>
          </w:p>
        </w:tc>
        <w:tc>
          <w:tcPr>
            <w:tcW w:w="2115" w:type="dxa"/>
            <w:vAlign w:val="center"/>
          </w:tcPr>
          <w:p>
            <w:pPr>
              <w:adjustRightInd w:val="0"/>
              <w:snapToGrid w:val="0"/>
              <w:ind w:left="-118" w:leftChars="-42"/>
              <w:jc w:val="center"/>
              <w:rPr>
                <w:sz w:val="24"/>
              </w:rPr>
            </w:pPr>
          </w:p>
        </w:tc>
        <w:tc>
          <w:tcPr>
            <w:tcW w:w="1508" w:type="dxa"/>
            <w:tcBorders>
              <w:right w:val="single" w:color="auto" w:sz="4" w:space="0"/>
            </w:tcBorders>
            <w:vAlign w:val="center"/>
          </w:tcPr>
          <w:p>
            <w:pPr>
              <w:adjustRightInd w:val="0"/>
              <w:snapToGrid w:val="0"/>
              <w:jc w:val="center"/>
              <w:rPr>
                <w:sz w:val="24"/>
              </w:rPr>
            </w:pPr>
          </w:p>
        </w:tc>
        <w:tc>
          <w:tcPr>
            <w:tcW w:w="1509" w:type="dxa"/>
            <w:tcBorders>
              <w:left w:val="single" w:color="auto" w:sz="4" w:space="0"/>
            </w:tcBorders>
            <w:vAlign w:val="center"/>
          </w:tcPr>
          <w:p>
            <w:pPr>
              <w:adjustRightInd w:val="0"/>
              <w:snapToGrid w:val="0"/>
              <w:jc w:val="center"/>
              <w:rPr>
                <w:sz w:val="24"/>
              </w:rPr>
            </w:pPr>
          </w:p>
        </w:tc>
        <w:tc>
          <w:tcPr>
            <w:tcW w:w="1645" w:type="dxa"/>
            <w:vAlign w:val="center"/>
          </w:tcPr>
          <w:p>
            <w:pPr>
              <w:adjustRightInd w:val="0"/>
              <w:snapToGrid w:val="0"/>
              <w:jc w:val="center"/>
              <w:rPr>
                <w:sz w:val="24"/>
              </w:rPr>
            </w:pPr>
          </w:p>
        </w:tc>
        <w:tc>
          <w:tcPr>
            <w:tcW w:w="1097"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sz w:val="24"/>
              </w:rPr>
            </w:pPr>
            <w:r>
              <w:rPr>
                <w:sz w:val="24"/>
              </w:rPr>
              <w:t>6</w:t>
            </w:r>
          </w:p>
        </w:tc>
        <w:tc>
          <w:tcPr>
            <w:tcW w:w="2115" w:type="dxa"/>
            <w:vAlign w:val="center"/>
          </w:tcPr>
          <w:p>
            <w:pPr>
              <w:adjustRightInd w:val="0"/>
              <w:snapToGrid w:val="0"/>
              <w:ind w:left="-118" w:leftChars="-42"/>
              <w:jc w:val="center"/>
              <w:rPr>
                <w:sz w:val="24"/>
              </w:rPr>
            </w:pPr>
          </w:p>
        </w:tc>
        <w:tc>
          <w:tcPr>
            <w:tcW w:w="1508" w:type="dxa"/>
            <w:tcBorders>
              <w:right w:val="single" w:color="auto" w:sz="4" w:space="0"/>
            </w:tcBorders>
            <w:vAlign w:val="center"/>
          </w:tcPr>
          <w:p>
            <w:pPr>
              <w:adjustRightInd w:val="0"/>
              <w:snapToGrid w:val="0"/>
              <w:jc w:val="center"/>
              <w:rPr>
                <w:sz w:val="24"/>
              </w:rPr>
            </w:pPr>
          </w:p>
        </w:tc>
        <w:tc>
          <w:tcPr>
            <w:tcW w:w="1509" w:type="dxa"/>
            <w:tcBorders>
              <w:left w:val="single" w:color="auto" w:sz="4" w:space="0"/>
            </w:tcBorders>
            <w:vAlign w:val="center"/>
          </w:tcPr>
          <w:p>
            <w:pPr>
              <w:adjustRightInd w:val="0"/>
              <w:snapToGrid w:val="0"/>
              <w:jc w:val="center"/>
              <w:rPr>
                <w:sz w:val="24"/>
              </w:rPr>
            </w:pPr>
          </w:p>
        </w:tc>
        <w:tc>
          <w:tcPr>
            <w:tcW w:w="1645" w:type="dxa"/>
            <w:vAlign w:val="center"/>
          </w:tcPr>
          <w:p>
            <w:pPr>
              <w:adjustRightInd w:val="0"/>
              <w:snapToGrid w:val="0"/>
              <w:jc w:val="center"/>
              <w:rPr>
                <w:sz w:val="24"/>
              </w:rPr>
            </w:pPr>
          </w:p>
        </w:tc>
        <w:tc>
          <w:tcPr>
            <w:tcW w:w="1097"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sz w:val="24"/>
              </w:rPr>
            </w:pPr>
            <w:r>
              <w:rPr>
                <w:sz w:val="24"/>
              </w:rPr>
              <w:t>7</w:t>
            </w:r>
          </w:p>
        </w:tc>
        <w:tc>
          <w:tcPr>
            <w:tcW w:w="2115" w:type="dxa"/>
            <w:vAlign w:val="center"/>
          </w:tcPr>
          <w:p>
            <w:pPr>
              <w:adjustRightInd w:val="0"/>
              <w:snapToGrid w:val="0"/>
              <w:ind w:left="-118" w:leftChars="-42"/>
              <w:jc w:val="center"/>
              <w:rPr>
                <w:sz w:val="24"/>
              </w:rPr>
            </w:pPr>
          </w:p>
        </w:tc>
        <w:tc>
          <w:tcPr>
            <w:tcW w:w="1508" w:type="dxa"/>
            <w:tcBorders>
              <w:right w:val="single" w:color="auto" w:sz="4" w:space="0"/>
            </w:tcBorders>
            <w:vAlign w:val="center"/>
          </w:tcPr>
          <w:p>
            <w:pPr>
              <w:adjustRightInd w:val="0"/>
              <w:snapToGrid w:val="0"/>
              <w:jc w:val="center"/>
              <w:rPr>
                <w:sz w:val="24"/>
              </w:rPr>
            </w:pPr>
          </w:p>
        </w:tc>
        <w:tc>
          <w:tcPr>
            <w:tcW w:w="1509" w:type="dxa"/>
            <w:tcBorders>
              <w:left w:val="single" w:color="auto" w:sz="4" w:space="0"/>
            </w:tcBorders>
            <w:vAlign w:val="center"/>
          </w:tcPr>
          <w:p>
            <w:pPr>
              <w:adjustRightInd w:val="0"/>
              <w:snapToGrid w:val="0"/>
              <w:jc w:val="center"/>
              <w:rPr>
                <w:sz w:val="24"/>
              </w:rPr>
            </w:pPr>
          </w:p>
        </w:tc>
        <w:tc>
          <w:tcPr>
            <w:tcW w:w="1645" w:type="dxa"/>
            <w:vAlign w:val="center"/>
          </w:tcPr>
          <w:p>
            <w:pPr>
              <w:adjustRightInd w:val="0"/>
              <w:snapToGrid w:val="0"/>
              <w:jc w:val="center"/>
              <w:rPr>
                <w:sz w:val="24"/>
              </w:rPr>
            </w:pPr>
          </w:p>
        </w:tc>
        <w:tc>
          <w:tcPr>
            <w:tcW w:w="1097"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sz w:val="24"/>
              </w:rPr>
            </w:pPr>
            <w:r>
              <w:rPr>
                <w:sz w:val="24"/>
              </w:rPr>
              <w:t>8</w:t>
            </w:r>
          </w:p>
        </w:tc>
        <w:tc>
          <w:tcPr>
            <w:tcW w:w="2115" w:type="dxa"/>
            <w:vAlign w:val="center"/>
          </w:tcPr>
          <w:p>
            <w:pPr>
              <w:adjustRightInd w:val="0"/>
              <w:snapToGrid w:val="0"/>
              <w:ind w:left="-118" w:leftChars="-42"/>
              <w:jc w:val="center"/>
              <w:rPr>
                <w:sz w:val="24"/>
              </w:rPr>
            </w:pPr>
          </w:p>
        </w:tc>
        <w:tc>
          <w:tcPr>
            <w:tcW w:w="1508" w:type="dxa"/>
            <w:tcBorders>
              <w:right w:val="single" w:color="auto" w:sz="4" w:space="0"/>
            </w:tcBorders>
            <w:vAlign w:val="center"/>
          </w:tcPr>
          <w:p>
            <w:pPr>
              <w:adjustRightInd w:val="0"/>
              <w:snapToGrid w:val="0"/>
              <w:jc w:val="center"/>
              <w:rPr>
                <w:sz w:val="24"/>
              </w:rPr>
            </w:pPr>
          </w:p>
        </w:tc>
        <w:tc>
          <w:tcPr>
            <w:tcW w:w="1509" w:type="dxa"/>
            <w:tcBorders>
              <w:left w:val="single" w:color="auto" w:sz="4" w:space="0"/>
            </w:tcBorders>
            <w:vAlign w:val="center"/>
          </w:tcPr>
          <w:p>
            <w:pPr>
              <w:adjustRightInd w:val="0"/>
              <w:snapToGrid w:val="0"/>
              <w:jc w:val="center"/>
              <w:rPr>
                <w:sz w:val="24"/>
              </w:rPr>
            </w:pPr>
          </w:p>
        </w:tc>
        <w:tc>
          <w:tcPr>
            <w:tcW w:w="1645" w:type="dxa"/>
            <w:vAlign w:val="center"/>
          </w:tcPr>
          <w:p>
            <w:pPr>
              <w:adjustRightInd w:val="0"/>
              <w:snapToGrid w:val="0"/>
              <w:jc w:val="center"/>
              <w:rPr>
                <w:sz w:val="24"/>
              </w:rPr>
            </w:pPr>
          </w:p>
        </w:tc>
        <w:tc>
          <w:tcPr>
            <w:tcW w:w="1097"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7" w:hRule="atLeast"/>
          <w:jc w:val="center"/>
        </w:trPr>
        <w:tc>
          <w:tcPr>
            <w:tcW w:w="504" w:type="dxa"/>
            <w:vAlign w:val="center"/>
          </w:tcPr>
          <w:p>
            <w:pPr>
              <w:adjustRightInd w:val="0"/>
              <w:snapToGrid w:val="0"/>
              <w:ind w:left="-118" w:leftChars="-42"/>
              <w:jc w:val="center"/>
              <w:rPr>
                <w:sz w:val="24"/>
              </w:rPr>
            </w:pPr>
            <w:r>
              <w:rPr>
                <w:sz w:val="24"/>
              </w:rPr>
              <w:t>…</w:t>
            </w:r>
          </w:p>
        </w:tc>
        <w:tc>
          <w:tcPr>
            <w:tcW w:w="2115" w:type="dxa"/>
            <w:vAlign w:val="center"/>
          </w:tcPr>
          <w:p>
            <w:pPr>
              <w:adjustRightInd w:val="0"/>
              <w:snapToGrid w:val="0"/>
              <w:ind w:left="-118" w:leftChars="-42"/>
              <w:jc w:val="center"/>
              <w:rPr>
                <w:sz w:val="24"/>
              </w:rPr>
            </w:pPr>
          </w:p>
        </w:tc>
        <w:tc>
          <w:tcPr>
            <w:tcW w:w="1508" w:type="dxa"/>
            <w:tcBorders>
              <w:right w:val="single" w:color="auto" w:sz="4" w:space="0"/>
            </w:tcBorders>
            <w:vAlign w:val="center"/>
          </w:tcPr>
          <w:p>
            <w:pPr>
              <w:adjustRightInd w:val="0"/>
              <w:snapToGrid w:val="0"/>
              <w:jc w:val="center"/>
              <w:rPr>
                <w:sz w:val="24"/>
              </w:rPr>
            </w:pPr>
          </w:p>
        </w:tc>
        <w:tc>
          <w:tcPr>
            <w:tcW w:w="1509" w:type="dxa"/>
            <w:tcBorders>
              <w:left w:val="single" w:color="auto" w:sz="4" w:space="0"/>
            </w:tcBorders>
            <w:vAlign w:val="center"/>
          </w:tcPr>
          <w:p>
            <w:pPr>
              <w:adjustRightInd w:val="0"/>
              <w:snapToGrid w:val="0"/>
              <w:jc w:val="center"/>
              <w:rPr>
                <w:sz w:val="24"/>
              </w:rPr>
            </w:pPr>
          </w:p>
        </w:tc>
        <w:tc>
          <w:tcPr>
            <w:tcW w:w="1645" w:type="dxa"/>
            <w:vAlign w:val="center"/>
          </w:tcPr>
          <w:p>
            <w:pPr>
              <w:adjustRightInd w:val="0"/>
              <w:snapToGrid w:val="0"/>
              <w:jc w:val="center"/>
              <w:rPr>
                <w:sz w:val="24"/>
              </w:rPr>
            </w:pPr>
          </w:p>
        </w:tc>
        <w:tc>
          <w:tcPr>
            <w:tcW w:w="1097"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20"/>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20"/>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4"/>
        <w:tblW w:w="8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4133"/>
        <w:gridCol w:w="1255"/>
        <w:gridCol w:w="1088"/>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452" w:type="dxa"/>
            <w:vAlign w:val="center"/>
          </w:tcPr>
          <w:p>
            <w:pPr>
              <w:jc w:val="center"/>
              <w:rPr>
                <w:rFonts w:ascii="Calibri" w:hAnsi="Calibri"/>
                <w:kern w:val="0"/>
                <w:sz w:val="24"/>
                <w:szCs w:val="20"/>
              </w:rPr>
            </w:pPr>
            <w:r>
              <w:rPr>
                <w:rFonts w:hint="eastAsia" w:ascii="Calibri" w:hAnsi="Calibri"/>
                <w:kern w:val="0"/>
                <w:sz w:val="24"/>
                <w:szCs w:val="20"/>
              </w:rPr>
              <w:t>序号</w:t>
            </w:r>
          </w:p>
        </w:tc>
        <w:tc>
          <w:tcPr>
            <w:tcW w:w="4133" w:type="dxa"/>
            <w:vAlign w:val="center"/>
          </w:tcPr>
          <w:p>
            <w:pPr>
              <w:jc w:val="center"/>
              <w:rPr>
                <w:rFonts w:ascii="Calibri" w:hAnsi="Calibri"/>
                <w:kern w:val="0"/>
                <w:sz w:val="24"/>
                <w:szCs w:val="20"/>
              </w:rPr>
            </w:pPr>
            <w:r>
              <w:rPr>
                <w:rFonts w:hint="eastAsia" w:ascii="Calibri" w:hAnsi="Calibri"/>
                <w:kern w:val="0"/>
                <w:sz w:val="24"/>
                <w:szCs w:val="20"/>
              </w:rPr>
              <w:t>资格性符合性检查内容</w:t>
            </w:r>
          </w:p>
        </w:tc>
        <w:tc>
          <w:tcPr>
            <w:tcW w:w="1255"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88"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29"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kern w:val="0"/>
                <w:sz w:val="24"/>
                <w:szCs w:val="20"/>
              </w:rPr>
            </w:pPr>
            <w:r>
              <w:rPr>
                <w:rFonts w:hint="eastAsia" w:ascii="Calibri" w:hAnsi="Calibri"/>
                <w:kern w:val="0"/>
                <w:sz w:val="24"/>
                <w:szCs w:val="20"/>
              </w:rPr>
              <w:t>1</w:t>
            </w:r>
          </w:p>
        </w:tc>
        <w:tc>
          <w:tcPr>
            <w:tcW w:w="4133" w:type="dxa"/>
            <w:vAlign w:val="top"/>
          </w:tcPr>
          <w:p>
            <w:pPr>
              <w:rPr>
                <w:rFonts w:ascii="Calibri" w:hAnsi="Calibri"/>
                <w:kern w:val="0"/>
                <w:sz w:val="24"/>
                <w:szCs w:val="20"/>
              </w:rPr>
            </w:pPr>
          </w:p>
        </w:tc>
        <w:tc>
          <w:tcPr>
            <w:tcW w:w="1255" w:type="dxa"/>
            <w:vAlign w:val="top"/>
          </w:tcPr>
          <w:p>
            <w:pPr>
              <w:jc w:val="center"/>
              <w:rPr>
                <w:rFonts w:ascii="Calibri" w:hAnsi="Calibri"/>
                <w:kern w:val="0"/>
                <w:sz w:val="24"/>
                <w:szCs w:val="20"/>
              </w:rPr>
            </w:pPr>
          </w:p>
        </w:tc>
        <w:tc>
          <w:tcPr>
            <w:tcW w:w="1088" w:type="dxa"/>
            <w:vAlign w:val="top"/>
          </w:tcPr>
          <w:p>
            <w:pPr>
              <w:jc w:val="center"/>
              <w:rPr>
                <w:rFonts w:ascii="Calibri" w:hAnsi="Calibri"/>
                <w:kern w:val="0"/>
                <w:sz w:val="24"/>
                <w:szCs w:val="20"/>
              </w:rPr>
            </w:pPr>
          </w:p>
        </w:tc>
        <w:tc>
          <w:tcPr>
            <w:tcW w:w="1529" w:type="dxa"/>
            <w:vAlign w:val="center"/>
          </w:tcPr>
          <w:p>
            <w:pPr>
              <w:ind w:left="-20" w:leftChars="-50" w:hanging="120" w:hangingChars="50"/>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kern w:val="0"/>
                <w:sz w:val="24"/>
                <w:szCs w:val="20"/>
              </w:rPr>
            </w:pPr>
            <w:r>
              <w:rPr>
                <w:rFonts w:hint="eastAsia" w:ascii="Calibri" w:hAnsi="Calibri"/>
                <w:kern w:val="0"/>
                <w:sz w:val="24"/>
                <w:szCs w:val="20"/>
              </w:rPr>
              <w:t>2</w:t>
            </w:r>
          </w:p>
        </w:tc>
        <w:tc>
          <w:tcPr>
            <w:tcW w:w="4133" w:type="dxa"/>
            <w:vAlign w:val="top"/>
          </w:tcPr>
          <w:p>
            <w:pPr>
              <w:rPr>
                <w:rFonts w:ascii="Calibri" w:hAnsi="Calibri"/>
                <w:kern w:val="0"/>
                <w:sz w:val="24"/>
                <w:szCs w:val="20"/>
              </w:rPr>
            </w:pPr>
          </w:p>
        </w:tc>
        <w:tc>
          <w:tcPr>
            <w:tcW w:w="1255" w:type="dxa"/>
            <w:vAlign w:val="top"/>
          </w:tcPr>
          <w:p>
            <w:pPr>
              <w:jc w:val="center"/>
              <w:rPr>
                <w:rFonts w:ascii="Calibri" w:hAnsi="Calibri"/>
                <w:kern w:val="0"/>
                <w:sz w:val="24"/>
                <w:szCs w:val="20"/>
              </w:rPr>
            </w:pPr>
          </w:p>
        </w:tc>
        <w:tc>
          <w:tcPr>
            <w:tcW w:w="1088" w:type="dxa"/>
            <w:vAlign w:val="top"/>
          </w:tcPr>
          <w:p>
            <w:pPr>
              <w:jc w:val="center"/>
              <w:rPr>
                <w:rFonts w:ascii="Calibri" w:hAnsi="Calibri"/>
                <w:kern w:val="0"/>
                <w:sz w:val="24"/>
                <w:szCs w:val="20"/>
              </w:rPr>
            </w:pPr>
          </w:p>
        </w:tc>
        <w:tc>
          <w:tcPr>
            <w:tcW w:w="1529"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kern w:val="0"/>
                <w:sz w:val="24"/>
                <w:szCs w:val="20"/>
              </w:rPr>
            </w:pPr>
            <w:r>
              <w:rPr>
                <w:rFonts w:hint="eastAsia" w:ascii="Calibri" w:hAnsi="Calibri"/>
                <w:kern w:val="0"/>
                <w:sz w:val="24"/>
                <w:szCs w:val="20"/>
              </w:rPr>
              <w:t>3</w:t>
            </w:r>
          </w:p>
        </w:tc>
        <w:tc>
          <w:tcPr>
            <w:tcW w:w="4133" w:type="dxa"/>
            <w:vAlign w:val="top"/>
          </w:tcPr>
          <w:p>
            <w:pPr>
              <w:rPr>
                <w:rFonts w:ascii="Calibri" w:hAnsi="Calibri"/>
                <w:kern w:val="0"/>
                <w:sz w:val="24"/>
                <w:szCs w:val="20"/>
              </w:rPr>
            </w:pPr>
          </w:p>
        </w:tc>
        <w:tc>
          <w:tcPr>
            <w:tcW w:w="1255" w:type="dxa"/>
            <w:vAlign w:val="top"/>
          </w:tcPr>
          <w:p>
            <w:pPr>
              <w:jc w:val="center"/>
              <w:rPr>
                <w:rFonts w:ascii="Calibri" w:hAnsi="Calibri"/>
                <w:kern w:val="0"/>
                <w:sz w:val="24"/>
                <w:szCs w:val="20"/>
              </w:rPr>
            </w:pPr>
          </w:p>
        </w:tc>
        <w:tc>
          <w:tcPr>
            <w:tcW w:w="1088" w:type="dxa"/>
            <w:vAlign w:val="top"/>
          </w:tcPr>
          <w:p>
            <w:pPr>
              <w:jc w:val="center"/>
              <w:rPr>
                <w:rFonts w:ascii="Calibri" w:hAnsi="Calibri"/>
                <w:kern w:val="0"/>
                <w:sz w:val="24"/>
                <w:szCs w:val="20"/>
              </w:rPr>
            </w:pPr>
          </w:p>
        </w:tc>
        <w:tc>
          <w:tcPr>
            <w:tcW w:w="1529"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kern w:val="0"/>
                <w:sz w:val="24"/>
                <w:szCs w:val="20"/>
              </w:rPr>
            </w:pPr>
            <w:r>
              <w:rPr>
                <w:rFonts w:hint="eastAsia" w:ascii="Calibri" w:hAnsi="Calibri"/>
                <w:kern w:val="0"/>
                <w:sz w:val="24"/>
                <w:szCs w:val="20"/>
              </w:rPr>
              <w:t>4</w:t>
            </w:r>
          </w:p>
        </w:tc>
        <w:tc>
          <w:tcPr>
            <w:tcW w:w="4133" w:type="dxa"/>
            <w:vAlign w:val="top"/>
          </w:tcPr>
          <w:p>
            <w:pPr>
              <w:rPr>
                <w:rFonts w:ascii="Calibri" w:hAnsi="Calibri"/>
                <w:kern w:val="0"/>
                <w:sz w:val="24"/>
                <w:szCs w:val="20"/>
              </w:rPr>
            </w:pPr>
          </w:p>
        </w:tc>
        <w:tc>
          <w:tcPr>
            <w:tcW w:w="1255" w:type="dxa"/>
            <w:vAlign w:val="top"/>
          </w:tcPr>
          <w:p>
            <w:pPr>
              <w:jc w:val="center"/>
              <w:rPr>
                <w:rFonts w:ascii="Calibri" w:hAnsi="Calibri"/>
                <w:kern w:val="0"/>
                <w:sz w:val="24"/>
                <w:szCs w:val="20"/>
              </w:rPr>
            </w:pPr>
          </w:p>
        </w:tc>
        <w:tc>
          <w:tcPr>
            <w:tcW w:w="1088" w:type="dxa"/>
            <w:vAlign w:val="top"/>
          </w:tcPr>
          <w:p>
            <w:pPr>
              <w:jc w:val="center"/>
              <w:rPr>
                <w:rFonts w:ascii="Calibri" w:hAnsi="Calibri"/>
                <w:kern w:val="0"/>
                <w:sz w:val="24"/>
                <w:szCs w:val="20"/>
              </w:rPr>
            </w:pPr>
          </w:p>
        </w:tc>
        <w:tc>
          <w:tcPr>
            <w:tcW w:w="1529"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kern w:val="0"/>
                <w:sz w:val="24"/>
                <w:szCs w:val="20"/>
              </w:rPr>
            </w:pPr>
            <w:r>
              <w:rPr>
                <w:rFonts w:hint="eastAsia" w:ascii="Calibri" w:hAnsi="Calibri"/>
                <w:kern w:val="0"/>
                <w:sz w:val="24"/>
                <w:szCs w:val="20"/>
              </w:rPr>
              <w:t>5</w:t>
            </w:r>
          </w:p>
        </w:tc>
        <w:tc>
          <w:tcPr>
            <w:tcW w:w="4133" w:type="dxa"/>
            <w:vAlign w:val="top"/>
          </w:tcPr>
          <w:p>
            <w:pPr>
              <w:rPr>
                <w:rFonts w:ascii="Calibri" w:hAnsi="Calibri"/>
                <w:kern w:val="0"/>
                <w:sz w:val="24"/>
                <w:szCs w:val="20"/>
              </w:rPr>
            </w:pPr>
          </w:p>
        </w:tc>
        <w:tc>
          <w:tcPr>
            <w:tcW w:w="1255" w:type="dxa"/>
            <w:vAlign w:val="top"/>
          </w:tcPr>
          <w:p>
            <w:pPr>
              <w:jc w:val="center"/>
              <w:rPr>
                <w:rFonts w:ascii="Calibri" w:hAnsi="Calibri"/>
                <w:kern w:val="0"/>
                <w:sz w:val="24"/>
                <w:szCs w:val="20"/>
              </w:rPr>
            </w:pPr>
          </w:p>
        </w:tc>
        <w:tc>
          <w:tcPr>
            <w:tcW w:w="1088" w:type="dxa"/>
            <w:vAlign w:val="top"/>
          </w:tcPr>
          <w:p>
            <w:pPr>
              <w:jc w:val="center"/>
              <w:rPr>
                <w:rFonts w:ascii="Calibri" w:hAnsi="Calibri"/>
                <w:kern w:val="0"/>
                <w:sz w:val="24"/>
                <w:szCs w:val="20"/>
              </w:rPr>
            </w:pPr>
          </w:p>
        </w:tc>
        <w:tc>
          <w:tcPr>
            <w:tcW w:w="1529"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kern w:val="0"/>
                <w:sz w:val="24"/>
                <w:szCs w:val="20"/>
              </w:rPr>
            </w:pPr>
            <w:r>
              <w:rPr>
                <w:rFonts w:hint="eastAsia" w:ascii="Calibri" w:hAnsi="Calibri"/>
                <w:kern w:val="0"/>
                <w:sz w:val="24"/>
                <w:szCs w:val="20"/>
              </w:rPr>
              <w:t>6</w:t>
            </w:r>
          </w:p>
        </w:tc>
        <w:tc>
          <w:tcPr>
            <w:tcW w:w="4133" w:type="dxa"/>
            <w:vAlign w:val="top"/>
          </w:tcPr>
          <w:p>
            <w:pPr>
              <w:rPr>
                <w:rFonts w:ascii="Calibri" w:hAnsi="Calibri"/>
                <w:kern w:val="0"/>
                <w:sz w:val="24"/>
                <w:szCs w:val="20"/>
              </w:rPr>
            </w:pPr>
          </w:p>
        </w:tc>
        <w:tc>
          <w:tcPr>
            <w:tcW w:w="1255" w:type="dxa"/>
            <w:vAlign w:val="top"/>
          </w:tcPr>
          <w:p>
            <w:pPr>
              <w:jc w:val="left"/>
              <w:rPr>
                <w:rFonts w:ascii="Calibri" w:hAnsi="Calibri"/>
                <w:kern w:val="0"/>
                <w:sz w:val="24"/>
                <w:szCs w:val="20"/>
              </w:rPr>
            </w:pPr>
          </w:p>
        </w:tc>
        <w:tc>
          <w:tcPr>
            <w:tcW w:w="1088" w:type="dxa"/>
            <w:vAlign w:val="top"/>
          </w:tcPr>
          <w:p>
            <w:pPr>
              <w:jc w:val="left"/>
              <w:rPr>
                <w:rFonts w:ascii="Calibri" w:hAnsi="Calibri"/>
                <w:kern w:val="0"/>
                <w:sz w:val="24"/>
                <w:szCs w:val="20"/>
              </w:rPr>
            </w:pPr>
          </w:p>
        </w:tc>
        <w:tc>
          <w:tcPr>
            <w:tcW w:w="1529"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kern w:val="0"/>
                <w:sz w:val="24"/>
                <w:szCs w:val="20"/>
              </w:rPr>
            </w:pPr>
            <w:r>
              <w:rPr>
                <w:rFonts w:hint="eastAsia" w:ascii="Calibri" w:hAnsi="Calibri"/>
                <w:kern w:val="0"/>
                <w:sz w:val="24"/>
                <w:szCs w:val="20"/>
              </w:rPr>
              <w:t>7</w:t>
            </w:r>
          </w:p>
        </w:tc>
        <w:tc>
          <w:tcPr>
            <w:tcW w:w="4133" w:type="dxa"/>
            <w:vAlign w:val="top"/>
          </w:tcPr>
          <w:p>
            <w:pPr>
              <w:rPr>
                <w:rFonts w:ascii="Calibri" w:hAnsi="Calibri"/>
                <w:kern w:val="0"/>
                <w:sz w:val="24"/>
                <w:szCs w:val="20"/>
              </w:rPr>
            </w:pPr>
          </w:p>
        </w:tc>
        <w:tc>
          <w:tcPr>
            <w:tcW w:w="1255" w:type="dxa"/>
            <w:vAlign w:val="top"/>
          </w:tcPr>
          <w:p>
            <w:pPr>
              <w:jc w:val="left"/>
              <w:rPr>
                <w:rFonts w:ascii="Calibri" w:hAnsi="Calibri"/>
                <w:kern w:val="0"/>
                <w:sz w:val="24"/>
                <w:szCs w:val="20"/>
              </w:rPr>
            </w:pPr>
          </w:p>
        </w:tc>
        <w:tc>
          <w:tcPr>
            <w:tcW w:w="1088" w:type="dxa"/>
            <w:vAlign w:val="top"/>
          </w:tcPr>
          <w:p>
            <w:pPr>
              <w:jc w:val="left"/>
              <w:rPr>
                <w:rFonts w:ascii="Calibri" w:hAnsi="Calibri"/>
                <w:kern w:val="0"/>
                <w:sz w:val="24"/>
                <w:szCs w:val="20"/>
              </w:rPr>
            </w:pPr>
          </w:p>
        </w:tc>
        <w:tc>
          <w:tcPr>
            <w:tcW w:w="1529"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kern w:val="0"/>
                <w:sz w:val="24"/>
                <w:szCs w:val="20"/>
              </w:rPr>
            </w:pPr>
            <w:r>
              <w:rPr>
                <w:rFonts w:hint="eastAsia" w:ascii="Calibri" w:hAnsi="Calibri"/>
                <w:kern w:val="0"/>
                <w:sz w:val="24"/>
                <w:szCs w:val="20"/>
              </w:rPr>
              <w:t>8</w:t>
            </w:r>
          </w:p>
        </w:tc>
        <w:tc>
          <w:tcPr>
            <w:tcW w:w="4133" w:type="dxa"/>
            <w:vAlign w:val="top"/>
          </w:tcPr>
          <w:p>
            <w:pPr>
              <w:rPr>
                <w:rFonts w:ascii="Calibri" w:hAnsi="Calibri"/>
                <w:kern w:val="0"/>
                <w:sz w:val="24"/>
                <w:szCs w:val="20"/>
              </w:rPr>
            </w:pPr>
          </w:p>
        </w:tc>
        <w:tc>
          <w:tcPr>
            <w:tcW w:w="1255" w:type="dxa"/>
            <w:vAlign w:val="top"/>
          </w:tcPr>
          <w:p>
            <w:pPr>
              <w:jc w:val="center"/>
              <w:rPr>
                <w:rFonts w:ascii="Calibri" w:hAnsi="Calibri"/>
                <w:kern w:val="0"/>
                <w:sz w:val="24"/>
                <w:szCs w:val="20"/>
              </w:rPr>
            </w:pPr>
          </w:p>
        </w:tc>
        <w:tc>
          <w:tcPr>
            <w:tcW w:w="1088" w:type="dxa"/>
            <w:vAlign w:val="top"/>
          </w:tcPr>
          <w:p>
            <w:pPr>
              <w:jc w:val="center"/>
              <w:rPr>
                <w:rFonts w:ascii="Calibri" w:hAnsi="Calibri"/>
                <w:kern w:val="0"/>
                <w:sz w:val="24"/>
                <w:szCs w:val="20"/>
              </w:rPr>
            </w:pPr>
          </w:p>
        </w:tc>
        <w:tc>
          <w:tcPr>
            <w:tcW w:w="1529"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kern w:val="0"/>
                <w:sz w:val="24"/>
                <w:szCs w:val="20"/>
              </w:rPr>
            </w:pPr>
            <w:r>
              <w:rPr>
                <w:rFonts w:hint="eastAsia" w:ascii="Calibri" w:hAnsi="Calibri"/>
                <w:kern w:val="0"/>
                <w:sz w:val="24"/>
                <w:szCs w:val="20"/>
              </w:rPr>
              <w:t>9</w:t>
            </w:r>
          </w:p>
        </w:tc>
        <w:tc>
          <w:tcPr>
            <w:tcW w:w="4133" w:type="dxa"/>
            <w:vAlign w:val="top"/>
          </w:tcPr>
          <w:p>
            <w:pPr>
              <w:rPr>
                <w:rFonts w:ascii="Calibri" w:hAnsi="Calibri"/>
                <w:kern w:val="0"/>
                <w:sz w:val="24"/>
                <w:szCs w:val="20"/>
              </w:rPr>
            </w:pPr>
          </w:p>
        </w:tc>
        <w:tc>
          <w:tcPr>
            <w:tcW w:w="1255" w:type="dxa"/>
            <w:vAlign w:val="top"/>
          </w:tcPr>
          <w:p>
            <w:pPr>
              <w:jc w:val="center"/>
              <w:rPr>
                <w:rFonts w:ascii="Calibri" w:hAnsi="Calibri"/>
                <w:kern w:val="0"/>
                <w:sz w:val="24"/>
                <w:szCs w:val="20"/>
              </w:rPr>
            </w:pPr>
          </w:p>
        </w:tc>
        <w:tc>
          <w:tcPr>
            <w:tcW w:w="1088" w:type="dxa"/>
            <w:vAlign w:val="top"/>
          </w:tcPr>
          <w:p>
            <w:pPr>
              <w:jc w:val="center"/>
              <w:rPr>
                <w:rFonts w:ascii="Calibri" w:hAnsi="Calibri"/>
                <w:kern w:val="0"/>
                <w:sz w:val="24"/>
                <w:szCs w:val="20"/>
              </w:rPr>
            </w:pPr>
          </w:p>
        </w:tc>
        <w:tc>
          <w:tcPr>
            <w:tcW w:w="1529"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kern w:val="0"/>
                <w:sz w:val="24"/>
                <w:szCs w:val="20"/>
              </w:rPr>
            </w:pPr>
            <w:r>
              <w:rPr>
                <w:rFonts w:ascii="Calibri" w:hAnsi="Calibri"/>
                <w:kern w:val="0"/>
                <w:sz w:val="24"/>
                <w:szCs w:val="20"/>
              </w:rPr>
              <w:t>…</w:t>
            </w:r>
          </w:p>
        </w:tc>
        <w:tc>
          <w:tcPr>
            <w:tcW w:w="4133" w:type="dxa"/>
            <w:vAlign w:val="top"/>
          </w:tcPr>
          <w:p>
            <w:pPr>
              <w:rPr>
                <w:rFonts w:ascii="Calibri" w:hAnsi="Calibri"/>
                <w:kern w:val="0"/>
                <w:sz w:val="24"/>
                <w:szCs w:val="20"/>
              </w:rPr>
            </w:pPr>
          </w:p>
        </w:tc>
        <w:tc>
          <w:tcPr>
            <w:tcW w:w="1255" w:type="dxa"/>
            <w:vAlign w:val="top"/>
          </w:tcPr>
          <w:p>
            <w:pPr>
              <w:jc w:val="center"/>
              <w:rPr>
                <w:rFonts w:ascii="Calibri" w:hAnsi="Calibri"/>
                <w:kern w:val="0"/>
                <w:sz w:val="24"/>
                <w:szCs w:val="20"/>
              </w:rPr>
            </w:pPr>
          </w:p>
        </w:tc>
        <w:tc>
          <w:tcPr>
            <w:tcW w:w="1088" w:type="dxa"/>
            <w:vAlign w:val="top"/>
          </w:tcPr>
          <w:p>
            <w:pPr>
              <w:jc w:val="center"/>
              <w:rPr>
                <w:rFonts w:ascii="Calibri" w:hAnsi="Calibri"/>
                <w:kern w:val="0"/>
                <w:sz w:val="24"/>
                <w:szCs w:val="20"/>
              </w:rPr>
            </w:pPr>
          </w:p>
        </w:tc>
        <w:tc>
          <w:tcPr>
            <w:tcW w:w="1529"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4585" w:type="dxa"/>
            <w:gridSpan w:val="2"/>
            <w:vAlign w:val="center"/>
          </w:tcPr>
          <w:p>
            <w:pPr>
              <w:rPr>
                <w:rFonts w:ascii="Calibri" w:hAnsi="Calibri"/>
                <w:kern w:val="0"/>
                <w:sz w:val="24"/>
                <w:szCs w:val="20"/>
              </w:rPr>
            </w:pPr>
            <w:r>
              <w:rPr>
                <w:rFonts w:hint="eastAsia" w:ascii="Calibri" w:hAnsi="Calibri"/>
                <w:kern w:val="0"/>
                <w:sz w:val="24"/>
                <w:szCs w:val="20"/>
              </w:rPr>
              <w:t>自评结论</w:t>
            </w:r>
          </w:p>
        </w:tc>
        <w:tc>
          <w:tcPr>
            <w:tcW w:w="1255" w:type="dxa"/>
            <w:vAlign w:val="top"/>
          </w:tcPr>
          <w:p>
            <w:pPr>
              <w:jc w:val="center"/>
              <w:rPr>
                <w:rFonts w:ascii="Calibri" w:hAnsi="Calibri"/>
                <w:kern w:val="0"/>
                <w:sz w:val="24"/>
                <w:szCs w:val="20"/>
              </w:rPr>
            </w:pPr>
          </w:p>
        </w:tc>
        <w:tc>
          <w:tcPr>
            <w:tcW w:w="1088" w:type="dxa"/>
            <w:vAlign w:val="top"/>
          </w:tcPr>
          <w:p>
            <w:pPr>
              <w:jc w:val="center"/>
              <w:rPr>
                <w:rFonts w:ascii="Calibri" w:hAnsi="Calibri"/>
                <w:kern w:val="0"/>
                <w:sz w:val="24"/>
                <w:szCs w:val="20"/>
              </w:rPr>
            </w:pPr>
          </w:p>
        </w:tc>
        <w:tc>
          <w:tcPr>
            <w:tcW w:w="1529" w:type="dxa"/>
            <w:vAlign w:val="center"/>
          </w:tcPr>
          <w:p>
            <w:pPr>
              <w:jc w:val="center"/>
              <w:rPr>
                <w:rFonts w:ascii="Calibri" w:hAnsi="Calibri"/>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r>
        <w:rPr>
          <w:rFonts w:hint="eastAsia"/>
          <w:sz w:val="24"/>
        </w:rPr>
        <w:t>（如有）</w:t>
      </w:r>
    </w:p>
    <w:p>
      <w:pPr>
        <w:spacing w:line="440" w:lineRule="exact"/>
        <w:ind w:left="560" w:leftChars="200"/>
        <w:rPr>
          <w:sz w:val="24"/>
        </w:rPr>
      </w:pPr>
      <w:r>
        <w:rPr>
          <w:sz w:val="24"/>
        </w:rPr>
        <w:t>2. 应对照</w:t>
      </w:r>
      <w:r>
        <w:rPr>
          <w:rFonts w:hint="eastAsia"/>
          <w:sz w:val="24"/>
        </w:rPr>
        <w:t>磋商</w:t>
      </w:r>
      <w:r>
        <w:rPr>
          <w:sz w:val="24"/>
        </w:rPr>
        <w:t>文件的要求，逐条说明所提供</w:t>
      </w:r>
      <w:r>
        <w:rPr>
          <w:rFonts w:hint="eastAsia"/>
          <w:sz w:val="24"/>
        </w:rPr>
        <w:t>资格证明文件</w:t>
      </w:r>
      <w:r>
        <w:rPr>
          <w:sz w:val="24"/>
        </w:rPr>
        <w:t>已对</w:t>
      </w:r>
      <w:r>
        <w:rPr>
          <w:rFonts w:hint="eastAsia"/>
          <w:sz w:val="24"/>
        </w:rPr>
        <w:t>磋商</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。如果仅注明“符合”、“满足”，将导致响应文件无效。</w:t>
      </w:r>
    </w:p>
    <w:p>
      <w:pPr>
        <w:spacing w:line="440" w:lineRule="exact"/>
        <w:ind w:left="560" w:leftChars="200"/>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4"/>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磋商文件要求部分</w:t>
            </w:r>
          </w:p>
        </w:tc>
        <w:tc>
          <w:tcPr>
            <w:tcW w:w="2269" w:type="dxa"/>
            <w:vAlign w:val="center"/>
          </w:tcPr>
          <w:p>
            <w:pPr>
              <w:ind w:leftChars="-38" w:right="-106" w:rightChars="-38" w:hanging="106"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r>
        <w:rPr>
          <w:rFonts w:hint="eastAsia"/>
          <w:sz w:val="24"/>
        </w:rPr>
        <w:t>（如有）</w:t>
      </w:r>
    </w:p>
    <w:p>
      <w:pPr>
        <w:spacing w:line="300" w:lineRule="auto"/>
        <w:ind w:firstLine="480" w:firstLineChars="200"/>
        <w:rPr>
          <w:rFonts w:ascii="宋体" w:hAnsi="宋体"/>
          <w:sz w:val="24"/>
        </w:rPr>
      </w:pPr>
      <w:r>
        <w:rPr>
          <w:sz w:val="24"/>
        </w:rPr>
        <w:t>2. 应对照</w:t>
      </w:r>
      <w:r>
        <w:rPr>
          <w:rFonts w:hint="eastAsia"/>
          <w:sz w:val="24"/>
        </w:rPr>
        <w:t>磋商</w:t>
      </w:r>
      <w:r>
        <w:rPr>
          <w:sz w:val="24"/>
        </w:rPr>
        <w:t>文件的要求，逐条说明所提供</w:t>
      </w:r>
      <w:r>
        <w:rPr>
          <w:rFonts w:hint="eastAsia"/>
          <w:sz w:val="24"/>
        </w:rPr>
        <w:t>技术文件</w:t>
      </w:r>
      <w:r>
        <w:rPr>
          <w:sz w:val="24"/>
        </w:rPr>
        <w:t>已对</w:t>
      </w:r>
      <w:r>
        <w:rPr>
          <w:rFonts w:hint="eastAsia"/>
          <w:sz w:val="24"/>
        </w:rPr>
        <w:t>磋商</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。特别对有具体数量要求的指标，供应商必须提供具体数值。如果仅注明“符合”、“满足”，将导致响应文件无效。</w:t>
      </w:r>
    </w:p>
    <w:p>
      <w:pPr>
        <w:rPr>
          <w:bCs/>
          <w:szCs w:val="28"/>
        </w:rPr>
      </w:pPr>
    </w:p>
    <w:p>
      <w:pPr>
        <w:pStyle w:val="20"/>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20"/>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4"/>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磋商文件要求部分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3"/>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磋商</w:t>
      </w:r>
      <w:r>
        <w:rPr>
          <w:sz w:val="24"/>
        </w:rPr>
        <w:t>文件的要求，逐条说明所提供服务已对</w:t>
      </w:r>
      <w:r>
        <w:rPr>
          <w:rFonts w:hint="eastAsia"/>
          <w:sz w:val="24"/>
        </w:rPr>
        <w:t>磋商</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20"/>
        <w:spacing w:line="500" w:lineRule="exact"/>
        <w:rPr>
          <w:rFonts w:ascii="Times New Roman" w:hAnsi="Times New Roman" w:cs="Times New Roman"/>
          <w:sz w:val="24"/>
          <w:szCs w:val="24"/>
        </w:rPr>
      </w:pPr>
    </w:p>
    <w:p>
      <w:pPr>
        <w:rPr>
          <w:bCs/>
          <w:sz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156" w:beforeLines="50" w:after="312" w:afterLines="100"/>
        <w:rPr>
          <w:bCs/>
          <w:sz w:val="24"/>
        </w:rPr>
      </w:pPr>
    </w:p>
    <w:p>
      <w:pPr>
        <w:spacing w:before="156" w:beforeLines="50" w:after="312"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（磋商供应商名称）</w:t>
      </w:r>
      <w:r>
        <w:rPr>
          <w:bCs/>
          <w:sz w:val="24"/>
        </w:rPr>
        <w:t>在下面签字的（</w:t>
      </w:r>
      <w:r>
        <w:rPr>
          <w:bCs/>
          <w:sz w:val="24"/>
          <w:u w:val="single"/>
        </w:rPr>
        <w:t>法定代表人姓名、职务</w:t>
      </w:r>
      <w:r>
        <w:rPr>
          <w:bCs/>
          <w:sz w:val="24"/>
        </w:rPr>
        <w:t>）代表本公司授权</w:t>
      </w:r>
      <w:r>
        <w:rPr>
          <w:rFonts w:hint="eastAsia"/>
          <w:bCs/>
          <w:sz w:val="24"/>
        </w:rPr>
        <w:t xml:space="preserve">                   </w:t>
      </w:r>
      <w:r>
        <w:rPr>
          <w:bCs/>
          <w:sz w:val="24"/>
        </w:rPr>
        <w:t>（供应商名称）的下面签字的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）的磋商，以本公司的名义处理一切与之有关的事务。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w:t>
      </w:r>
    </w:p>
    <w:p>
      <w:pPr>
        <w:spacing w:before="156" w:beforeLines="50" w:after="312" w:afterLines="100"/>
        <w:rPr>
          <w:bCs/>
          <w:sz w:val="24"/>
          <w:u w:val="single"/>
        </w:rPr>
      </w:pPr>
    </w:p>
    <w:tbl>
      <w:tblPr>
        <w:tblStyle w:val="34"/>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156" w:beforeLines="50" w:after="312" w:afterLines="100"/>
              <w:rPr>
                <w:bCs/>
                <w:sz w:val="24"/>
              </w:rPr>
            </w:pPr>
            <w:r>
              <w:rPr>
                <w:bCs/>
                <w:sz w:val="24"/>
              </w:rPr>
              <w:t>粘贴被授权人身份证（复印件）</w:t>
            </w:r>
          </w:p>
        </w:tc>
      </w:tr>
    </w:tbl>
    <w:p>
      <w:pPr>
        <w:spacing w:before="156" w:beforeLines="50" w:after="312" w:afterLines="100"/>
        <w:rPr>
          <w:bCs/>
          <w:sz w:val="24"/>
        </w:rPr>
      </w:pPr>
    </w:p>
    <w:p>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bCs/>
          <w:sz w:val="24"/>
        </w:rPr>
      </w:pPr>
      <w:r>
        <w:rPr>
          <w:rFonts w:hint="eastAsia" w:ascii="宋体" w:hAnsi="宋体"/>
          <w:bCs/>
          <w:sz w:val="24"/>
        </w:rPr>
        <w:t>（提供履行合同所必需的设备和专业技术能力的声明）</w:t>
      </w:r>
    </w:p>
    <w:p>
      <w:pPr>
        <w:widowControl/>
        <w:jc w:val="left"/>
        <w:rPr>
          <w:sz w:val="24"/>
        </w:rPr>
      </w:pPr>
      <w:r>
        <w:rPr>
          <w:sz w:val="24"/>
        </w:rPr>
        <w:br w:type="page"/>
      </w:r>
    </w:p>
    <w:p>
      <w:pPr>
        <w:pStyle w:val="4"/>
        <w:spacing w:before="240" w:after="120"/>
        <w:jc w:val="center"/>
      </w:pPr>
      <w:r>
        <w:rPr>
          <w:rFonts w:ascii="仿宋" w:hAnsi="仿宋"/>
          <w:sz w:val="32"/>
          <w:szCs w:val="32"/>
          <w:highlight w:val="lightGray"/>
        </w:rPr>
        <w:t>第六章</w:t>
      </w:r>
      <w:r>
        <w:rPr>
          <w:rFonts w:hint="eastAsia" w:ascii="仿宋" w:hAnsi="仿宋"/>
          <w:sz w:val="32"/>
          <w:szCs w:val="32"/>
        </w:rPr>
        <w:t xml:space="preserve"> 资格条件承诺函</w:t>
      </w:r>
    </w:p>
    <w:p>
      <w:pPr>
        <w:spacing w:line="360" w:lineRule="auto"/>
        <w:ind w:firstLine="240" w:firstLineChars="100"/>
        <w:rPr>
          <w:sz w:val="24"/>
        </w:rPr>
      </w:pPr>
      <w:r>
        <w:rPr>
          <w:rFonts w:hint="eastAsia"/>
          <w:sz w:val="24"/>
        </w:rPr>
        <w:t>我单位满足《中华人民共和国政府采购法》第二十二条、《中华人民共和国政府采购法实施条例》第十八条的规定：</w:t>
      </w:r>
    </w:p>
    <w:p>
      <w:pPr>
        <w:spacing w:line="360" w:lineRule="auto"/>
        <w:rPr>
          <w:sz w:val="24"/>
        </w:rPr>
      </w:pPr>
      <w:r>
        <w:rPr>
          <w:rFonts w:hint="eastAsia"/>
          <w:sz w:val="24"/>
        </w:rPr>
        <w:t>（一）具有独立承担民事责任的能力；</w:t>
      </w:r>
    </w:p>
    <w:p>
      <w:pPr>
        <w:spacing w:line="360" w:lineRule="auto"/>
        <w:rPr>
          <w:sz w:val="24"/>
        </w:rPr>
      </w:pPr>
      <w:r>
        <w:rPr>
          <w:rFonts w:hint="eastAsia"/>
          <w:sz w:val="24"/>
        </w:rPr>
        <w:t>（二）具有良好的商业信誉和健全的财务会计制度；</w:t>
      </w:r>
    </w:p>
    <w:p>
      <w:pPr>
        <w:spacing w:line="360" w:lineRule="auto"/>
        <w:rPr>
          <w:sz w:val="24"/>
        </w:rPr>
      </w:pPr>
      <w:r>
        <w:rPr>
          <w:rFonts w:hint="eastAsia"/>
          <w:sz w:val="24"/>
        </w:rPr>
        <w:t>（三）具有履行合同所必需的设备和专业技术能力；</w:t>
      </w:r>
    </w:p>
    <w:p>
      <w:pPr>
        <w:spacing w:line="360" w:lineRule="auto"/>
        <w:rPr>
          <w:sz w:val="24"/>
        </w:rPr>
      </w:pPr>
      <w:r>
        <w:rPr>
          <w:rFonts w:hint="eastAsia"/>
          <w:sz w:val="24"/>
        </w:rPr>
        <w:t>（四）有依法缴纳税收和社会保障资金的良好记录且无纳税、社保的失信记录；</w:t>
      </w:r>
    </w:p>
    <w:p>
      <w:pPr>
        <w:spacing w:line="360" w:lineRule="auto"/>
        <w:rPr>
          <w:sz w:val="24"/>
        </w:rPr>
      </w:pPr>
      <w:r>
        <w:rPr>
          <w:rFonts w:hint="eastAsia"/>
          <w:sz w:val="24"/>
        </w:rPr>
        <w:t>（五）参加政府采购活动前三年内，在经营活动中没有重大违法记录；</w:t>
      </w:r>
    </w:p>
    <w:p>
      <w:pPr>
        <w:spacing w:line="360" w:lineRule="auto"/>
        <w:rPr>
          <w:sz w:val="24"/>
        </w:rPr>
      </w:pPr>
      <w:r>
        <w:rPr>
          <w:rFonts w:hint="eastAsia"/>
          <w:sz w:val="24"/>
        </w:rPr>
        <w:t>（六）与其他参加该项目同一合同项下政府采购的供应商负责人不是同一人，且与其他参加该项目同一合同项下政府采购的供应商不存在直接控股关系或管理关系；未参与该项目的整体设计、规范编制或者项目管理、监理、检测等服务。</w:t>
      </w:r>
    </w:p>
    <w:p>
      <w:pPr>
        <w:spacing w:line="360" w:lineRule="auto"/>
        <w:rPr>
          <w:sz w:val="24"/>
        </w:rPr>
      </w:pPr>
      <w:r>
        <w:rPr>
          <w:rFonts w:hint="eastAsia"/>
          <w:sz w:val="24"/>
        </w:rPr>
        <w:t>（七）法律、行政法规规定的其他条件。</w:t>
      </w:r>
    </w:p>
    <w:p>
      <w:pPr>
        <w:spacing w:line="360" w:lineRule="auto"/>
        <w:ind w:firstLine="480" w:firstLineChars="200"/>
        <w:rPr>
          <w:sz w:val="24"/>
        </w:rPr>
      </w:pPr>
      <w:r>
        <w:rPr>
          <w:rFonts w:hint="eastAsia"/>
          <w:sz w:val="24"/>
        </w:rPr>
        <w:t>若有虚假，一经查实，我单位承担一切责任，并承担由此造成的一切损失。</w:t>
      </w:r>
    </w:p>
    <w:p>
      <w:pPr>
        <w:spacing w:line="360" w:lineRule="auto"/>
        <w:rPr>
          <w:sz w:val="24"/>
        </w:rPr>
      </w:pPr>
      <w:r>
        <w:rPr>
          <w:rFonts w:hint="eastAsia"/>
          <w:sz w:val="24"/>
        </w:rPr>
        <w:t>特此承诺。</w:t>
      </w:r>
    </w:p>
    <w:p>
      <w:pPr>
        <w:spacing w:line="360" w:lineRule="auto"/>
        <w:rPr>
          <w:sz w:val="24"/>
        </w:rPr>
      </w:pPr>
      <w:r>
        <w:rPr>
          <w:rFonts w:hint="eastAsia"/>
          <w:sz w:val="24"/>
        </w:rPr>
        <w:t xml:space="preserve">采 购 人：                            </w:t>
      </w:r>
    </w:p>
    <w:p>
      <w:pPr>
        <w:spacing w:line="360" w:lineRule="auto"/>
        <w:rPr>
          <w:sz w:val="24"/>
        </w:rPr>
      </w:pPr>
      <w:r>
        <w:rPr>
          <w:rFonts w:hint="eastAsia"/>
          <w:sz w:val="24"/>
        </w:rPr>
        <w:t xml:space="preserve">项目名称：                            </w:t>
      </w:r>
    </w:p>
    <w:p>
      <w:pPr>
        <w:spacing w:line="360" w:lineRule="auto"/>
        <w:rPr>
          <w:sz w:val="24"/>
        </w:rPr>
      </w:pPr>
      <w:r>
        <w:rPr>
          <w:rFonts w:hint="eastAsia"/>
          <w:sz w:val="24"/>
        </w:rPr>
        <w:t xml:space="preserve">项目编号：                                                   </w:t>
      </w:r>
    </w:p>
    <w:p>
      <w:pPr>
        <w:spacing w:line="360" w:lineRule="auto"/>
        <w:rPr>
          <w:sz w:val="24"/>
        </w:rPr>
      </w:pPr>
    </w:p>
    <w:p>
      <w:pPr>
        <w:spacing w:line="360" w:lineRule="auto"/>
        <w:rPr>
          <w:sz w:val="24"/>
        </w:rPr>
      </w:pPr>
      <w:r>
        <w:rPr>
          <w:rFonts w:hint="eastAsia"/>
          <w:sz w:val="24"/>
        </w:rPr>
        <w:t xml:space="preserve">供应商（公章）：                           </w:t>
      </w:r>
    </w:p>
    <w:p>
      <w:pPr>
        <w:spacing w:line="360" w:lineRule="auto"/>
        <w:rPr>
          <w:sz w:val="24"/>
        </w:rPr>
      </w:pPr>
      <w:r>
        <w:rPr>
          <w:rFonts w:hint="eastAsia"/>
          <w:sz w:val="24"/>
        </w:rPr>
        <w:t xml:space="preserve">法定代表人（签字或盖章）：     </w:t>
      </w:r>
    </w:p>
    <w:p>
      <w:pPr>
        <w:spacing w:line="360" w:lineRule="auto"/>
        <w:rPr>
          <w:sz w:val="24"/>
        </w:rPr>
      </w:pPr>
      <w:r>
        <w:rPr>
          <w:rFonts w:hint="eastAsia"/>
          <w:sz w:val="24"/>
        </w:rPr>
        <w:t xml:space="preserve">              </w:t>
      </w:r>
    </w:p>
    <w:p>
      <w:pPr>
        <w:spacing w:line="360" w:lineRule="auto"/>
        <w:rPr>
          <w:sz w:val="24"/>
        </w:rPr>
      </w:pPr>
      <w:r>
        <w:rPr>
          <w:rFonts w:hint="eastAsia"/>
          <w:sz w:val="24"/>
        </w:rPr>
        <w:t xml:space="preserve">                   日     期：     年   月   日</w:t>
      </w:r>
    </w:p>
    <w:sectPr>
      <w:headerReference r:id="rId8" w:type="default"/>
      <w:footerReference r:id="rId9" w:type="default"/>
      <w:footerReference r:id="rId10"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Noto Sans Mono CJK JP Regular">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jc w:val="center"/>
    </w:pPr>
    <w:r>
      <w:fldChar w:fldCharType="begin"/>
    </w:r>
    <w:r>
      <w:instrText xml:space="preserve">PAGE   \* MERGEFORMAT</w:instrText>
    </w:r>
    <w:r>
      <w:fldChar w:fldCharType="separate"/>
    </w:r>
    <w:r>
      <w:rPr>
        <w:lang w:val="zh-CN"/>
      </w:rPr>
      <w:t>4</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framePr w:wrap="around" w:vAnchor="text" w:hAnchor="margin" w:xAlign="right" w:y="1"/>
      <w:rPr>
        <w:rStyle w:val="30"/>
      </w:rPr>
    </w:pPr>
    <w:r>
      <w:fldChar w:fldCharType="begin"/>
    </w:r>
    <w:r>
      <w:rPr>
        <w:rStyle w:val="30"/>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83337945">
    <w:nsid w:val="22C507D9"/>
    <w:multiLevelType w:val="multilevel"/>
    <w:tmpl w:val="22C507D9"/>
    <w:lvl w:ilvl="0" w:tentative="1">
      <w:start w:val="1"/>
      <w:numFmt w:val="decimal"/>
      <w:lvlText w:val="（%1）"/>
      <w:lvlJc w:val="left"/>
      <w:pPr>
        <w:ind w:left="704" w:hanging="420"/>
      </w:pPr>
      <w:rPr>
        <w:rFonts w:hint="eastAsia"/>
      </w:rPr>
    </w:lvl>
    <w:lvl w:ilvl="1" w:tentative="1">
      <w:start w:val="1"/>
      <w:numFmt w:val="lowerLetter"/>
      <w:lvlText w:val="%2)"/>
      <w:lvlJc w:val="left"/>
      <w:pPr>
        <w:ind w:left="1124" w:hanging="420"/>
      </w:pPr>
    </w:lvl>
    <w:lvl w:ilvl="2" w:tentative="1">
      <w:start w:val="1"/>
      <w:numFmt w:val="lowerRoman"/>
      <w:lvlText w:val="%3."/>
      <w:lvlJc w:val="right"/>
      <w:pPr>
        <w:ind w:left="1544" w:hanging="420"/>
      </w:pPr>
    </w:lvl>
    <w:lvl w:ilvl="3" w:tentative="1">
      <w:start w:val="1"/>
      <w:numFmt w:val="decimal"/>
      <w:lvlText w:val="%4."/>
      <w:lvlJc w:val="left"/>
      <w:pPr>
        <w:ind w:left="1964" w:hanging="420"/>
      </w:pPr>
    </w:lvl>
    <w:lvl w:ilvl="4" w:tentative="1">
      <w:start w:val="1"/>
      <w:numFmt w:val="lowerLetter"/>
      <w:lvlText w:val="%5)"/>
      <w:lvlJc w:val="left"/>
      <w:pPr>
        <w:ind w:left="2384" w:hanging="420"/>
      </w:pPr>
    </w:lvl>
    <w:lvl w:ilvl="5" w:tentative="1">
      <w:start w:val="1"/>
      <w:numFmt w:val="lowerRoman"/>
      <w:lvlText w:val="%6."/>
      <w:lvlJc w:val="right"/>
      <w:pPr>
        <w:ind w:left="2804" w:hanging="420"/>
      </w:pPr>
    </w:lvl>
    <w:lvl w:ilvl="6" w:tentative="1">
      <w:start w:val="1"/>
      <w:numFmt w:val="decimal"/>
      <w:lvlText w:val="%7."/>
      <w:lvlJc w:val="left"/>
      <w:pPr>
        <w:ind w:left="3224" w:hanging="420"/>
      </w:pPr>
    </w:lvl>
    <w:lvl w:ilvl="7" w:tentative="1">
      <w:start w:val="1"/>
      <w:numFmt w:val="lowerLetter"/>
      <w:lvlText w:val="%8)"/>
      <w:lvlJc w:val="left"/>
      <w:pPr>
        <w:ind w:left="3644" w:hanging="420"/>
      </w:pPr>
    </w:lvl>
    <w:lvl w:ilvl="8" w:tentative="1">
      <w:start w:val="1"/>
      <w:numFmt w:val="lowerRoman"/>
      <w:lvlText w:val="%9."/>
      <w:lvlJc w:val="right"/>
      <w:pPr>
        <w:ind w:left="4064" w:hanging="420"/>
      </w:pPr>
    </w:lvl>
  </w:abstractNum>
  <w:abstractNum w:abstractNumId="2592558396">
    <w:nsid w:val="9A874D3C"/>
    <w:multiLevelType w:val="singleLevel"/>
    <w:tmpl w:val="9A874D3C"/>
    <w:lvl w:ilvl="0" w:tentative="1">
      <w:start w:val="1"/>
      <w:numFmt w:val="decimal"/>
      <w:lvlText w:val="%1"/>
      <w:lvlJc w:val="left"/>
      <w:pPr>
        <w:tabs>
          <w:tab w:val="left" w:pos="420"/>
        </w:tabs>
        <w:ind w:left="425" w:hanging="425"/>
      </w:pPr>
      <w:rPr>
        <w:rFonts w:hint="default"/>
      </w:rPr>
    </w:lvl>
  </w:abstractNum>
  <w:abstractNum w:abstractNumId="1007750622">
    <w:nsid w:val="3C110DDE"/>
    <w:multiLevelType w:val="multilevel"/>
    <w:tmpl w:val="3C110DDE"/>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70484378">
    <w:nsid w:val="45C42C9A"/>
    <w:multiLevelType w:val="multilevel"/>
    <w:tmpl w:val="45C42C9A"/>
    <w:lvl w:ilvl="0" w:tentative="1">
      <w:start w:val="1"/>
      <w:numFmt w:val="decimal"/>
      <w:lvlText w:val="%1"/>
      <w:lvlJc w:val="left"/>
      <w:pPr>
        <w:tabs>
          <w:tab w:val="left" w:pos="432"/>
        </w:tabs>
        <w:ind w:left="432" w:hanging="432"/>
      </w:pPr>
    </w:lvl>
    <w:lvl w:ilvl="1" w:tentative="1">
      <w:start w:val="1"/>
      <w:numFmt w:val="decimal"/>
      <w:lvlText w:val="%1.%2"/>
      <w:lvlJc w:val="left"/>
      <w:pPr>
        <w:tabs>
          <w:tab w:val="left" w:pos="576"/>
        </w:tabs>
        <w:ind w:left="576" w:hanging="576"/>
      </w:pPr>
    </w:lvl>
    <w:lvl w:ilvl="2" w:tentative="1">
      <w:start w:val="1"/>
      <w:numFmt w:val="decimal"/>
      <w:pStyle w:val="6"/>
      <w:lvlText w:val="%1.%2.%3"/>
      <w:lvlJc w:val="left"/>
      <w:pPr>
        <w:tabs>
          <w:tab w:val="left" w:pos="1260"/>
        </w:tabs>
        <w:ind w:left="1260" w:hanging="720"/>
      </w:pPr>
    </w:lvl>
    <w:lvl w:ilvl="3" w:tentative="1">
      <w:start w:val="1"/>
      <w:numFmt w:val="decimal"/>
      <w:lvlText w:val="%1.%2.%3.%4"/>
      <w:lvlJc w:val="left"/>
      <w:pPr>
        <w:tabs>
          <w:tab w:val="left" w:pos="864"/>
        </w:tabs>
        <w:ind w:left="864" w:hanging="864"/>
      </w:pPr>
    </w:lvl>
    <w:lvl w:ilvl="4" w:tentative="1">
      <w:start w:val="1"/>
      <w:numFmt w:val="decimal"/>
      <w:lvlText w:val="%1.%2.%3.%4.%5"/>
      <w:lvlJc w:val="left"/>
      <w:pPr>
        <w:tabs>
          <w:tab w:val="left" w:pos="1008"/>
        </w:tabs>
        <w:ind w:left="1008" w:hanging="1008"/>
      </w:pPr>
    </w:lvl>
    <w:lvl w:ilvl="5" w:tentative="1">
      <w:start w:val="1"/>
      <w:numFmt w:val="decimal"/>
      <w:lvlText w:val="%1.%2.%3.%4.%5.%6"/>
      <w:lvlJc w:val="left"/>
      <w:pPr>
        <w:tabs>
          <w:tab w:val="left" w:pos="1152"/>
        </w:tabs>
        <w:ind w:left="1152" w:hanging="1152"/>
      </w:pPr>
    </w:lvl>
    <w:lvl w:ilvl="6" w:tentative="1">
      <w:start w:val="1"/>
      <w:numFmt w:val="decimal"/>
      <w:lvlText w:val="%1.%2.%3.%4.%5.%6.%7"/>
      <w:lvlJc w:val="left"/>
      <w:pPr>
        <w:tabs>
          <w:tab w:val="left" w:pos="1296"/>
        </w:tabs>
        <w:ind w:left="1296" w:hanging="1296"/>
      </w:pPr>
    </w:lvl>
    <w:lvl w:ilvl="7" w:tentative="1">
      <w:start w:val="1"/>
      <w:numFmt w:val="decimal"/>
      <w:lvlText w:val="%1.%2.%3.%4.%5.%6.%7.%8"/>
      <w:lvlJc w:val="left"/>
      <w:pPr>
        <w:tabs>
          <w:tab w:val="left" w:pos="1440"/>
        </w:tabs>
        <w:ind w:left="1440" w:hanging="1440"/>
      </w:pPr>
    </w:lvl>
    <w:lvl w:ilvl="8" w:tentative="1">
      <w:start w:val="1"/>
      <w:numFmt w:val="decimal"/>
      <w:lvlText w:val="%1.%2.%3.%4.%5.%6.%7.%8.%9"/>
      <w:lvlJc w:val="left"/>
      <w:pPr>
        <w:tabs>
          <w:tab w:val="left" w:pos="1584"/>
        </w:tabs>
        <w:ind w:left="1584" w:hanging="1584"/>
      </w:pPr>
    </w:lvl>
  </w:abstractNum>
  <w:num w:numId="1">
    <w:abstractNumId w:val="1170484378"/>
  </w:num>
  <w:num w:numId="2">
    <w:abstractNumId w:val="583337945"/>
  </w:num>
  <w:num w:numId="3">
    <w:abstractNumId w:val="2592558396"/>
  </w:num>
  <w:num w:numId="4">
    <w:abstractNumId w:val="10077506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trackRevisions w:val="1"/>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VmODI2M2MyYmNlZjc5Y2U5OWNhYjgwZGY2YjE1MzMifQ=="/>
  </w:docVars>
  <w:rsids>
    <w:rsidRoot w:val="00B10CEE"/>
    <w:rsid w:val="00005FFD"/>
    <w:rsid w:val="00011C41"/>
    <w:rsid w:val="00014753"/>
    <w:rsid w:val="000177F1"/>
    <w:rsid w:val="0002385B"/>
    <w:rsid w:val="00024E1A"/>
    <w:rsid w:val="00026127"/>
    <w:rsid w:val="00027B5C"/>
    <w:rsid w:val="00031DDD"/>
    <w:rsid w:val="000320DE"/>
    <w:rsid w:val="00032919"/>
    <w:rsid w:val="0003616F"/>
    <w:rsid w:val="00037800"/>
    <w:rsid w:val="0004084C"/>
    <w:rsid w:val="00045C22"/>
    <w:rsid w:val="000500D9"/>
    <w:rsid w:val="00050568"/>
    <w:rsid w:val="000508A3"/>
    <w:rsid w:val="000553A8"/>
    <w:rsid w:val="00061FBF"/>
    <w:rsid w:val="000638D5"/>
    <w:rsid w:val="00063AD6"/>
    <w:rsid w:val="0007331D"/>
    <w:rsid w:val="00074DEC"/>
    <w:rsid w:val="000765C9"/>
    <w:rsid w:val="00076BD9"/>
    <w:rsid w:val="00077B03"/>
    <w:rsid w:val="000834C2"/>
    <w:rsid w:val="0009057C"/>
    <w:rsid w:val="00091293"/>
    <w:rsid w:val="00095A23"/>
    <w:rsid w:val="0009613E"/>
    <w:rsid w:val="000A3CC6"/>
    <w:rsid w:val="000A4F57"/>
    <w:rsid w:val="000A670B"/>
    <w:rsid w:val="000B284C"/>
    <w:rsid w:val="000B403F"/>
    <w:rsid w:val="000C2108"/>
    <w:rsid w:val="000C21EB"/>
    <w:rsid w:val="000C5B15"/>
    <w:rsid w:val="000D1869"/>
    <w:rsid w:val="000E161F"/>
    <w:rsid w:val="000E41DF"/>
    <w:rsid w:val="000F3592"/>
    <w:rsid w:val="000F5347"/>
    <w:rsid w:val="001014B4"/>
    <w:rsid w:val="001048F7"/>
    <w:rsid w:val="00105734"/>
    <w:rsid w:val="00107AFB"/>
    <w:rsid w:val="00112C42"/>
    <w:rsid w:val="001135E5"/>
    <w:rsid w:val="00117677"/>
    <w:rsid w:val="00120937"/>
    <w:rsid w:val="00133A4D"/>
    <w:rsid w:val="00137647"/>
    <w:rsid w:val="00137ED6"/>
    <w:rsid w:val="001444FE"/>
    <w:rsid w:val="001450F7"/>
    <w:rsid w:val="00147D7B"/>
    <w:rsid w:val="00155147"/>
    <w:rsid w:val="001655DB"/>
    <w:rsid w:val="001733E1"/>
    <w:rsid w:val="001749F0"/>
    <w:rsid w:val="001770E0"/>
    <w:rsid w:val="0018521F"/>
    <w:rsid w:val="0018673E"/>
    <w:rsid w:val="00187A58"/>
    <w:rsid w:val="0019030E"/>
    <w:rsid w:val="0019184E"/>
    <w:rsid w:val="001964EC"/>
    <w:rsid w:val="00196731"/>
    <w:rsid w:val="001A0A20"/>
    <w:rsid w:val="001A1783"/>
    <w:rsid w:val="001A7135"/>
    <w:rsid w:val="001B797A"/>
    <w:rsid w:val="001C2598"/>
    <w:rsid w:val="001C3B1B"/>
    <w:rsid w:val="001D06A7"/>
    <w:rsid w:val="001D52B3"/>
    <w:rsid w:val="001D5BAD"/>
    <w:rsid w:val="001E35A3"/>
    <w:rsid w:val="001E365D"/>
    <w:rsid w:val="001F0893"/>
    <w:rsid w:val="001F30EF"/>
    <w:rsid w:val="001F7336"/>
    <w:rsid w:val="00204D70"/>
    <w:rsid w:val="002055BA"/>
    <w:rsid w:val="00206EAC"/>
    <w:rsid w:val="00210735"/>
    <w:rsid w:val="00212A70"/>
    <w:rsid w:val="00212BB5"/>
    <w:rsid w:val="0022042B"/>
    <w:rsid w:val="00222B9D"/>
    <w:rsid w:val="00235530"/>
    <w:rsid w:val="00236ACA"/>
    <w:rsid w:val="00244A63"/>
    <w:rsid w:val="00246D03"/>
    <w:rsid w:val="00251BC6"/>
    <w:rsid w:val="002617B8"/>
    <w:rsid w:val="00265A59"/>
    <w:rsid w:val="00270F16"/>
    <w:rsid w:val="00271374"/>
    <w:rsid w:val="002719D9"/>
    <w:rsid w:val="00273A76"/>
    <w:rsid w:val="002839F8"/>
    <w:rsid w:val="00290C37"/>
    <w:rsid w:val="002A4A9F"/>
    <w:rsid w:val="002A5A29"/>
    <w:rsid w:val="002A6568"/>
    <w:rsid w:val="002B43FE"/>
    <w:rsid w:val="002B5291"/>
    <w:rsid w:val="002D1B9D"/>
    <w:rsid w:val="002E77B5"/>
    <w:rsid w:val="002F057F"/>
    <w:rsid w:val="002F22C6"/>
    <w:rsid w:val="002F2C4C"/>
    <w:rsid w:val="002F4450"/>
    <w:rsid w:val="00301514"/>
    <w:rsid w:val="003036A3"/>
    <w:rsid w:val="00304EC1"/>
    <w:rsid w:val="00306A03"/>
    <w:rsid w:val="0031276F"/>
    <w:rsid w:val="00313C31"/>
    <w:rsid w:val="00315079"/>
    <w:rsid w:val="00322166"/>
    <w:rsid w:val="003325EE"/>
    <w:rsid w:val="003329D9"/>
    <w:rsid w:val="0033742E"/>
    <w:rsid w:val="00342F2B"/>
    <w:rsid w:val="00343CD2"/>
    <w:rsid w:val="00345330"/>
    <w:rsid w:val="0034601D"/>
    <w:rsid w:val="00352077"/>
    <w:rsid w:val="00352811"/>
    <w:rsid w:val="00357F13"/>
    <w:rsid w:val="00362F58"/>
    <w:rsid w:val="00367552"/>
    <w:rsid w:val="00370D67"/>
    <w:rsid w:val="003737C0"/>
    <w:rsid w:val="003778E0"/>
    <w:rsid w:val="003A16BC"/>
    <w:rsid w:val="003A20FA"/>
    <w:rsid w:val="003A33A7"/>
    <w:rsid w:val="003A7A9A"/>
    <w:rsid w:val="003B041C"/>
    <w:rsid w:val="003B48C7"/>
    <w:rsid w:val="003B5756"/>
    <w:rsid w:val="003B7BF3"/>
    <w:rsid w:val="003C294B"/>
    <w:rsid w:val="003C4D79"/>
    <w:rsid w:val="003C5778"/>
    <w:rsid w:val="003C6C22"/>
    <w:rsid w:val="003D0CAB"/>
    <w:rsid w:val="003D133C"/>
    <w:rsid w:val="003D18C9"/>
    <w:rsid w:val="003D6B22"/>
    <w:rsid w:val="003D7196"/>
    <w:rsid w:val="003E2520"/>
    <w:rsid w:val="003E27E4"/>
    <w:rsid w:val="003E7729"/>
    <w:rsid w:val="003F12BA"/>
    <w:rsid w:val="003F50DE"/>
    <w:rsid w:val="004029C7"/>
    <w:rsid w:val="00402CEB"/>
    <w:rsid w:val="00405FE6"/>
    <w:rsid w:val="004121CD"/>
    <w:rsid w:val="00421FCE"/>
    <w:rsid w:val="00423696"/>
    <w:rsid w:val="00427193"/>
    <w:rsid w:val="00432073"/>
    <w:rsid w:val="00432F85"/>
    <w:rsid w:val="00433066"/>
    <w:rsid w:val="00433112"/>
    <w:rsid w:val="004506B6"/>
    <w:rsid w:val="004601AA"/>
    <w:rsid w:val="00461AA3"/>
    <w:rsid w:val="00461F19"/>
    <w:rsid w:val="00467A55"/>
    <w:rsid w:val="00471BD0"/>
    <w:rsid w:val="00473FC4"/>
    <w:rsid w:val="00477B7F"/>
    <w:rsid w:val="00482074"/>
    <w:rsid w:val="004832D0"/>
    <w:rsid w:val="004832ED"/>
    <w:rsid w:val="004845E2"/>
    <w:rsid w:val="00487B68"/>
    <w:rsid w:val="00491219"/>
    <w:rsid w:val="00491FEB"/>
    <w:rsid w:val="00493214"/>
    <w:rsid w:val="004A4C07"/>
    <w:rsid w:val="004B1581"/>
    <w:rsid w:val="004B30C5"/>
    <w:rsid w:val="004B6F6A"/>
    <w:rsid w:val="004B75EA"/>
    <w:rsid w:val="004C4C24"/>
    <w:rsid w:val="004C5FB0"/>
    <w:rsid w:val="004E01E8"/>
    <w:rsid w:val="004E0CD3"/>
    <w:rsid w:val="004F12D5"/>
    <w:rsid w:val="004F434D"/>
    <w:rsid w:val="004F5827"/>
    <w:rsid w:val="004F6151"/>
    <w:rsid w:val="00506857"/>
    <w:rsid w:val="00510FCD"/>
    <w:rsid w:val="00510FFD"/>
    <w:rsid w:val="00513C2B"/>
    <w:rsid w:val="00534683"/>
    <w:rsid w:val="005466BB"/>
    <w:rsid w:val="005467A8"/>
    <w:rsid w:val="00546F17"/>
    <w:rsid w:val="005517EC"/>
    <w:rsid w:val="00553914"/>
    <w:rsid w:val="005569C8"/>
    <w:rsid w:val="00560C50"/>
    <w:rsid w:val="00565074"/>
    <w:rsid w:val="00565346"/>
    <w:rsid w:val="00573399"/>
    <w:rsid w:val="005750E1"/>
    <w:rsid w:val="005777EA"/>
    <w:rsid w:val="00582A86"/>
    <w:rsid w:val="00584BF5"/>
    <w:rsid w:val="0058596B"/>
    <w:rsid w:val="0058757A"/>
    <w:rsid w:val="00590EBB"/>
    <w:rsid w:val="005A1D9A"/>
    <w:rsid w:val="005A3ED1"/>
    <w:rsid w:val="005B5AF8"/>
    <w:rsid w:val="005B5EBA"/>
    <w:rsid w:val="005C5EEA"/>
    <w:rsid w:val="005D0A3B"/>
    <w:rsid w:val="005D132B"/>
    <w:rsid w:val="005D4689"/>
    <w:rsid w:val="005D6296"/>
    <w:rsid w:val="005D7A94"/>
    <w:rsid w:val="005E033E"/>
    <w:rsid w:val="005E1832"/>
    <w:rsid w:val="005E66E3"/>
    <w:rsid w:val="005F020D"/>
    <w:rsid w:val="005F23F1"/>
    <w:rsid w:val="005F6067"/>
    <w:rsid w:val="005F7153"/>
    <w:rsid w:val="00610CC6"/>
    <w:rsid w:val="006124B6"/>
    <w:rsid w:val="006157DD"/>
    <w:rsid w:val="00617B2D"/>
    <w:rsid w:val="00625ADB"/>
    <w:rsid w:val="00631884"/>
    <w:rsid w:val="00632BB9"/>
    <w:rsid w:val="00635655"/>
    <w:rsid w:val="00636196"/>
    <w:rsid w:val="00636576"/>
    <w:rsid w:val="0063797C"/>
    <w:rsid w:val="00641CF1"/>
    <w:rsid w:val="00646836"/>
    <w:rsid w:val="0064697A"/>
    <w:rsid w:val="006507A7"/>
    <w:rsid w:val="00650E70"/>
    <w:rsid w:val="00660DA5"/>
    <w:rsid w:val="00663E53"/>
    <w:rsid w:val="0066645A"/>
    <w:rsid w:val="0066685A"/>
    <w:rsid w:val="00666BBB"/>
    <w:rsid w:val="0067140B"/>
    <w:rsid w:val="00671465"/>
    <w:rsid w:val="0067198B"/>
    <w:rsid w:val="00675420"/>
    <w:rsid w:val="0067700A"/>
    <w:rsid w:val="00691AF9"/>
    <w:rsid w:val="00694469"/>
    <w:rsid w:val="006950A7"/>
    <w:rsid w:val="00695E1A"/>
    <w:rsid w:val="006A1281"/>
    <w:rsid w:val="006A2CAD"/>
    <w:rsid w:val="006A573C"/>
    <w:rsid w:val="006A5F57"/>
    <w:rsid w:val="006C24F6"/>
    <w:rsid w:val="006C47E7"/>
    <w:rsid w:val="006D1686"/>
    <w:rsid w:val="006D3F78"/>
    <w:rsid w:val="006D5C4D"/>
    <w:rsid w:val="006D699F"/>
    <w:rsid w:val="006E037A"/>
    <w:rsid w:val="006E0B88"/>
    <w:rsid w:val="006E44BA"/>
    <w:rsid w:val="006E4AD9"/>
    <w:rsid w:val="006F3CEE"/>
    <w:rsid w:val="007031B2"/>
    <w:rsid w:val="0070631C"/>
    <w:rsid w:val="0071611D"/>
    <w:rsid w:val="0071713F"/>
    <w:rsid w:val="00727D3A"/>
    <w:rsid w:val="00733253"/>
    <w:rsid w:val="00734662"/>
    <w:rsid w:val="00734792"/>
    <w:rsid w:val="00740F07"/>
    <w:rsid w:val="00741CFF"/>
    <w:rsid w:val="00743C97"/>
    <w:rsid w:val="007478F5"/>
    <w:rsid w:val="00751204"/>
    <w:rsid w:val="00751368"/>
    <w:rsid w:val="00751D76"/>
    <w:rsid w:val="00754E0A"/>
    <w:rsid w:val="00761515"/>
    <w:rsid w:val="00766B73"/>
    <w:rsid w:val="00770905"/>
    <w:rsid w:val="007760DD"/>
    <w:rsid w:val="00776770"/>
    <w:rsid w:val="0078287D"/>
    <w:rsid w:val="00784E0E"/>
    <w:rsid w:val="00786F69"/>
    <w:rsid w:val="0079176F"/>
    <w:rsid w:val="00792E9B"/>
    <w:rsid w:val="007976A7"/>
    <w:rsid w:val="007A0A46"/>
    <w:rsid w:val="007A4516"/>
    <w:rsid w:val="007A5141"/>
    <w:rsid w:val="007B003B"/>
    <w:rsid w:val="007C0B2D"/>
    <w:rsid w:val="007C5316"/>
    <w:rsid w:val="007C67FD"/>
    <w:rsid w:val="007D01BC"/>
    <w:rsid w:val="007D3195"/>
    <w:rsid w:val="007D7E94"/>
    <w:rsid w:val="007E173B"/>
    <w:rsid w:val="007E2328"/>
    <w:rsid w:val="007E759D"/>
    <w:rsid w:val="007F0145"/>
    <w:rsid w:val="007F5F9E"/>
    <w:rsid w:val="00801764"/>
    <w:rsid w:val="008025FA"/>
    <w:rsid w:val="008038AC"/>
    <w:rsid w:val="008050E5"/>
    <w:rsid w:val="00812748"/>
    <w:rsid w:val="0081731D"/>
    <w:rsid w:val="00824951"/>
    <w:rsid w:val="00832F19"/>
    <w:rsid w:val="008338A4"/>
    <w:rsid w:val="00835F4D"/>
    <w:rsid w:val="00837418"/>
    <w:rsid w:val="008378E1"/>
    <w:rsid w:val="008433C2"/>
    <w:rsid w:val="00844A8E"/>
    <w:rsid w:val="00847324"/>
    <w:rsid w:val="008506F1"/>
    <w:rsid w:val="00855EE4"/>
    <w:rsid w:val="008628F9"/>
    <w:rsid w:val="00872177"/>
    <w:rsid w:val="00872C3F"/>
    <w:rsid w:val="008735E1"/>
    <w:rsid w:val="0088104E"/>
    <w:rsid w:val="0088280A"/>
    <w:rsid w:val="0089007C"/>
    <w:rsid w:val="00892B2A"/>
    <w:rsid w:val="00897533"/>
    <w:rsid w:val="008A5600"/>
    <w:rsid w:val="008A696D"/>
    <w:rsid w:val="008A7F29"/>
    <w:rsid w:val="008B2D5E"/>
    <w:rsid w:val="008B36CC"/>
    <w:rsid w:val="008B403B"/>
    <w:rsid w:val="008B41A6"/>
    <w:rsid w:val="008C015D"/>
    <w:rsid w:val="008C07DA"/>
    <w:rsid w:val="008C5A75"/>
    <w:rsid w:val="008C6D19"/>
    <w:rsid w:val="008C78A9"/>
    <w:rsid w:val="008C7EDC"/>
    <w:rsid w:val="008D310D"/>
    <w:rsid w:val="008D3859"/>
    <w:rsid w:val="008E5560"/>
    <w:rsid w:val="008F2E73"/>
    <w:rsid w:val="008F5276"/>
    <w:rsid w:val="008F57E8"/>
    <w:rsid w:val="0090149B"/>
    <w:rsid w:val="00912A90"/>
    <w:rsid w:val="00913269"/>
    <w:rsid w:val="009132A9"/>
    <w:rsid w:val="00913A31"/>
    <w:rsid w:val="00914DBD"/>
    <w:rsid w:val="00921D6F"/>
    <w:rsid w:val="009224B9"/>
    <w:rsid w:val="00925A4E"/>
    <w:rsid w:val="009273D3"/>
    <w:rsid w:val="00931B62"/>
    <w:rsid w:val="00945509"/>
    <w:rsid w:val="00945F7B"/>
    <w:rsid w:val="00950E14"/>
    <w:rsid w:val="00951651"/>
    <w:rsid w:val="00962590"/>
    <w:rsid w:val="00962F07"/>
    <w:rsid w:val="00970923"/>
    <w:rsid w:val="00972A7E"/>
    <w:rsid w:val="00974044"/>
    <w:rsid w:val="00976E33"/>
    <w:rsid w:val="00982221"/>
    <w:rsid w:val="009825F5"/>
    <w:rsid w:val="00984E56"/>
    <w:rsid w:val="009854F9"/>
    <w:rsid w:val="009946F7"/>
    <w:rsid w:val="009A00B8"/>
    <w:rsid w:val="009A0A20"/>
    <w:rsid w:val="009A3442"/>
    <w:rsid w:val="009A6BBD"/>
    <w:rsid w:val="009B0A7F"/>
    <w:rsid w:val="009B0ED7"/>
    <w:rsid w:val="009B1CFC"/>
    <w:rsid w:val="009B434E"/>
    <w:rsid w:val="009B5939"/>
    <w:rsid w:val="009C0C5D"/>
    <w:rsid w:val="009C421D"/>
    <w:rsid w:val="009C5142"/>
    <w:rsid w:val="009D7C8B"/>
    <w:rsid w:val="009E0CC9"/>
    <w:rsid w:val="009E2048"/>
    <w:rsid w:val="009E27BB"/>
    <w:rsid w:val="009F534E"/>
    <w:rsid w:val="009F57DF"/>
    <w:rsid w:val="009F6766"/>
    <w:rsid w:val="009F6B94"/>
    <w:rsid w:val="009F7AC1"/>
    <w:rsid w:val="00A0152C"/>
    <w:rsid w:val="00A016C8"/>
    <w:rsid w:val="00A07EEF"/>
    <w:rsid w:val="00A202BE"/>
    <w:rsid w:val="00A21260"/>
    <w:rsid w:val="00A235EF"/>
    <w:rsid w:val="00A270CB"/>
    <w:rsid w:val="00A3361A"/>
    <w:rsid w:val="00A33E6A"/>
    <w:rsid w:val="00A44C24"/>
    <w:rsid w:val="00A50381"/>
    <w:rsid w:val="00A503BD"/>
    <w:rsid w:val="00A51053"/>
    <w:rsid w:val="00A517EE"/>
    <w:rsid w:val="00A56502"/>
    <w:rsid w:val="00A57452"/>
    <w:rsid w:val="00A57C60"/>
    <w:rsid w:val="00A616B7"/>
    <w:rsid w:val="00A61FD6"/>
    <w:rsid w:val="00A661D1"/>
    <w:rsid w:val="00A71C99"/>
    <w:rsid w:val="00A756A1"/>
    <w:rsid w:val="00A77A1C"/>
    <w:rsid w:val="00A80D5A"/>
    <w:rsid w:val="00A81BE9"/>
    <w:rsid w:val="00A905EA"/>
    <w:rsid w:val="00A907D4"/>
    <w:rsid w:val="00A9779E"/>
    <w:rsid w:val="00AA1153"/>
    <w:rsid w:val="00AA50F5"/>
    <w:rsid w:val="00AA6949"/>
    <w:rsid w:val="00AA7676"/>
    <w:rsid w:val="00AB1478"/>
    <w:rsid w:val="00AB2458"/>
    <w:rsid w:val="00AB44F6"/>
    <w:rsid w:val="00AB4B88"/>
    <w:rsid w:val="00AB4F86"/>
    <w:rsid w:val="00AB5E46"/>
    <w:rsid w:val="00AC2841"/>
    <w:rsid w:val="00AC342E"/>
    <w:rsid w:val="00AC3782"/>
    <w:rsid w:val="00AC691A"/>
    <w:rsid w:val="00AC75F5"/>
    <w:rsid w:val="00AD38BD"/>
    <w:rsid w:val="00AE69B6"/>
    <w:rsid w:val="00AE7877"/>
    <w:rsid w:val="00AF5576"/>
    <w:rsid w:val="00AF6C96"/>
    <w:rsid w:val="00B02CCA"/>
    <w:rsid w:val="00B04DC7"/>
    <w:rsid w:val="00B0636C"/>
    <w:rsid w:val="00B10CEE"/>
    <w:rsid w:val="00B14395"/>
    <w:rsid w:val="00B15450"/>
    <w:rsid w:val="00B2159F"/>
    <w:rsid w:val="00B22C0F"/>
    <w:rsid w:val="00B247EE"/>
    <w:rsid w:val="00B255E9"/>
    <w:rsid w:val="00B30646"/>
    <w:rsid w:val="00B37580"/>
    <w:rsid w:val="00B42733"/>
    <w:rsid w:val="00B427DB"/>
    <w:rsid w:val="00B442BA"/>
    <w:rsid w:val="00B4490C"/>
    <w:rsid w:val="00B46B23"/>
    <w:rsid w:val="00B5126F"/>
    <w:rsid w:val="00B51B6B"/>
    <w:rsid w:val="00B533AC"/>
    <w:rsid w:val="00B56A08"/>
    <w:rsid w:val="00B637E4"/>
    <w:rsid w:val="00B658A1"/>
    <w:rsid w:val="00B6618F"/>
    <w:rsid w:val="00B675CD"/>
    <w:rsid w:val="00B764A0"/>
    <w:rsid w:val="00B80E29"/>
    <w:rsid w:val="00B80EFB"/>
    <w:rsid w:val="00B90A4A"/>
    <w:rsid w:val="00BA092B"/>
    <w:rsid w:val="00BA6A28"/>
    <w:rsid w:val="00BB09DF"/>
    <w:rsid w:val="00BC3D51"/>
    <w:rsid w:val="00BC4D23"/>
    <w:rsid w:val="00BC7360"/>
    <w:rsid w:val="00BD014E"/>
    <w:rsid w:val="00BD1078"/>
    <w:rsid w:val="00BD25D8"/>
    <w:rsid w:val="00BD6887"/>
    <w:rsid w:val="00BE09DD"/>
    <w:rsid w:val="00BE6DC4"/>
    <w:rsid w:val="00BE74B5"/>
    <w:rsid w:val="00BF2FA9"/>
    <w:rsid w:val="00C016BF"/>
    <w:rsid w:val="00C04389"/>
    <w:rsid w:val="00C05C30"/>
    <w:rsid w:val="00C11B2E"/>
    <w:rsid w:val="00C2578E"/>
    <w:rsid w:val="00C27B89"/>
    <w:rsid w:val="00C3510C"/>
    <w:rsid w:val="00C353F0"/>
    <w:rsid w:val="00C440DA"/>
    <w:rsid w:val="00C47BFB"/>
    <w:rsid w:val="00C500BC"/>
    <w:rsid w:val="00C53AFF"/>
    <w:rsid w:val="00C56F36"/>
    <w:rsid w:val="00C604FC"/>
    <w:rsid w:val="00C60A53"/>
    <w:rsid w:val="00C635C3"/>
    <w:rsid w:val="00C63F6C"/>
    <w:rsid w:val="00C71C47"/>
    <w:rsid w:val="00C8075B"/>
    <w:rsid w:val="00C85DDA"/>
    <w:rsid w:val="00C87726"/>
    <w:rsid w:val="00C904A3"/>
    <w:rsid w:val="00C93A67"/>
    <w:rsid w:val="00C95955"/>
    <w:rsid w:val="00CA1489"/>
    <w:rsid w:val="00CA5F94"/>
    <w:rsid w:val="00CB458D"/>
    <w:rsid w:val="00CC14D9"/>
    <w:rsid w:val="00CC28C2"/>
    <w:rsid w:val="00CC3204"/>
    <w:rsid w:val="00CD1FC4"/>
    <w:rsid w:val="00CD32E0"/>
    <w:rsid w:val="00CE4643"/>
    <w:rsid w:val="00CE47A6"/>
    <w:rsid w:val="00CE5CB1"/>
    <w:rsid w:val="00CE6AA9"/>
    <w:rsid w:val="00CF6E5D"/>
    <w:rsid w:val="00D01F9A"/>
    <w:rsid w:val="00D02EBB"/>
    <w:rsid w:val="00D06A5A"/>
    <w:rsid w:val="00D077BE"/>
    <w:rsid w:val="00D12539"/>
    <w:rsid w:val="00D22439"/>
    <w:rsid w:val="00D235CB"/>
    <w:rsid w:val="00D37451"/>
    <w:rsid w:val="00D404AE"/>
    <w:rsid w:val="00D43DA9"/>
    <w:rsid w:val="00D509A3"/>
    <w:rsid w:val="00D53242"/>
    <w:rsid w:val="00D53B2D"/>
    <w:rsid w:val="00D56690"/>
    <w:rsid w:val="00D621E3"/>
    <w:rsid w:val="00D66CC7"/>
    <w:rsid w:val="00D71C8E"/>
    <w:rsid w:val="00D74E7D"/>
    <w:rsid w:val="00D840A2"/>
    <w:rsid w:val="00D851A6"/>
    <w:rsid w:val="00D92F79"/>
    <w:rsid w:val="00D93C3A"/>
    <w:rsid w:val="00D9569B"/>
    <w:rsid w:val="00DA5C39"/>
    <w:rsid w:val="00DB3C8B"/>
    <w:rsid w:val="00DC0115"/>
    <w:rsid w:val="00DC05A5"/>
    <w:rsid w:val="00DC2FAA"/>
    <w:rsid w:val="00DC3AEE"/>
    <w:rsid w:val="00DE01BE"/>
    <w:rsid w:val="00DE287A"/>
    <w:rsid w:val="00DE72BB"/>
    <w:rsid w:val="00DF0F26"/>
    <w:rsid w:val="00DF7C2F"/>
    <w:rsid w:val="00E00192"/>
    <w:rsid w:val="00E04346"/>
    <w:rsid w:val="00E118C6"/>
    <w:rsid w:val="00E151D9"/>
    <w:rsid w:val="00E15F40"/>
    <w:rsid w:val="00E219CF"/>
    <w:rsid w:val="00E226F3"/>
    <w:rsid w:val="00E239AC"/>
    <w:rsid w:val="00E24FB2"/>
    <w:rsid w:val="00E302C6"/>
    <w:rsid w:val="00E35177"/>
    <w:rsid w:val="00E45EBF"/>
    <w:rsid w:val="00E47A7A"/>
    <w:rsid w:val="00E5170F"/>
    <w:rsid w:val="00E519EC"/>
    <w:rsid w:val="00E62DA2"/>
    <w:rsid w:val="00E630E5"/>
    <w:rsid w:val="00E70662"/>
    <w:rsid w:val="00E7631E"/>
    <w:rsid w:val="00E82092"/>
    <w:rsid w:val="00E832BA"/>
    <w:rsid w:val="00E94523"/>
    <w:rsid w:val="00E96947"/>
    <w:rsid w:val="00EA1312"/>
    <w:rsid w:val="00EA1AEA"/>
    <w:rsid w:val="00EA3C4A"/>
    <w:rsid w:val="00EA5809"/>
    <w:rsid w:val="00EB39FE"/>
    <w:rsid w:val="00EC0AA5"/>
    <w:rsid w:val="00ED2180"/>
    <w:rsid w:val="00ED3DD9"/>
    <w:rsid w:val="00EE16F1"/>
    <w:rsid w:val="00EE2D0A"/>
    <w:rsid w:val="00EE36EB"/>
    <w:rsid w:val="00EE48A1"/>
    <w:rsid w:val="00EE61CD"/>
    <w:rsid w:val="00EE63B1"/>
    <w:rsid w:val="00EE68FD"/>
    <w:rsid w:val="00EF3523"/>
    <w:rsid w:val="00F01ACB"/>
    <w:rsid w:val="00F0229B"/>
    <w:rsid w:val="00F11C26"/>
    <w:rsid w:val="00F12BC1"/>
    <w:rsid w:val="00F1485C"/>
    <w:rsid w:val="00F321D8"/>
    <w:rsid w:val="00F34045"/>
    <w:rsid w:val="00F35895"/>
    <w:rsid w:val="00F360DA"/>
    <w:rsid w:val="00F37EED"/>
    <w:rsid w:val="00F41141"/>
    <w:rsid w:val="00F42FCA"/>
    <w:rsid w:val="00F51AE0"/>
    <w:rsid w:val="00F600CA"/>
    <w:rsid w:val="00F67296"/>
    <w:rsid w:val="00F67AD9"/>
    <w:rsid w:val="00F73098"/>
    <w:rsid w:val="00F81795"/>
    <w:rsid w:val="00F8293D"/>
    <w:rsid w:val="00F8404C"/>
    <w:rsid w:val="00F92593"/>
    <w:rsid w:val="00F925EB"/>
    <w:rsid w:val="00F93F9A"/>
    <w:rsid w:val="00F968C6"/>
    <w:rsid w:val="00FC1453"/>
    <w:rsid w:val="00FD0892"/>
    <w:rsid w:val="00FD58F6"/>
    <w:rsid w:val="00FE026B"/>
    <w:rsid w:val="00FE5A8A"/>
    <w:rsid w:val="00FE6C0D"/>
    <w:rsid w:val="00FF0CBB"/>
    <w:rsid w:val="00FF1DE8"/>
    <w:rsid w:val="00FF6097"/>
    <w:rsid w:val="00FF7CD3"/>
    <w:rsid w:val="01D80B02"/>
    <w:rsid w:val="02800918"/>
    <w:rsid w:val="02990FD0"/>
    <w:rsid w:val="02EE3EBE"/>
    <w:rsid w:val="0366094F"/>
    <w:rsid w:val="04437400"/>
    <w:rsid w:val="0808579C"/>
    <w:rsid w:val="082C3238"/>
    <w:rsid w:val="08566507"/>
    <w:rsid w:val="090D306A"/>
    <w:rsid w:val="0A311B4A"/>
    <w:rsid w:val="0B3E70CC"/>
    <w:rsid w:val="0B750CA5"/>
    <w:rsid w:val="0BD70620"/>
    <w:rsid w:val="0C676F35"/>
    <w:rsid w:val="0E1F73C8"/>
    <w:rsid w:val="0FDC43E0"/>
    <w:rsid w:val="112B44ED"/>
    <w:rsid w:val="122E4051"/>
    <w:rsid w:val="131E0448"/>
    <w:rsid w:val="13405DEA"/>
    <w:rsid w:val="142C45C0"/>
    <w:rsid w:val="143E4A1F"/>
    <w:rsid w:val="184676EF"/>
    <w:rsid w:val="18BF0DF9"/>
    <w:rsid w:val="196B3021"/>
    <w:rsid w:val="1A390616"/>
    <w:rsid w:val="1AD03EF7"/>
    <w:rsid w:val="1ADA18BA"/>
    <w:rsid w:val="1BE118AB"/>
    <w:rsid w:val="1C8270B0"/>
    <w:rsid w:val="1DAD0520"/>
    <w:rsid w:val="1DBE44DB"/>
    <w:rsid w:val="1DFD6BDF"/>
    <w:rsid w:val="1E0107C3"/>
    <w:rsid w:val="1E7E22EB"/>
    <w:rsid w:val="1F274302"/>
    <w:rsid w:val="1F3022F6"/>
    <w:rsid w:val="2032390E"/>
    <w:rsid w:val="21644AD8"/>
    <w:rsid w:val="2188552B"/>
    <w:rsid w:val="229B6399"/>
    <w:rsid w:val="237C10C0"/>
    <w:rsid w:val="24A461BD"/>
    <w:rsid w:val="262100C2"/>
    <w:rsid w:val="268B0293"/>
    <w:rsid w:val="26EB61B3"/>
    <w:rsid w:val="272C4BAB"/>
    <w:rsid w:val="273E668C"/>
    <w:rsid w:val="289A78F2"/>
    <w:rsid w:val="29673C78"/>
    <w:rsid w:val="29F11567"/>
    <w:rsid w:val="2B7B252F"/>
    <w:rsid w:val="2BCA04EF"/>
    <w:rsid w:val="2C0F7D8E"/>
    <w:rsid w:val="2E9B6172"/>
    <w:rsid w:val="2F4D3614"/>
    <w:rsid w:val="2F822762"/>
    <w:rsid w:val="2F9C6555"/>
    <w:rsid w:val="30567D14"/>
    <w:rsid w:val="30F1651D"/>
    <w:rsid w:val="31306466"/>
    <w:rsid w:val="32087FC3"/>
    <w:rsid w:val="3225127D"/>
    <w:rsid w:val="327F5B66"/>
    <w:rsid w:val="34264730"/>
    <w:rsid w:val="349347E2"/>
    <w:rsid w:val="361E75C4"/>
    <w:rsid w:val="37005648"/>
    <w:rsid w:val="38F8063F"/>
    <w:rsid w:val="39930ABA"/>
    <w:rsid w:val="39984BDC"/>
    <w:rsid w:val="39C946F0"/>
    <w:rsid w:val="3A2B484E"/>
    <w:rsid w:val="3A3B3026"/>
    <w:rsid w:val="3BFC78F0"/>
    <w:rsid w:val="3C0742C3"/>
    <w:rsid w:val="3C8B3CCA"/>
    <w:rsid w:val="3D3A1978"/>
    <w:rsid w:val="3D406F54"/>
    <w:rsid w:val="3F140A69"/>
    <w:rsid w:val="3F672E22"/>
    <w:rsid w:val="3F8F5CAA"/>
    <w:rsid w:val="3FA33B16"/>
    <w:rsid w:val="3FFA0D1A"/>
    <w:rsid w:val="417D11CF"/>
    <w:rsid w:val="41C04822"/>
    <w:rsid w:val="42276243"/>
    <w:rsid w:val="4268321C"/>
    <w:rsid w:val="4290569D"/>
    <w:rsid w:val="42DC3C5E"/>
    <w:rsid w:val="444A6207"/>
    <w:rsid w:val="46256D76"/>
    <w:rsid w:val="463B1B30"/>
    <w:rsid w:val="465A59CE"/>
    <w:rsid w:val="4936372B"/>
    <w:rsid w:val="49BA1250"/>
    <w:rsid w:val="4A9B77CE"/>
    <w:rsid w:val="4AD05F4F"/>
    <w:rsid w:val="4B7122DD"/>
    <w:rsid w:val="4B7C3EED"/>
    <w:rsid w:val="4BC845F3"/>
    <w:rsid w:val="4BEC3C0D"/>
    <w:rsid w:val="4BF769AF"/>
    <w:rsid w:val="4C152A89"/>
    <w:rsid w:val="4C563DAE"/>
    <w:rsid w:val="4CCF554E"/>
    <w:rsid w:val="4D4D1254"/>
    <w:rsid w:val="4DD322DE"/>
    <w:rsid w:val="4DDA685F"/>
    <w:rsid w:val="4E0209DC"/>
    <w:rsid w:val="4EC549DA"/>
    <w:rsid w:val="4F617220"/>
    <w:rsid w:val="4FDD2F69"/>
    <w:rsid w:val="50F54CB1"/>
    <w:rsid w:val="510B6B40"/>
    <w:rsid w:val="513A34E4"/>
    <w:rsid w:val="52BC228F"/>
    <w:rsid w:val="53AC3784"/>
    <w:rsid w:val="53DD4E2D"/>
    <w:rsid w:val="54B606B9"/>
    <w:rsid w:val="550A6098"/>
    <w:rsid w:val="56502579"/>
    <w:rsid w:val="58331046"/>
    <w:rsid w:val="588F48B4"/>
    <w:rsid w:val="58CB127E"/>
    <w:rsid w:val="58F027B0"/>
    <w:rsid w:val="59A53821"/>
    <w:rsid w:val="5AA56A85"/>
    <w:rsid w:val="5DC4074E"/>
    <w:rsid w:val="5DE51034"/>
    <w:rsid w:val="5E0C4813"/>
    <w:rsid w:val="5E541CB1"/>
    <w:rsid w:val="5EC05114"/>
    <w:rsid w:val="5ED61B7B"/>
    <w:rsid w:val="5F2152BE"/>
    <w:rsid w:val="601D7A23"/>
    <w:rsid w:val="60602BF4"/>
    <w:rsid w:val="60BD23E2"/>
    <w:rsid w:val="618A3D7A"/>
    <w:rsid w:val="61E922A5"/>
    <w:rsid w:val="621F15B7"/>
    <w:rsid w:val="62FA5F25"/>
    <w:rsid w:val="631D7985"/>
    <w:rsid w:val="64722EF6"/>
    <w:rsid w:val="64787452"/>
    <w:rsid w:val="664633B0"/>
    <w:rsid w:val="677B0C1C"/>
    <w:rsid w:val="67BA2573"/>
    <w:rsid w:val="6894168D"/>
    <w:rsid w:val="68962AB7"/>
    <w:rsid w:val="68CA11E3"/>
    <w:rsid w:val="68E02B24"/>
    <w:rsid w:val="69637778"/>
    <w:rsid w:val="6AEA317A"/>
    <w:rsid w:val="6B3813B8"/>
    <w:rsid w:val="6BFA1294"/>
    <w:rsid w:val="6C694B13"/>
    <w:rsid w:val="6C8E6D3B"/>
    <w:rsid w:val="6CDA788A"/>
    <w:rsid w:val="6D325918"/>
    <w:rsid w:val="6E6F7EED"/>
    <w:rsid w:val="6EAC4CE5"/>
    <w:rsid w:val="6F63394D"/>
    <w:rsid w:val="70616401"/>
    <w:rsid w:val="71397275"/>
    <w:rsid w:val="71A67AE7"/>
    <w:rsid w:val="728E1843"/>
    <w:rsid w:val="72CE60E3"/>
    <w:rsid w:val="73247AB1"/>
    <w:rsid w:val="734168B5"/>
    <w:rsid w:val="73867F63"/>
    <w:rsid w:val="73D82D35"/>
    <w:rsid w:val="73E07E7C"/>
    <w:rsid w:val="746A7E38"/>
    <w:rsid w:val="7493784E"/>
    <w:rsid w:val="761402B1"/>
    <w:rsid w:val="773015E0"/>
    <w:rsid w:val="77E6198F"/>
    <w:rsid w:val="785905BB"/>
    <w:rsid w:val="78593E19"/>
    <w:rsid w:val="7B5755B8"/>
    <w:rsid w:val="7B5829EE"/>
    <w:rsid w:val="7BA051A0"/>
    <w:rsid w:val="7E30493E"/>
    <w:rsid w:val="7E6F077A"/>
    <w:rsid w:val="7F4B56B4"/>
    <w:rsid w:val="7F664607"/>
    <w:rsid w:val="7FD665D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89"/>
    <w:qFormat/>
    <w:uiPriority w:val="0"/>
    <w:pPr>
      <w:keepNext/>
      <w:keepLines/>
      <w:tabs>
        <w:tab w:val="left" w:pos="432"/>
      </w:tabs>
      <w:spacing w:before="340" w:after="330" w:line="578" w:lineRule="auto"/>
      <w:outlineLvl w:val="0"/>
    </w:pPr>
    <w:rPr>
      <w:rFonts w:ascii="Calibri" w:hAnsi="Calibri" w:eastAsia="仿宋"/>
      <w:b/>
      <w:bCs/>
      <w:kern w:val="44"/>
      <w:sz w:val="30"/>
      <w:szCs w:val="44"/>
    </w:rPr>
  </w:style>
  <w:style w:type="paragraph" w:styleId="5">
    <w:name w:val="heading 2"/>
    <w:basedOn w:val="1"/>
    <w:next w:val="1"/>
    <w:link w:val="90"/>
    <w:qFormat/>
    <w:uiPriority w:val="0"/>
    <w:pPr>
      <w:keepNext/>
      <w:keepLines/>
      <w:tabs>
        <w:tab w:val="left" w:pos="432"/>
        <w:tab w:val="left" w:pos="576"/>
      </w:tabs>
      <w:spacing w:before="260" w:after="260" w:line="416" w:lineRule="auto"/>
      <w:ind w:left="576" w:hanging="576"/>
      <w:outlineLvl w:val="1"/>
    </w:pPr>
    <w:rPr>
      <w:rFonts w:ascii="Cambria" w:hAnsi="Cambria"/>
      <w:b/>
      <w:bCs/>
      <w:szCs w:val="32"/>
    </w:rPr>
  </w:style>
  <w:style w:type="paragraph" w:styleId="6">
    <w:name w:val="heading 3"/>
    <w:basedOn w:val="1"/>
    <w:next w:val="1"/>
    <w:link w:val="91"/>
    <w:qFormat/>
    <w:uiPriority w:val="0"/>
    <w:pPr>
      <w:keepNext/>
      <w:keepLines/>
      <w:numPr>
        <w:ilvl w:val="2"/>
        <w:numId w:val="1"/>
      </w:numPr>
      <w:tabs>
        <w:tab w:val="left" w:pos="432"/>
      </w:tabs>
      <w:spacing w:before="260" w:after="260" w:line="416" w:lineRule="auto"/>
      <w:outlineLvl w:val="2"/>
    </w:pPr>
    <w:rPr>
      <w:rFonts w:ascii="Calibri" w:hAnsi="Calibri"/>
      <w:b/>
      <w:bCs/>
      <w:sz w:val="32"/>
      <w:szCs w:val="32"/>
    </w:rPr>
  </w:style>
  <w:style w:type="paragraph" w:styleId="7">
    <w:name w:val="heading 4"/>
    <w:basedOn w:val="1"/>
    <w:next w:val="1"/>
    <w:link w:val="92"/>
    <w:qFormat/>
    <w:uiPriority w:val="0"/>
    <w:pPr>
      <w:keepNext/>
      <w:keepLines/>
      <w:tabs>
        <w:tab w:val="left" w:pos="432"/>
        <w:tab w:val="left" w:pos="864"/>
      </w:tabs>
      <w:spacing w:before="280" w:after="290" w:line="376" w:lineRule="auto"/>
      <w:ind w:left="864" w:hanging="864"/>
      <w:outlineLvl w:val="3"/>
    </w:pPr>
    <w:rPr>
      <w:rFonts w:ascii="Cambria" w:hAnsi="Cambria"/>
      <w:b/>
      <w:bCs/>
      <w:szCs w:val="28"/>
    </w:rPr>
  </w:style>
  <w:style w:type="paragraph" w:styleId="8">
    <w:name w:val="heading 5"/>
    <w:basedOn w:val="1"/>
    <w:next w:val="1"/>
    <w:link w:val="93"/>
    <w:qFormat/>
    <w:uiPriority w:val="0"/>
    <w:pPr>
      <w:keepNext/>
      <w:keepLines/>
      <w:widowControl/>
      <w:tabs>
        <w:tab w:val="left" w:pos="432"/>
        <w:tab w:val="left" w:pos="1008"/>
      </w:tabs>
      <w:spacing w:before="280" w:after="290" w:line="376" w:lineRule="auto"/>
      <w:ind w:left="1008" w:hanging="1008"/>
      <w:jc w:val="left"/>
      <w:outlineLvl w:val="4"/>
    </w:pPr>
    <w:rPr>
      <w:b/>
      <w:bCs/>
      <w:kern w:val="0"/>
      <w:szCs w:val="28"/>
    </w:rPr>
  </w:style>
  <w:style w:type="paragraph" w:styleId="9">
    <w:name w:val="heading 6"/>
    <w:basedOn w:val="1"/>
    <w:next w:val="1"/>
    <w:link w:val="94"/>
    <w:qFormat/>
    <w:uiPriority w:val="0"/>
    <w:pPr>
      <w:keepNext/>
      <w:keepLines/>
      <w:widowControl/>
      <w:tabs>
        <w:tab w:val="left" w:pos="432"/>
        <w:tab w:val="left" w:pos="1152"/>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95"/>
    <w:qFormat/>
    <w:uiPriority w:val="0"/>
    <w:pPr>
      <w:keepNext/>
      <w:keepLines/>
      <w:widowControl/>
      <w:tabs>
        <w:tab w:val="left" w:pos="432"/>
        <w:tab w:val="left" w:pos="1296"/>
      </w:tabs>
      <w:spacing w:before="240" w:after="64" w:line="320" w:lineRule="auto"/>
      <w:ind w:left="1296" w:hanging="1296"/>
      <w:jc w:val="left"/>
      <w:outlineLvl w:val="6"/>
    </w:pPr>
    <w:rPr>
      <w:b/>
      <w:bCs/>
      <w:kern w:val="0"/>
      <w:sz w:val="24"/>
    </w:rPr>
  </w:style>
  <w:style w:type="paragraph" w:styleId="11">
    <w:name w:val="heading 8"/>
    <w:basedOn w:val="1"/>
    <w:next w:val="1"/>
    <w:link w:val="96"/>
    <w:qFormat/>
    <w:uiPriority w:val="0"/>
    <w:pPr>
      <w:keepNext/>
      <w:keepLines/>
      <w:widowControl/>
      <w:tabs>
        <w:tab w:val="left" w:pos="432"/>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97"/>
    <w:qFormat/>
    <w:uiPriority w:val="0"/>
    <w:pPr>
      <w:keepNext/>
      <w:keepLines/>
      <w:widowControl/>
      <w:tabs>
        <w:tab w:val="left" w:pos="432"/>
        <w:tab w:val="left" w:pos="1584"/>
      </w:tabs>
      <w:spacing w:before="240" w:after="64" w:line="320" w:lineRule="auto"/>
      <w:ind w:left="1584" w:hanging="1584"/>
      <w:jc w:val="left"/>
      <w:outlineLvl w:val="8"/>
    </w:pPr>
    <w:rPr>
      <w:rFonts w:ascii="Arial" w:hAnsi="Arial" w:eastAsia="黑体"/>
      <w:kern w:val="0"/>
      <w:sz w:val="21"/>
      <w:szCs w:val="21"/>
    </w:rPr>
  </w:style>
  <w:style w:type="character" w:default="1" w:styleId="28">
    <w:name w:val="Default Paragraph Font"/>
    <w:unhideWhenUsed/>
    <w:uiPriority w:val="1"/>
  </w:style>
  <w:style w:type="table" w:default="1" w:styleId="34">
    <w:name w:val="Normal Table"/>
    <w:unhideWhenUsed/>
    <w:uiPriority w:val="99"/>
    <w:tblPr>
      <w:tblStyle w:val="34"/>
      <w:tblLayout w:type="fixed"/>
      <w:tblCellMar>
        <w:top w:w="0" w:type="dxa"/>
        <w:left w:w="108" w:type="dxa"/>
        <w:bottom w:w="0" w:type="dxa"/>
        <w:right w:w="108" w:type="dxa"/>
      </w:tblCellMar>
    </w:tblPr>
    <w:tcPr>
      <w:textDirection w:val="lrTb"/>
    </w:tcPr>
  </w:style>
  <w:style w:type="paragraph" w:styleId="2">
    <w:name w:val="Body Text First Indent 2"/>
    <w:basedOn w:val="3"/>
    <w:unhideWhenUsed/>
    <w:qFormat/>
    <w:uiPriority w:val="99"/>
    <w:pPr>
      <w:ind w:firstLine="420" w:firstLineChars="200"/>
    </w:pPr>
  </w:style>
  <w:style w:type="paragraph" w:styleId="3">
    <w:name w:val="Body Text Indent"/>
    <w:basedOn w:val="1"/>
    <w:link w:val="88"/>
    <w:qFormat/>
    <w:uiPriority w:val="0"/>
    <w:pPr>
      <w:ind w:firstLine="600"/>
    </w:pPr>
    <w:rPr>
      <w:sz w:val="32"/>
      <w:szCs w:val="20"/>
    </w:rPr>
  </w:style>
  <w:style w:type="paragraph" w:styleId="13">
    <w:name w:val="annotation subject"/>
    <w:basedOn w:val="14"/>
    <w:next w:val="14"/>
    <w:link w:val="108"/>
    <w:unhideWhenUsed/>
    <w:qFormat/>
    <w:uiPriority w:val="99"/>
    <w:rPr>
      <w:rFonts w:ascii="Times New Roman" w:hAnsi="Times New Roman" w:cs="Times New Roman"/>
      <w:b/>
      <w:bCs/>
      <w:szCs w:val="24"/>
    </w:rPr>
  </w:style>
  <w:style w:type="paragraph" w:styleId="14">
    <w:name w:val="annotation text"/>
    <w:basedOn w:val="1"/>
    <w:link w:val="100"/>
    <w:qFormat/>
    <w:uiPriority w:val="99"/>
    <w:pPr>
      <w:jc w:val="left"/>
    </w:pPr>
    <w:rPr>
      <w:rFonts w:ascii="Calibri" w:hAnsi="Calibri" w:cs="黑体"/>
      <w:szCs w:val="22"/>
    </w:rPr>
  </w:style>
  <w:style w:type="paragraph" w:styleId="15">
    <w:name w:val="Normal Indent"/>
    <w:basedOn w:val="1"/>
    <w:link w:val="98"/>
    <w:qFormat/>
    <w:uiPriority w:val="0"/>
    <w:pPr>
      <w:ind w:firstLine="420"/>
    </w:pPr>
    <w:rPr>
      <w:rFonts w:ascii="Calibri" w:hAnsi="Calibri" w:cs="黑体"/>
      <w:sz w:val="21"/>
      <w:szCs w:val="22"/>
    </w:rPr>
  </w:style>
  <w:style w:type="paragraph" w:styleId="16">
    <w:name w:val="List Bullet"/>
    <w:basedOn w:val="1"/>
    <w:qFormat/>
    <w:uiPriority w:val="0"/>
    <w:pPr>
      <w:tabs>
        <w:tab w:val="left" w:pos="360"/>
      </w:tabs>
      <w:ind w:left="360" w:hanging="360"/>
    </w:pPr>
    <w:rPr>
      <w:sz w:val="21"/>
    </w:rPr>
  </w:style>
  <w:style w:type="paragraph" w:styleId="17">
    <w:name w:val="Document Map"/>
    <w:basedOn w:val="1"/>
    <w:link w:val="99"/>
    <w:semiHidden/>
    <w:qFormat/>
    <w:uiPriority w:val="0"/>
    <w:rPr>
      <w:rFonts w:ascii="Heiti SC Light" w:hAnsi="Calibri" w:eastAsia="Times New Roman"/>
      <w:sz w:val="24"/>
    </w:rPr>
  </w:style>
  <w:style w:type="paragraph" w:styleId="18">
    <w:name w:val="Body Text"/>
    <w:basedOn w:val="1"/>
    <w:link w:val="101"/>
    <w:qFormat/>
    <w:uiPriority w:val="0"/>
    <w:pPr>
      <w:spacing w:line="420" w:lineRule="auto"/>
    </w:pPr>
    <w:rPr>
      <w:sz w:val="24"/>
    </w:rPr>
  </w:style>
  <w:style w:type="paragraph" w:styleId="19">
    <w:name w:val="toc 3"/>
    <w:basedOn w:val="1"/>
    <w:next w:val="1"/>
    <w:qFormat/>
    <w:uiPriority w:val="0"/>
    <w:pPr>
      <w:ind w:left="840" w:leftChars="400"/>
    </w:pPr>
    <w:rPr>
      <w:sz w:val="21"/>
    </w:rPr>
  </w:style>
  <w:style w:type="paragraph" w:styleId="20">
    <w:name w:val="Plain Text"/>
    <w:basedOn w:val="1"/>
    <w:link w:val="102"/>
    <w:qFormat/>
    <w:uiPriority w:val="0"/>
    <w:rPr>
      <w:rFonts w:ascii="宋体" w:hAnsi="Courier New" w:cs="Courier New"/>
      <w:sz w:val="21"/>
      <w:szCs w:val="21"/>
    </w:rPr>
  </w:style>
  <w:style w:type="paragraph" w:styleId="21">
    <w:name w:val="Balloon Text"/>
    <w:basedOn w:val="1"/>
    <w:link w:val="103"/>
    <w:unhideWhenUsed/>
    <w:qFormat/>
    <w:uiPriority w:val="0"/>
    <w:rPr>
      <w:sz w:val="18"/>
      <w:szCs w:val="18"/>
    </w:rPr>
  </w:style>
  <w:style w:type="paragraph" w:styleId="22">
    <w:name w:val="footer"/>
    <w:basedOn w:val="1"/>
    <w:link w:val="104"/>
    <w:qFormat/>
    <w:uiPriority w:val="99"/>
    <w:pPr>
      <w:tabs>
        <w:tab w:val="center" w:pos="4153"/>
        <w:tab w:val="right" w:pos="8306"/>
      </w:tabs>
      <w:snapToGrid w:val="0"/>
      <w:jc w:val="left"/>
    </w:pPr>
    <w:rPr>
      <w:sz w:val="18"/>
      <w:szCs w:val="18"/>
    </w:rPr>
  </w:style>
  <w:style w:type="paragraph" w:styleId="23">
    <w:name w:val="header"/>
    <w:basedOn w:val="1"/>
    <w:link w:val="105"/>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rPr>
      <w:sz w:val="21"/>
    </w:rPr>
  </w:style>
  <w:style w:type="paragraph" w:styleId="25">
    <w:name w:val="Body Text Indent 3"/>
    <w:basedOn w:val="1"/>
    <w:link w:val="106"/>
    <w:qFormat/>
    <w:uiPriority w:val="0"/>
    <w:pPr>
      <w:spacing w:after="120"/>
      <w:ind w:left="420" w:leftChars="200"/>
    </w:pPr>
    <w:rPr>
      <w:sz w:val="16"/>
      <w:szCs w:val="16"/>
    </w:rPr>
  </w:style>
  <w:style w:type="paragraph" w:styleId="26">
    <w:name w:val="Normal (Web)"/>
    <w:basedOn w:val="1"/>
    <w:qFormat/>
    <w:uiPriority w:val="99"/>
    <w:pPr>
      <w:spacing w:beforeAutospacing="1" w:afterAutospacing="1"/>
      <w:jc w:val="left"/>
    </w:pPr>
    <w:rPr>
      <w:kern w:val="0"/>
      <w:sz w:val="24"/>
      <w:szCs w:val="20"/>
    </w:rPr>
  </w:style>
  <w:style w:type="paragraph" w:styleId="27">
    <w:name w:val="Title"/>
    <w:basedOn w:val="1"/>
    <w:next w:val="1"/>
    <w:link w:val="107"/>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table" w:styleId="35">
    <w:name w:val="Table Grid"/>
    <w:basedOn w:val="34"/>
    <w:qFormat/>
    <w:uiPriority w:val="59"/>
    <w:pPr/>
    <w:rPr>
      <w:rFonts w:ascii="Calibri" w:hAnsi="Calibri"/>
    </w:rPr>
    <w:tblPr>
      <w:tblStyle w:val="3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6">
    <w:name w:val="List Paragraph"/>
    <w:basedOn w:val="1"/>
    <w:link w:val="113"/>
    <w:qFormat/>
    <w:uiPriority w:val="34"/>
    <w:pPr>
      <w:ind w:firstLine="420" w:firstLineChars="200"/>
    </w:pPr>
  </w:style>
  <w:style w:type="paragraph" w:customStyle="1" w:styleId="37">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38">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39">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0">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1">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42">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3">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4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46">
    <w:name w:val="大汉方案正文"/>
    <w:basedOn w:val="1"/>
    <w:qFormat/>
    <w:uiPriority w:val="0"/>
    <w:pPr>
      <w:spacing w:line="360" w:lineRule="auto"/>
      <w:ind w:firstLine="200" w:firstLineChars="200"/>
    </w:pPr>
    <w:rPr>
      <w:rFonts w:ascii="Arial" w:hAnsi="Arial"/>
      <w:sz w:val="24"/>
      <w:szCs w:val="20"/>
    </w:rPr>
  </w:style>
  <w:style w:type="paragraph" w:customStyle="1" w:styleId="4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48">
    <w:name w:val="列表段落1"/>
    <w:basedOn w:val="1"/>
    <w:qFormat/>
    <w:uiPriority w:val="0"/>
    <w:pPr>
      <w:ind w:firstLine="420" w:firstLineChars="200"/>
    </w:pPr>
  </w:style>
  <w:style w:type="paragraph" w:customStyle="1" w:styleId="49">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50">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2">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53">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4">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55">
    <w:name w:val="retrait3"/>
    <w:basedOn w:val="1"/>
    <w:qFormat/>
    <w:uiPriority w:val="0"/>
    <w:pPr>
      <w:widowControl/>
      <w:spacing w:before="20" w:after="20"/>
      <w:ind w:left="851"/>
      <w:jc w:val="left"/>
    </w:pPr>
    <w:rPr>
      <w:rFonts w:ascii="Arial" w:hAnsi="Arial"/>
      <w:kern w:val="0"/>
      <w:sz w:val="24"/>
      <w:szCs w:val="20"/>
    </w:rPr>
  </w:style>
  <w:style w:type="paragraph" w:customStyle="1" w:styleId="56">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57">
    <w:name w:val="列出段落1"/>
    <w:basedOn w:val="1"/>
    <w:qFormat/>
    <w:uiPriority w:val="0"/>
    <w:pPr>
      <w:ind w:firstLine="420" w:firstLineChars="200"/>
    </w:pPr>
    <w:rPr>
      <w:rFonts w:ascii="Calibri" w:hAnsi="Calibri"/>
      <w:sz w:val="21"/>
      <w:szCs w:val="22"/>
    </w:rPr>
  </w:style>
  <w:style w:type="paragraph" w:customStyle="1" w:styleId="58">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59">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0">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1">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paragraph" w:customStyle="1" w:styleId="63">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4">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5">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6">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7">
    <w:name w:val="列出段落2"/>
    <w:basedOn w:val="1"/>
    <w:qFormat/>
    <w:uiPriority w:val="0"/>
    <w:pPr>
      <w:ind w:firstLine="420" w:firstLineChars="200"/>
    </w:pPr>
    <w:rPr>
      <w:rFonts w:ascii="Calibri" w:hAnsi="Calibri"/>
      <w:sz w:val="21"/>
      <w:szCs w:val="22"/>
    </w:rPr>
  </w:style>
  <w:style w:type="paragraph" w:customStyle="1" w:styleId="68">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Char Char"/>
    <w:basedOn w:val="1"/>
    <w:qFormat/>
    <w:uiPriority w:val="0"/>
    <w:rPr>
      <w:rFonts w:ascii="Tahoma" w:hAnsi="Tahoma"/>
      <w:sz w:val="24"/>
      <w:szCs w:val="20"/>
    </w:rPr>
  </w:style>
  <w:style w:type="paragraph" w:customStyle="1" w:styleId="70">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7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4">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5">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76">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9">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1">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8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Char Char11 Char Char Char Char"/>
    <w:basedOn w:val="1"/>
    <w:qFormat/>
    <w:uiPriority w:val="0"/>
    <w:pPr>
      <w:tabs>
        <w:tab w:val="left" w:pos="360"/>
      </w:tabs>
    </w:pPr>
    <w:rPr>
      <w:sz w:val="21"/>
    </w:rPr>
  </w:style>
  <w:style w:type="paragraph" w:customStyle="1" w:styleId="84">
    <w:name w:val="样式 正文首行缩进 + 宋体 首行缩进:  0.74 厘米"/>
    <w:qFormat/>
    <w:uiPriority w:val="0"/>
    <w:pPr>
      <w:widowControl w:val="0"/>
      <w:autoSpaceDE w:val="0"/>
      <w:autoSpaceDN w:val="0"/>
      <w:adjustRightInd w:val="0"/>
      <w:snapToGrid w:val="0"/>
      <w:spacing w:before="120" w:line="380" w:lineRule="exact"/>
      <w:jc w:val="both"/>
    </w:pPr>
    <w:rPr>
      <w:rFonts w:ascii="宋体" w:hAnsi="宋体" w:eastAsia="微软雅黑" w:cs="宋体"/>
      <w:snapToGrid w:val="0"/>
      <w:color w:val="000000"/>
      <w:sz w:val="32"/>
      <w:lang w:val="en-US" w:eastAsia="zh-CN" w:bidi="ar-SA"/>
    </w:rPr>
  </w:style>
  <w:style w:type="paragraph" w:customStyle="1" w:styleId="8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87">
    <w:name w:val="Char Char2"/>
    <w:basedOn w:val="1"/>
    <w:qFormat/>
    <w:uiPriority w:val="0"/>
    <w:rPr>
      <w:rFonts w:ascii="Calibri" w:hAnsi="Calibri"/>
      <w:sz w:val="21"/>
      <w:szCs w:val="22"/>
    </w:rPr>
  </w:style>
  <w:style w:type="character" w:customStyle="1" w:styleId="88">
    <w:name w:val="正文文本缩进 Char"/>
    <w:link w:val="3"/>
    <w:qFormat/>
    <w:uiPriority w:val="0"/>
    <w:rPr>
      <w:rFonts w:ascii="Times New Roman" w:hAnsi="Times New Roman" w:eastAsia="宋体" w:cs="Times New Roman"/>
      <w:sz w:val="32"/>
      <w:szCs w:val="20"/>
    </w:rPr>
  </w:style>
  <w:style w:type="character" w:customStyle="1" w:styleId="89">
    <w:name w:val="标题 1 Char"/>
    <w:link w:val="4"/>
    <w:qFormat/>
    <w:uiPriority w:val="0"/>
    <w:rPr>
      <w:rFonts w:ascii="Calibri" w:hAnsi="Calibri" w:eastAsia="仿宋"/>
      <w:b/>
      <w:bCs/>
      <w:kern w:val="44"/>
      <w:sz w:val="30"/>
      <w:szCs w:val="44"/>
    </w:rPr>
  </w:style>
  <w:style w:type="character" w:customStyle="1" w:styleId="90">
    <w:name w:val="标题 2 Char"/>
    <w:link w:val="5"/>
    <w:qFormat/>
    <w:uiPriority w:val="0"/>
    <w:rPr>
      <w:rFonts w:ascii="Cambria" w:hAnsi="Cambria"/>
      <w:b/>
      <w:bCs/>
      <w:kern w:val="2"/>
      <w:sz w:val="28"/>
      <w:szCs w:val="32"/>
    </w:rPr>
  </w:style>
  <w:style w:type="character" w:customStyle="1" w:styleId="91">
    <w:name w:val="标题 3 Char"/>
    <w:link w:val="6"/>
    <w:qFormat/>
    <w:uiPriority w:val="0"/>
    <w:rPr>
      <w:rFonts w:ascii="Calibri" w:hAnsi="Calibri"/>
      <w:b/>
      <w:bCs/>
      <w:kern w:val="2"/>
      <w:sz w:val="32"/>
      <w:szCs w:val="32"/>
    </w:rPr>
  </w:style>
  <w:style w:type="character" w:customStyle="1" w:styleId="92">
    <w:name w:val="标题 4 Char"/>
    <w:link w:val="7"/>
    <w:qFormat/>
    <w:uiPriority w:val="0"/>
    <w:rPr>
      <w:rFonts w:ascii="Cambria" w:hAnsi="Cambria"/>
      <w:b/>
      <w:bCs/>
      <w:kern w:val="2"/>
      <w:sz w:val="28"/>
      <w:szCs w:val="28"/>
    </w:rPr>
  </w:style>
  <w:style w:type="character" w:customStyle="1" w:styleId="93">
    <w:name w:val="标题 5 Char"/>
    <w:link w:val="8"/>
    <w:qFormat/>
    <w:uiPriority w:val="0"/>
    <w:rPr>
      <w:b/>
      <w:bCs/>
      <w:sz w:val="28"/>
      <w:szCs w:val="28"/>
    </w:rPr>
  </w:style>
  <w:style w:type="character" w:customStyle="1" w:styleId="94">
    <w:name w:val="标题 6 Char"/>
    <w:link w:val="9"/>
    <w:qFormat/>
    <w:uiPriority w:val="0"/>
    <w:rPr>
      <w:rFonts w:ascii="Arial" w:hAnsi="Arial" w:eastAsia="黑体"/>
      <w:b/>
      <w:bCs/>
      <w:sz w:val="24"/>
      <w:szCs w:val="24"/>
    </w:rPr>
  </w:style>
  <w:style w:type="character" w:customStyle="1" w:styleId="95">
    <w:name w:val="标题 7 Char"/>
    <w:link w:val="10"/>
    <w:qFormat/>
    <w:uiPriority w:val="0"/>
    <w:rPr>
      <w:b/>
      <w:bCs/>
      <w:sz w:val="24"/>
      <w:szCs w:val="24"/>
    </w:rPr>
  </w:style>
  <w:style w:type="character" w:customStyle="1" w:styleId="96">
    <w:name w:val="标题 8 Char"/>
    <w:link w:val="11"/>
    <w:qFormat/>
    <w:uiPriority w:val="0"/>
    <w:rPr>
      <w:rFonts w:ascii="Arial" w:hAnsi="Arial" w:eastAsia="黑体"/>
      <w:sz w:val="24"/>
      <w:szCs w:val="24"/>
    </w:rPr>
  </w:style>
  <w:style w:type="character" w:customStyle="1" w:styleId="97">
    <w:name w:val="标题 9 Char"/>
    <w:link w:val="12"/>
    <w:qFormat/>
    <w:uiPriority w:val="0"/>
    <w:rPr>
      <w:rFonts w:ascii="Arial" w:hAnsi="Arial" w:eastAsia="黑体"/>
      <w:sz w:val="21"/>
      <w:szCs w:val="21"/>
    </w:rPr>
  </w:style>
  <w:style w:type="character" w:customStyle="1" w:styleId="98">
    <w:name w:val="正文缩进 Char"/>
    <w:link w:val="15"/>
    <w:qFormat/>
    <w:uiPriority w:val="0"/>
  </w:style>
  <w:style w:type="character" w:customStyle="1" w:styleId="99">
    <w:name w:val="文档结构图 Char"/>
    <w:link w:val="17"/>
    <w:semiHidden/>
    <w:qFormat/>
    <w:uiPriority w:val="0"/>
    <w:rPr>
      <w:rFonts w:ascii="Heiti SC Light" w:hAnsi="Calibri" w:eastAsia="Times New Roman" w:cs="Times New Roman"/>
      <w:sz w:val="24"/>
      <w:szCs w:val="24"/>
    </w:rPr>
  </w:style>
  <w:style w:type="character" w:customStyle="1" w:styleId="100">
    <w:name w:val="批注文字 Char"/>
    <w:link w:val="14"/>
    <w:qFormat/>
    <w:uiPriority w:val="99"/>
    <w:rPr>
      <w:sz w:val="28"/>
    </w:rPr>
  </w:style>
  <w:style w:type="character" w:customStyle="1" w:styleId="101">
    <w:name w:val="正文文本 Char"/>
    <w:link w:val="18"/>
    <w:qFormat/>
    <w:uiPriority w:val="0"/>
    <w:rPr>
      <w:rFonts w:ascii="Times New Roman" w:hAnsi="Times New Roman" w:eastAsia="宋体" w:cs="Times New Roman"/>
      <w:sz w:val="24"/>
      <w:szCs w:val="24"/>
    </w:rPr>
  </w:style>
  <w:style w:type="character" w:customStyle="1" w:styleId="102">
    <w:name w:val="纯文本 Char"/>
    <w:link w:val="20"/>
    <w:qFormat/>
    <w:uiPriority w:val="0"/>
    <w:rPr>
      <w:rFonts w:ascii="宋体" w:hAnsi="Courier New" w:eastAsia="宋体" w:cs="Courier New"/>
      <w:szCs w:val="21"/>
    </w:rPr>
  </w:style>
  <w:style w:type="character" w:customStyle="1" w:styleId="103">
    <w:name w:val="批注框文本 Char"/>
    <w:link w:val="21"/>
    <w:qFormat/>
    <w:uiPriority w:val="0"/>
    <w:rPr>
      <w:rFonts w:ascii="Times New Roman" w:hAnsi="Times New Roman" w:eastAsia="宋体" w:cs="Times New Roman"/>
      <w:sz w:val="18"/>
      <w:szCs w:val="18"/>
    </w:rPr>
  </w:style>
  <w:style w:type="character" w:customStyle="1" w:styleId="104">
    <w:name w:val="页脚 Char"/>
    <w:link w:val="22"/>
    <w:qFormat/>
    <w:uiPriority w:val="99"/>
    <w:rPr>
      <w:rFonts w:ascii="Times New Roman" w:hAnsi="Times New Roman" w:eastAsia="宋体" w:cs="Times New Roman"/>
      <w:sz w:val="18"/>
      <w:szCs w:val="18"/>
    </w:rPr>
  </w:style>
  <w:style w:type="character" w:customStyle="1" w:styleId="105">
    <w:name w:val="页眉 Char"/>
    <w:link w:val="23"/>
    <w:qFormat/>
    <w:uiPriority w:val="0"/>
    <w:rPr>
      <w:rFonts w:ascii="Times New Roman" w:hAnsi="Times New Roman" w:eastAsia="宋体" w:cs="Times New Roman"/>
      <w:sz w:val="18"/>
      <w:szCs w:val="18"/>
    </w:rPr>
  </w:style>
  <w:style w:type="character" w:customStyle="1" w:styleId="106">
    <w:name w:val="正文文本缩进 3 Char"/>
    <w:link w:val="25"/>
    <w:qFormat/>
    <w:uiPriority w:val="0"/>
    <w:rPr>
      <w:rFonts w:ascii="Times New Roman" w:hAnsi="Times New Roman" w:eastAsia="宋体" w:cs="Times New Roman"/>
      <w:sz w:val="16"/>
      <w:szCs w:val="16"/>
    </w:rPr>
  </w:style>
  <w:style w:type="character" w:customStyle="1" w:styleId="107">
    <w:name w:val="标题 Char"/>
    <w:link w:val="27"/>
    <w:qFormat/>
    <w:uiPriority w:val="0"/>
    <w:rPr>
      <w:rFonts w:ascii="Cambria" w:hAnsi="Cambria" w:eastAsia="宋体" w:cs="Times New Roman"/>
      <w:b/>
      <w:bCs/>
      <w:sz w:val="32"/>
      <w:szCs w:val="32"/>
    </w:rPr>
  </w:style>
  <w:style w:type="character" w:customStyle="1" w:styleId="108">
    <w:name w:val="批注主题 Char"/>
    <w:link w:val="13"/>
    <w:semiHidden/>
    <w:qFormat/>
    <w:uiPriority w:val="99"/>
    <w:rPr>
      <w:rFonts w:ascii="Times New Roman" w:hAnsi="Times New Roman" w:eastAsia="宋体" w:cs="Times New Roman"/>
      <w:b/>
      <w:bCs/>
      <w:sz w:val="28"/>
      <w:szCs w:val="24"/>
    </w:rPr>
  </w:style>
  <w:style w:type="character" w:customStyle="1" w:styleId="109">
    <w:name w:val="批注文字 Char1"/>
    <w:qFormat/>
    <w:uiPriority w:val="0"/>
    <w:rPr>
      <w:rFonts w:ascii="Times New Roman" w:hAnsi="Times New Roman" w:eastAsia="宋体" w:cs="Times New Roman"/>
      <w:sz w:val="28"/>
      <w:szCs w:val="24"/>
    </w:rPr>
  </w:style>
  <w:style w:type="character" w:customStyle="1" w:styleId="110">
    <w:name w:val="apple-converted-space"/>
    <w:qFormat/>
    <w:uiPriority w:val="0"/>
  </w:style>
  <w:style w:type="character" w:customStyle="1" w:styleId="111">
    <w:name w:val="纯文本 Char1"/>
    <w:qFormat/>
    <w:uiPriority w:val="0"/>
    <w:rPr>
      <w:rFonts w:ascii="宋体" w:hAnsi="Courier New" w:cs="Courier New"/>
      <w:kern w:val="2"/>
      <w:sz w:val="21"/>
      <w:szCs w:val="21"/>
    </w:rPr>
  </w:style>
  <w:style w:type="character" w:customStyle="1" w:styleId="112">
    <w:name w:val="标题 3 Char1"/>
    <w:qFormat/>
    <w:uiPriority w:val="0"/>
    <w:rPr>
      <w:rFonts w:ascii="Times New Roman" w:hAnsi="Times New Roman" w:eastAsia="宋体" w:cs="Times New Roman"/>
      <w:sz w:val="24"/>
      <w:szCs w:val="20"/>
    </w:rPr>
  </w:style>
  <w:style w:type="character" w:customStyle="1" w:styleId="113">
    <w:name w:val="列出段落 Char"/>
    <w:link w:val="36"/>
    <w:qFormat/>
    <w:uiPriority w:val="34"/>
    <w:rPr>
      <w:kern w:val="2"/>
      <w:sz w:val="28"/>
      <w:szCs w:val="24"/>
    </w:rPr>
  </w:style>
  <w:style w:type="table" w:customStyle="1" w:styleId="114">
    <w:name w:val="网格型1"/>
    <w:basedOn w:val="34"/>
    <w:qFormat/>
    <w:locked/>
    <w:uiPriority w:val="59"/>
    <w:pPr/>
    <w:rPr>
      <w:rFonts w:ascii="Calibri" w:hAnsi="Calibri" w:cs="Calibri"/>
    </w:rPr>
    <w:tblPr>
      <w:tblStyle w:val="3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4124</Words>
  <Characters>23509</Characters>
  <Lines>195</Lines>
  <Paragraphs>55</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2023-03-16T01:40:00Z</dcterms:created>
  <dc:creator>TXJ</dc:creator>
  <cp:lastModifiedBy>hp</cp:lastModifiedBy>
  <cp:lastPrinted>2023-03-24T01:39:00Z</cp:lastPrinted>
  <dcterms:modified xsi:type="dcterms:W3CDTF">2023-03-27T03:16:30Z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2B0EF6955DA44457909BFBA98043F3A8</vt:lpwstr>
  </property>
</Properties>
</file>