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w:t>
      </w:r>
      <w:r>
        <w:rPr>
          <w:rFonts w:hint="eastAsia"/>
          <w:bCs/>
          <w:color w:val="auto"/>
          <w:sz w:val="32"/>
          <w:szCs w:val="32"/>
          <w:lang w:val="en-US" w:eastAsia="zh-CN"/>
        </w:rPr>
        <w:t>2023年学术资源采购项目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val="en-US" w:eastAsia="zh-CN"/>
        </w:rPr>
        <w:t>2023年学术资源</w:t>
      </w:r>
      <w:r>
        <w:rPr>
          <w:rFonts w:hint="eastAsia"/>
          <w:bCs/>
          <w:color w:val="auto"/>
          <w:sz w:val="32"/>
          <w:szCs w:val="32"/>
        </w:rPr>
        <w:t>采购</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2</w:t>
      </w:r>
      <w:r>
        <w:rPr>
          <w:color w:val="auto"/>
          <w:sz w:val="32"/>
          <w:szCs w:val="32"/>
        </w:rPr>
        <w:t>年</w:t>
      </w:r>
      <w:r>
        <w:rPr>
          <w:rFonts w:hint="eastAsia"/>
          <w:color w:val="auto"/>
          <w:sz w:val="32"/>
          <w:szCs w:val="32"/>
        </w:rPr>
        <w:t>1</w:t>
      </w:r>
      <w:r>
        <w:rPr>
          <w:rFonts w:hint="eastAsia"/>
          <w:color w:val="auto"/>
          <w:sz w:val="32"/>
          <w:szCs w:val="32"/>
          <w:lang w:val="en-US" w:eastAsia="zh-CN"/>
        </w:rPr>
        <w:t>1</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val="en-US" w:eastAsia="zh-CN"/>
        </w:rPr>
        <w:t>2023年学术资源</w:t>
      </w:r>
      <w:r>
        <w:rPr>
          <w:rFonts w:hint="eastAsia"/>
          <w:bCs/>
          <w:color w:val="auto"/>
          <w:sz w:val="24"/>
          <w:u w:val="single"/>
        </w:rPr>
        <w:t>采购项目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bCs/>
          <w:color w:val="auto"/>
          <w:sz w:val="24"/>
          <w:lang w:val="en-US" w:eastAsia="zh-CN"/>
        </w:rPr>
        <w:t>2023年学术资源</w:t>
      </w:r>
      <w:r>
        <w:rPr>
          <w:rFonts w:hint="eastAsia"/>
          <w:bCs/>
          <w:color w:val="auto"/>
          <w:sz w:val="24"/>
        </w:rPr>
        <w:t>采购项目</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文博行业知识资源库</w:t>
            </w:r>
          </w:p>
        </w:tc>
        <w:tc>
          <w:tcPr>
            <w:tcW w:w="2246" w:type="dxa"/>
            <w:tcBorders>
              <w:top w:val="single" w:color="000000" w:sz="4" w:space="0"/>
              <w:left w:val="nil"/>
              <w:right w:val="single" w:color="000000"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auto"/>
                <w:sz w:val="24"/>
              </w:rPr>
            </w:pP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15万</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2</w:t>
      </w:r>
      <w:r>
        <w:rPr>
          <w:rFonts w:hint="eastAsia" w:cs="宋体"/>
          <w:color w:val="auto"/>
          <w:sz w:val="24"/>
        </w:rPr>
        <w:t>年</w:t>
      </w:r>
      <w:r>
        <w:rPr>
          <w:rFonts w:hint="eastAsia"/>
          <w:color w:val="auto"/>
          <w:sz w:val="24"/>
          <w:lang w:val="en-US" w:eastAsia="zh-CN"/>
        </w:rPr>
        <w:t>11</w:t>
      </w:r>
      <w:r>
        <w:rPr>
          <w:rFonts w:hint="eastAsia" w:cs="宋体"/>
          <w:color w:val="auto"/>
          <w:sz w:val="24"/>
        </w:rPr>
        <w:t>月</w:t>
      </w:r>
      <w:r>
        <w:rPr>
          <w:rFonts w:hint="eastAsia" w:cs="宋体"/>
          <w:color w:val="auto"/>
          <w:sz w:val="24"/>
          <w:lang w:val="en-US" w:eastAsia="zh-CN"/>
        </w:rPr>
        <w:t>15</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2</w:t>
      </w:r>
      <w:r>
        <w:rPr>
          <w:color w:val="auto"/>
          <w:sz w:val="24"/>
        </w:rPr>
        <w:t>年</w:t>
      </w:r>
      <w:r>
        <w:rPr>
          <w:rFonts w:hint="eastAsia"/>
          <w:color w:val="auto"/>
          <w:sz w:val="24"/>
        </w:rPr>
        <w:t xml:space="preserve"> </w:t>
      </w:r>
      <w:r>
        <w:rPr>
          <w:rFonts w:hint="eastAsia"/>
          <w:color w:val="auto"/>
          <w:sz w:val="24"/>
          <w:lang w:val="en-US" w:eastAsia="zh-CN"/>
        </w:rPr>
        <w:t>11</w:t>
      </w:r>
      <w:r>
        <w:rPr>
          <w:color w:val="auto"/>
          <w:sz w:val="24"/>
        </w:rPr>
        <w:t>月</w:t>
      </w:r>
      <w:r>
        <w:rPr>
          <w:rFonts w:hint="eastAsia"/>
          <w:color w:val="auto"/>
          <w:sz w:val="24"/>
          <w:lang w:val="en-US" w:eastAsia="zh-CN"/>
        </w:rPr>
        <w:t>14日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val="en-US" w:eastAsia="zh-CN"/>
              </w:rPr>
              <w:t>2023年学术资源采购项目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20</w:t>
            </w:r>
            <w:r>
              <w:rPr>
                <w:rFonts w:hint="eastAsia"/>
                <w:bCs/>
                <w:color w:val="auto"/>
                <w:kern w:val="0"/>
                <w:sz w:val="24"/>
                <w:lang w:val="en-US" w:eastAsia="zh-CN"/>
              </w:rPr>
              <w:t>23</w:t>
            </w:r>
            <w:r>
              <w:rPr>
                <w:rFonts w:hint="eastAsia"/>
                <w:bCs/>
                <w:color w:val="auto"/>
                <w:kern w:val="0"/>
                <w:sz w:val="24"/>
              </w:rPr>
              <w:t>年</w:t>
            </w:r>
            <w:r>
              <w:rPr>
                <w:rFonts w:hint="eastAsia"/>
                <w:bCs/>
                <w:color w:val="auto"/>
                <w:kern w:val="0"/>
                <w:sz w:val="24"/>
                <w:lang w:val="en-US" w:eastAsia="zh-CN"/>
              </w:rPr>
              <w:t>学术资源</w:t>
            </w:r>
            <w:r>
              <w:rPr>
                <w:rFonts w:hint="eastAsia"/>
                <w:bCs/>
                <w:color w:val="auto"/>
                <w:kern w:val="0"/>
                <w:sz w:val="24"/>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15</w:t>
            </w:r>
            <w:r>
              <w:rPr>
                <w:rFonts w:hint="eastAsia"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杨理胜</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027—86793565</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r>
              <w:rPr>
                <w:rFonts w:hint="eastAsia"/>
                <w:color w:val="auto"/>
                <w:sz w:val="24"/>
                <w:szCs w:val="24"/>
                <w:lang w:val="en-US" w:eastAsia="zh-CN"/>
              </w:rPr>
              <w:t>所提供的学术资源需要经过合法授权。其中期刊需要包含：华夏考古、北方文物、中国陶瓷、中华文化论坛、中国社会经济史研究、民国档案、中国文化、中国文化研究（提供承诺及相关协议复印件）。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hint="eastAsia" w:ascii="Times New Roman" w:hAnsi="Times New Roman" w:cs="Times New Roman"/>
                <w:color w:val="auto"/>
                <w:sz w:val="24"/>
                <w:szCs w:val="24"/>
                <w:lang w:val="en-US" w:eastAsia="zh-CN"/>
              </w:rPr>
              <w:t>2022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22</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hint="eastAsia" w:ascii="Times New Roman" w:hAnsi="Times New Roman" w:cs="Times New Roman"/>
                <w:color w:val="auto"/>
                <w:sz w:val="24"/>
                <w:szCs w:val="24"/>
                <w:lang w:val="en-US" w:eastAsia="zh-CN"/>
              </w:rPr>
              <w:t>2022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22</w:t>
            </w:r>
            <w:bookmarkStart w:id="0" w:name="_GoBack"/>
            <w:bookmarkEnd w:id="0"/>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7"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color w:val="auto"/>
          <w:sz w:val="24"/>
          <w:lang w:eastAsia="zh-CN"/>
        </w:rPr>
        <w:t>合同签订后，供应商开通相关服务功能，经采购人验收合格后，供应商提供发票，采购人在</w:t>
      </w:r>
      <w:r>
        <w:rPr>
          <w:rFonts w:hint="eastAsia"/>
          <w:color w:val="auto"/>
          <w:sz w:val="24"/>
          <w:lang w:val="en-US" w:eastAsia="zh-CN"/>
        </w:rPr>
        <w:t>20个工作日之内支付合同款，采购人</w:t>
      </w:r>
      <w:r>
        <w:rPr>
          <w:rFonts w:hint="eastAsia" w:cs="宋体"/>
          <w:color w:val="auto"/>
          <w:sz w:val="24"/>
        </w:rPr>
        <w:t>报省财政厅办理相应金额的支付手续</w:t>
      </w:r>
      <w:r>
        <w:rPr>
          <w:rFonts w:hint="eastAsia" w:cs="宋体"/>
          <w:color w:val="auto"/>
          <w:sz w:val="24"/>
          <w:lang w:eastAsia="zh-CN"/>
        </w:rPr>
        <w:t>，视同履行支付责任</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Merge w:val="restart"/>
            <w:vAlign w:val="center"/>
          </w:tcPr>
          <w:p>
            <w:pPr>
              <w:jc w:val="center"/>
              <w:rPr>
                <w:rFonts w:ascii="宋体" w:hAnsi="宋体"/>
                <w:caps/>
                <w:color w:val="auto"/>
                <w:sz w:val="24"/>
              </w:rPr>
            </w:pPr>
            <w:r>
              <w:rPr>
                <w:rFonts w:hint="eastAsia" w:ascii="宋体" w:hAnsi="宋体"/>
                <w:caps/>
                <w:color w:val="auto"/>
                <w:sz w:val="24"/>
              </w:rPr>
              <w:t>1</w:t>
            </w:r>
          </w:p>
        </w:tc>
        <w:tc>
          <w:tcPr>
            <w:tcW w:w="1750" w:type="dxa"/>
            <w:vMerge w:val="restart"/>
            <w:vAlign w:val="center"/>
          </w:tcPr>
          <w:p>
            <w:pPr>
              <w:jc w:val="center"/>
              <w:rPr>
                <w:rFonts w:ascii="宋体" w:hAnsi="宋体"/>
                <w:caps/>
                <w:color w:val="auto"/>
                <w:sz w:val="24"/>
              </w:rPr>
            </w:pPr>
            <w:r>
              <w:rPr>
                <w:rFonts w:hint="eastAsia" w:ascii="宋体" w:hAnsi="宋体"/>
                <w:caps/>
                <w:color w:val="auto"/>
                <w:sz w:val="24"/>
              </w:rPr>
              <w:t>文博行业知识资源库</w:t>
            </w:r>
          </w:p>
        </w:tc>
        <w:tc>
          <w:tcPr>
            <w:tcW w:w="1117" w:type="dxa"/>
            <w:vMerge w:val="restart"/>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1</w:t>
            </w:r>
          </w:p>
        </w:tc>
        <w:tc>
          <w:tcPr>
            <w:tcW w:w="5730" w:type="dxa"/>
            <w:vAlign w:val="center"/>
          </w:tcPr>
          <w:p>
            <w:pPr>
              <w:jc w:val="left"/>
              <w:rPr>
                <w:rFonts w:hint="eastAsia" w:ascii="宋体" w:hAnsi="宋体" w:eastAsia="宋体"/>
                <w:caps/>
                <w:color w:val="auto"/>
                <w:sz w:val="24"/>
                <w:lang w:eastAsia="zh-CN"/>
              </w:rPr>
            </w:pPr>
            <w:r>
              <w:rPr>
                <w:rFonts w:hint="eastAsia" w:ascii="宋体" w:hAnsi="宋体" w:cs="Times New Roman"/>
                <w:caps/>
                <w:color w:val="auto"/>
                <w:sz w:val="24"/>
              </w:rPr>
              <w:t>分类体系：针对文博行业跨学科广泛特点和行业使用习惯，设置文博知识导航、学科导航两套体系。文博知识导航分为博物馆研究、文物研究、考古研究、历史研究、相关学科5类；学科导航分为基础学科、工程科技、农林医学、哲学与人文、社会科学、信息科技、经济与管理7类</w:t>
            </w:r>
            <w:r>
              <w:rPr>
                <w:rFonts w:hint="eastAsia" w:ascii="宋体" w:hAnsi="宋体" w:cs="Times New Roman"/>
                <w:caps/>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Merge w:val="continue"/>
            <w:vAlign w:val="center"/>
          </w:tcPr>
          <w:p>
            <w:pPr>
              <w:jc w:val="center"/>
              <w:rPr>
                <w:rFonts w:ascii="宋体" w:hAnsi="宋体"/>
                <w:caps/>
                <w:color w:val="auto"/>
                <w:sz w:val="24"/>
              </w:rPr>
            </w:pPr>
          </w:p>
        </w:tc>
        <w:tc>
          <w:tcPr>
            <w:tcW w:w="1750" w:type="dxa"/>
            <w:vMerge w:val="continue"/>
            <w:vAlign w:val="center"/>
          </w:tcPr>
          <w:p>
            <w:pPr>
              <w:jc w:val="center"/>
              <w:rPr>
                <w:rFonts w:ascii="宋体" w:hAnsi="宋体" w:cs="宋体"/>
                <w:color w:val="auto"/>
                <w:sz w:val="24"/>
              </w:rPr>
            </w:pPr>
          </w:p>
        </w:tc>
        <w:tc>
          <w:tcPr>
            <w:tcW w:w="1117" w:type="dxa"/>
            <w:vMerge w:val="continue"/>
            <w:vAlign w:val="center"/>
          </w:tcPr>
          <w:p>
            <w:pPr>
              <w:jc w:val="center"/>
              <w:rPr>
                <w:rFonts w:ascii="宋体" w:hAnsi="宋体"/>
                <w:caps/>
                <w:color w:val="auto"/>
                <w:sz w:val="24"/>
              </w:rPr>
            </w:pPr>
          </w:p>
        </w:tc>
        <w:tc>
          <w:tcPr>
            <w:tcW w:w="5730" w:type="dxa"/>
            <w:vAlign w:val="center"/>
          </w:tcPr>
          <w:p>
            <w:pPr>
              <w:jc w:val="left"/>
              <w:rPr>
                <w:rFonts w:ascii="宋体" w:hAnsi="宋体"/>
                <w:caps/>
                <w:color w:val="auto"/>
                <w:sz w:val="24"/>
              </w:rPr>
            </w:pPr>
            <w:r>
              <w:rPr>
                <w:rFonts w:hint="eastAsia"/>
                <w:color w:val="auto"/>
                <w:sz w:val="24"/>
                <w:szCs w:val="24"/>
                <w:lang w:val="en-US" w:eastAsia="zh-CN"/>
              </w:rPr>
              <w:t>资源需要经过合法授权。其中期刊需要包含：华夏考古、北方文物、中国陶瓷、中华文化论坛、中国社会经济史研究、民国档案、中国文化、中国文化研究（提供承诺及相关协议复印件）。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Merge w:val="continue"/>
            <w:vAlign w:val="center"/>
          </w:tcPr>
          <w:p>
            <w:pPr>
              <w:jc w:val="center"/>
              <w:rPr>
                <w:rFonts w:ascii="宋体" w:hAnsi="宋体"/>
                <w:caps/>
                <w:color w:val="auto"/>
                <w:sz w:val="24"/>
              </w:rPr>
            </w:pPr>
          </w:p>
        </w:tc>
        <w:tc>
          <w:tcPr>
            <w:tcW w:w="1750" w:type="dxa"/>
            <w:vMerge w:val="continue"/>
            <w:vAlign w:val="center"/>
          </w:tcPr>
          <w:p>
            <w:pPr>
              <w:ind w:left="240" w:hanging="240" w:hangingChars="100"/>
              <w:jc w:val="center"/>
              <w:rPr>
                <w:rFonts w:ascii="宋体" w:hAnsi="宋体"/>
                <w:caps/>
                <w:color w:val="auto"/>
                <w:sz w:val="24"/>
              </w:rPr>
            </w:pPr>
          </w:p>
        </w:tc>
        <w:tc>
          <w:tcPr>
            <w:tcW w:w="1117" w:type="dxa"/>
            <w:vMerge w:val="continue"/>
            <w:vAlign w:val="center"/>
          </w:tcPr>
          <w:p>
            <w:pPr>
              <w:jc w:val="center"/>
              <w:rPr>
                <w:rFonts w:ascii="宋体" w:hAnsi="宋体"/>
                <w:caps/>
                <w:color w:val="auto"/>
                <w:sz w:val="24"/>
              </w:rPr>
            </w:pPr>
          </w:p>
        </w:tc>
        <w:tc>
          <w:tcPr>
            <w:tcW w:w="5730" w:type="dxa"/>
            <w:vAlign w:val="center"/>
          </w:tcPr>
          <w:p>
            <w:pPr>
              <w:jc w:val="left"/>
              <w:rPr>
                <w:rFonts w:ascii="宋体" w:hAnsi="宋体"/>
                <w:caps/>
                <w:color w:val="auto"/>
                <w:sz w:val="24"/>
              </w:rPr>
            </w:pPr>
            <w:r>
              <w:rPr>
                <w:rFonts w:hint="eastAsia" w:ascii="宋体" w:hAnsi="宋体" w:cs="Times New Roman"/>
                <w:caps/>
                <w:color w:val="auto"/>
                <w:sz w:val="24"/>
                <w:lang w:eastAsia="zh-CN"/>
              </w:rPr>
              <w:t>资源内容要求包含期刊、博硕士论文、报纸、年鉴、法规、标准等。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Merge w:val="continue"/>
            <w:vAlign w:val="center"/>
          </w:tcPr>
          <w:p>
            <w:pPr>
              <w:jc w:val="center"/>
              <w:rPr>
                <w:rFonts w:ascii="宋体" w:hAnsi="宋体"/>
                <w:caps/>
                <w:color w:val="auto"/>
                <w:sz w:val="24"/>
              </w:rPr>
            </w:pPr>
          </w:p>
        </w:tc>
        <w:tc>
          <w:tcPr>
            <w:tcW w:w="1750" w:type="dxa"/>
            <w:vMerge w:val="continue"/>
            <w:vAlign w:val="center"/>
          </w:tcPr>
          <w:p>
            <w:pPr>
              <w:jc w:val="center"/>
              <w:rPr>
                <w:rFonts w:ascii="宋体" w:hAnsi="宋体"/>
                <w:caps/>
                <w:color w:val="auto"/>
                <w:sz w:val="24"/>
              </w:rPr>
            </w:pPr>
          </w:p>
        </w:tc>
        <w:tc>
          <w:tcPr>
            <w:tcW w:w="1117" w:type="dxa"/>
            <w:vMerge w:val="continue"/>
            <w:vAlign w:val="center"/>
          </w:tcPr>
          <w:p>
            <w:pPr>
              <w:jc w:val="center"/>
              <w:rPr>
                <w:rFonts w:ascii="宋体" w:hAnsi="宋体"/>
                <w:caps/>
                <w:color w:val="auto"/>
                <w:sz w:val="24"/>
              </w:rPr>
            </w:pPr>
          </w:p>
        </w:tc>
        <w:tc>
          <w:tcPr>
            <w:tcW w:w="5730" w:type="dxa"/>
            <w:vAlign w:val="center"/>
          </w:tcPr>
          <w:p>
            <w:pPr>
              <w:jc w:val="left"/>
              <w:rPr>
                <w:rFonts w:ascii="宋体" w:hAnsi="宋体"/>
                <w:caps/>
                <w:color w:val="auto"/>
                <w:sz w:val="24"/>
              </w:rPr>
            </w:pPr>
            <w:r>
              <w:rPr>
                <w:rFonts w:hint="eastAsia" w:ascii="宋体" w:hAnsi="宋体" w:cs="Times New Roman"/>
                <w:caps/>
                <w:color w:val="auto"/>
                <w:sz w:val="24"/>
                <w:lang w:eastAsia="zh-CN"/>
              </w:rPr>
              <w:t>整书整刊导览：为用户提供行业专业图书、考古报告、工具书的整书在线阅读，以及期刊、年鉴的整刊在线浏览和下载的良好体验。</w:t>
            </w:r>
          </w:p>
        </w:tc>
      </w:tr>
    </w:tbl>
    <w:p>
      <w:pPr>
        <w:spacing w:line="440" w:lineRule="exact"/>
        <w:rPr>
          <w:rFonts w:hint="eastAsia" w:ascii="宋体" w:hAnsi="宋体" w:eastAsia="宋体"/>
          <w:color w:val="auto"/>
          <w:sz w:val="24"/>
          <w:szCs w:val="22"/>
          <w:lang w:eastAsia="zh-CN"/>
        </w:rPr>
      </w:pPr>
      <w:r>
        <w:rPr>
          <w:rFonts w:hint="eastAsia" w:ascii="宋体" w:hAnsi="宋体"/>
          <w:color w:val="auto"/>
          <w:sz w:val="24"/>
          <w:szCs w:val="22"/>
        </w:rPr>
        <w:t>总体要求：</w:t>
      </w:r>
    </w:p>
    <w:p>
      <w:pPr>
        <w:spacing w:line="440" w:lineRule="exact"/>
        <w:rPr>
          <w:rFonts w:hint="eastAsia" w:ascii="宋体" w:hAnsi="宋体"/>
          <w:color w:val="auto"/>
          <w:sz w:val="24"/>
          <w:szCs w:val="22"/>
        </w:rPr>
      </w:pPr>
      <w:r>
        <w:rPr>
          <w:rFonts w:hint="eastAsia" w:ascii="宋体" w:hAnsi="宋体"/>
          <w:b w:val="0"/>
          <w:bCs w:val="0"/>
          <w:color w:val="auto"/>
          <w:sz w:val="24"/>
          <w:szCs w:val="22"/>
          <w:lang w:val="en-US" w:eastAsia="zh-CN"/>
        </w:rPr>
        <w:t>一</w:t>
      </w:r>
      <w:r>
        <w:rPr>
          <w:rFonts w:hint="eastAsia" w:ascii="宋体" w:hAnsi="宋体"/>
          <w:color w:val="auto"/>
          <w:sz w:val="24"/>
          <w:szCs w:val="22"/>
        </w:rPr>
        <w:t>、</w:t>
      </w:r>
      <w:r>
        <w:rPr>
          <w:rFonts w:hint="eastAsia" w:ascii="宋体" w:hAnsi="宋体"/>
          <w:color w:val="auto"/>
          <w:sz w:val="24"/>
          <w:szCs w:val="22"/>
          <w:lang w:eastAsia="zh-CN"/>
        </w:rPr>
        <w:t>正式</w:t>
      </w:r>
      <w:r>
        <w:rPr>
          <w:rFonts w:hint="eastAsia" w:ascii="宋体" w:hAnsi="宋体"/>
          <w:color w:val="auto"/>
          <w:sz w:val="24"/>
          <w:szCs w:val="22"/>
        </w:rPr>
        <w:t>出版</w:t>
      </w:r>
      <w:r>
        <w:rPr>
          <w:rFonts w:hint="eastAsia" w:ascii="宋体" w:hAnsi="宋体"/>
          <w:color w:val="auto"/>
          <w:sz w:val="24"/>
          <w:szCs w:val="22"/>
          <w:lang w:eastAsia="zh-CN"/>
        </w:rPr>
        <w:t>的学术资源</w:t>
      </w:r>
      <w:r>
        <w:rPr>
          <w:rFonts w:hint="eastAsia" w:ascii="宋体" w:hAnsi="宋体"/>
          <w:color w:val="auto"/>
          <w:sz w:val="24"/>
          <w:szCs w:val="22"/>
        </w:rPr>
        <w:t>内容要求</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lang w:val="en-US" w:eastAsia="zh-CN"/>
        </w:rPr>
        <w:t>1、</w:t>
      </w:r>
      <w:r>
        <w:rPr>
          <w:rFonts w:hint="eastAsia" w:ascii="宋体" w:hAnsi="宋体"/>
          <w:color w:val="auto"/>
          <w:sz w:val="24"/>
          <w:szCs w:val="22"/>
        </w:rPr>
        <w:t>资源内容要求包含期刊、博硕士论文、报纸、年鉴、法规、标准等。</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lang w:val="en-US" w:eastAsia="zh-CN"/>
        </w:rPr>
        <w:t>2、</w:t>
      </w:r>
      <w:r>
        <w:rPr>
          <w:rFonts w:hint="eastAsia" w:ascii="宋体" w:hAnsi="宋体"/>
          <w:color w:val="auto"/>
          <w:sz w:val="24"/>
          <w:szCs w:val="22"/>
        </w:rPr>
        <w:t>资源范围历史、考古、博物馆、地理、生物、化学、医学、计算机</w:t>
      </w:r>
      <w:r>
        <w:rPr>
          <w:rFonts w:hint="eastAsia" w:ascii="宋体" w:hAnsi="宋体"/>
          <w:color w:val="auto"/>
          <w:sz w:val="24"/>
          <w:szCs w:val="22"/>
          <w:lang w:eastAsia="zh-CN"/>
        </w:rPr>
        <w:t>、经济</w:t>
      </w:r>
      <w:r>
        <w:rPr>
          <w:rFonts w:hint="eastAsia" w:ascii="宋体" w:hAnsi="宋体"/>
          <w:color w:val="auto"/>
          <w:sz w:val="24"/>
          <w:szCs w:val="22"/>
        </w:rPr>
        <w:t>等众多自然和人文科学学科，满足文博行业跨学科广泛的知识需求。</w:t>
      </w:r>
    </w:p>
    <w:p>
      <w:pPr>
        <w:spacing w:line="440" w:lineRule="exact"/>
        <w:ind w:firstLine="480" w:firstLineChars="200"/>
        <w:rPr>
          <w:rFonts w:hint="eastAsia"/>
          <w:color w:val="auto"/>
          <w:sz w:val="24"/>
          <w:szCs w:val="24"/>
          <w:lang w:val="en-US" w:eastAsia="zh-CN"/>
        </w:rPr>
      </w:pPr>
      <w:r>
        <w:rPr>
          <w:rFonts w:hint="eastAsia" w:ascii="宋体" w:hAnsi="宋体"/>
          <w:color w:val="auto"/>
          <w:sz w:val="24"/>
          <w:szCs w:val="22"/>
          <w:lang w:val="en-US" w:eastAsia="zh-CN"/>
        </w:rPr>
        <w:t>3、</w:t>
      </w:r>
      <w:r>
        <w:rPr>
          <w:rFonts w:hint="eastAsia" w:ascii="宋体" w:hAnsi="宋体"/>
          <w:color w:val="auto"/>
          <w:sz w:val="24"/>
          <w:szCs w:val="22"/>
        </w:rPr>
        <w:t>资源需要经过合法授权。其中期刊需要包含：华夏考古、北方文物、中国陶瓷、中华文化论坛、中国社会经济史研究、民国档案、中国文化、中国文化研究</w:t>
      </w:r>
      <w:r>
        <w:rPr>
          <w:rFonts w:hint="eastAsia"/>
          <w:color w:val="auto"/>
          <w:sz w:val="24"/>
          <w:szCs w:val="24"/>
          <w:lang w:val="en-US" w:eastAsia="zh-CN"/>
        </w:rPr>
        <w:t>（提供承诺及相关协议复印件）。</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lang w:val="en-US" w:eastAsia="zh-CN"/>
        </w:rPr>
        <w:t>4、</w:t>
      </w:r>
      <w:r>
        <w:rPr>
          <w:rFonts w:hint="eastAsia" w:ascii="宋体" w:hAnsi="宋体"/>
          <w:color w:val="auto"/>
          <w:sz w:val="24"/>
          <w:szCs w:val="22"/>
        </w:rPr>
        <w:t>资源要求包含文博行业所需文物图录、展览图册、研究专著、论文集、史料等图书。</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lang w:val="en-US" w:eastAsia="zh-CN"/>
        </w:rPr>
        <w:t>5、</w:t>
      </w:r>
      <w:r>
        <w:rPr>
          <w:rFonts w:hint="eastAsia" w:ascii="宋体" w:hAnsi="宋体"/>
          <w:color w:val="auto"/>
          <w:sz w:val="24"/>
          <w:szCs w:val="22"/>
        </w:rPr>
        <w:t>要求能够开通账号，实现资源的网上访问。并提供20个不限IP地址的账号，实现单位外的个人访问。</w:t>
      </w:r>
    </w:p>
    <w:p>
      <w:pPr>
        <w:spacing w:line="440" w:lineRule="exact"/>
        <w:rPr>
          <w:rFonts w:hint="eastAsia" w:ascii="宋体" w:hAnsi="宋体"/>
          <w:color w:val="auto"/>
          <w:sz w:val="24"/>
          <w:szCs w:val="22"/>
        </w:rPr>
      </w:pPr>
      <w:r>
        <w:rPr>
          <w:rFonts w:hint="eastAsia" w:ascii="宋体" w:hAnsi="宋体"/>
          <w:color w:val="auto"/>
          <w:sz w:val="24"/>
          <w:szCs w:val="22"/>
          <w:lang w:eastAsia="zh-CN"/>
        </w:rPr>
        <w:t>二</w:t>
      </w:r>
      <w:r>
        <w:rPr>
          <w:rFonts w:hint="eastAsia" w:ascii="宋体" w:hAnsi="宋体"/>
          <w:color w:val="auto"/>
          <w:sz w:val="24"/>
          <w:szCs w:val="22"/>
        </w:rPr>
        <w:t>、平台功能要求</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rPr>
        <w:t>1、分类体系：针对文博行业跨学科广泛特点和行业使用习惯，设置文博知识导航、学科导航两套体系。文博知识导航分为博物馆研究、文物研究、考古研究、历史研究、相关学科5类；学科导航分为基础学科、工程科技、农林医学、哲学与人文、社会科学、信息科技、经济与管理7类。</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rPr>
        <w:t>2、一站式检索：超越单一、单库检索方式，可同时选择图书、考古报告、期刊、博硕、会议等若干资源库统一底层检索，也可在图书、考古报告等库中选择书名、章节名称、出版者、出版单位等特有字段实现跨库检索，提供多种检索方式方便用户查询。</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rPr>
        <w:t>3、学者、机构成果展示：同时展示文博、考古、文物、历史类权威学者与博物馆、考古所文博机构的学术风采，用户可借助发文篇数、被引频次、H指数、G指数等多项分析指标了解行业学术发展及成果扩散情况，分析写作脉络，广泛传播个人学术成果，把握行业研究热点和创新点。</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rPr>
        <w:t>4、整书整刊导览：为用户提供行业专业图书、考古报告、工具书的整书在线阅读，以及期刊、年鉴的整刊在线浏览和下载的良好体验。</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rPr>
        <w:t>5、资源稳定：文献数据经服务器部署，稳定性高。</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rPr>
        <w:t>6、构建知识网络：可提供单篇文献的详细信息和扩展信息浏览，通过概念相关、事实相关等方法提示知识之间的关联关系，进行知识扩展，帮助用户获取和发现知识，依托系列数据库资源，如学位论文、会议论文、报纸等，不仅显示参考文献、引证文献这些基本的延伸内容，还提供二级参考文献、二级引证文献、共引文献、同被引文献、同行关注文献、相关作者文献、相关机构文献等，方便用户最快速的获取相关度高的文献内容。</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rPr>
        <w:t>7、必须提供自主开发的全文阅读器，支持屏幕取词，可对专有名词进行当前页面释义；可切换显示语言，除提供简体中文，还提供了繁体中文、英文显示方式便于读者使用；可实现文本图像摘录，并可以将摘录结果粘到WPS、WORD等文本编辑器中进行任意编辑；可以快速保存文件中原始图片，也可以进行打印、email、文字识别、发送到WORD等多种操作。</w:t>
      </w:r>
    </w:p>
    <w:p>
      <w:pPr>
        <w:spacing w:line="440" w:lineRule="exact"/>
        <w:ind w:firstLine="480" w:firstLineChars="200"/>
        <w:rPr>
          <w:rFonts w:ascii="宋体" w:hAnsi="宋体"/>
          <w:color w:val="auto"/>
          <w:sz w:val="24"/>
          <w:szCs w:val="22"/>
        </w:rPr>
      </w:pPr>
      <w:r>
        <w:rPr>
          <w:rFonts w:hint="eastAsia" w:ascii="宋体" w:hAnsi="宋体"/>
          <w:color w:val="auto"/>
          <w:sz w:val="24"/>
          <w:szCs w:val="22"/>
        </w:rPr>
        <w:t>8、必须能直接下载全文数据，不能通过原文传递等方式间接获取。</w:t>
      </w:r>
    </w:p>
    <w:p>
      <w:pPr>
        <w:spacing w:line="440" w:lineRule="exact"/>
        <w:rPr>
          <w:rFonts w:ascii="宋体" w:hAnsi="宋体"/>
          <w:color w:val="auto"/>
          <w:sz w:val="24"/>
          <w:szCs w:val="22"/>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hint="eastAsia"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hint="eastAsia" w:ascii="宋体" w:hAnsi="宋体" w:cs="宋体"/>
          <w:caps/>
          <w:color w:val="auto"/>
          <w:sz w:val="24"/>
        </w:rPr>
      </w:pPr>
    </w:p>
    <w:p>
      <w:pPr>
        <w:shd w:val="clear" w:color="auto" w:fill="FFFFFF"/>
        <w:spacing w:line="360" w:lineRule="auto"/>
        <w:ind w:firstLine="240" w:firstLineChars="100"/>
        <w:rPr>
          <w:rFonts w:hint="eastAsia" w:ascii="宋体" w:hAnsi="宋体" w:cs="宋体"/>
          <w:caps/>
          <w:color w:val="auto"/>
          <w:sz w:val="24"/>
        </w:rPr>
      </w:pPr>
    </w:p>
    <w:p>
      <w:pPr>
        <w:shd w:val="clear" w:color="auto" w:fill="FFFFFF"/>
        <w:spacing w:line="360" w:lineRule="auto"/>
        <w:ind w:firstLine="240" w:firstLineChars="100"/>
        <w:rPr>
          <w:rFonts w:hint="eastAsia" w:ascii="宋体" w:hAnsi="宋体" w:cs="宋体"/>
          <w:caps/>
          <w:color w:val="auto"/>
          <w:sz w:val="24"/>
        </w:rPr>
      </w:pPr>
    </w:p>
    <w:p>
      <w:pPr>
        <w:rPr>
          <w:color w:val="auto"/>
          <w:sz w:val="36"/>
          <w:szCs w:val="36"/>
        </w:rPr>
      </w:pPr>
      <w:r>
        <w:rPr>
          <w:color w:val="auto"/>
          <w:sz w:val="36"/>
          <w:szCs w:val="36"/>
        </w:rPr>
        <w:br w:type="page"/>
      </w: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DRlY2VkNTExOWFiNDE1NjM5Yjk5Y2QyMmY3MWFiZmU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32269F1"/>
    <w:rsid w:val="05C73896"/>
    <w:rsid w:val="0D7E343F"/>
    <w:rsid w:val="0E226109"/>
    <w:rsid w:val="105E4EB9"/>
    <w:rsid w:val="1E010704"/>
    <w:rsid w:val="2FE1638A"/>
    <w:rsid w:val="32625492"/>
    <w:rsid w:val="3FE9474A"/>
    <w:rsid w:val="449619FE"/>
    <w:rsid w:val="44DE3F75"/>
    <w:rsid w:val="459A31DC"/>
    <w:rsid w:val="49CA3953"/>
    <w:rsid w:val="53C33AC7"/>
    <w:rsid w:val="5763717A"/>
    <w:rsid w:val="58870F33"/>
    <w:rsid w:val="636E626A"/>
    <w:rsid w:val="64797A19"/>
    <w:rsid w:val="64B6142D"/>
    <w:rsid w:val="6BCC1D0C"/>
    <w:rsid w:val="6F534933"/>
    <w:rsid w:val="773A0DD5"/>
    <w:rsid w:val="7A6F5A8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9755</Words>
  <Characters>10118</Characters>
  <Lines>72</Lines>
  <Paragraphs>20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2022-11-14T03:34:17Z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3F70FFB5CFA142448EEE20FA5B7E199E</vt:lpwstr>
  </property>
</Properties>
</file>