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00" w:lineRule="atLeast"/>
        <w:ind w:left="0" w:right="0" w:firstLine="0"/>
        <w:jc w:val="left"/>
        <w:rPr>
          <w:rFonts w:ascii="����" w:hAnsi="����"/>
          <w:b w:val="0"/>
          <w:bCs w:val="0"/>
          <w:i w:val="0"/>
          <w:iCs w:val="0"/>
          <w:caps w:val="0"/>
          <w:smallCaps w:val="0"/>
          <w:vanish w:val="0"/>
          <w:color w:val="000000"/>
          <w:spacing w:val="0"/>
          <w:sz w:val="27"/>
          <w:szCs w:val="27"/>
        </w:rPr>
      </w:pPr>
      <w:r>
        <w:rPr>
          <w:rFonts w:ascii="����" w:hAnsi="����"/>
          <w:b w:val="0"/>
          <w:bCs w:val="0"/>
          <w:i w:val="0"/>
          <w:iCs w:val="0"/>
          <w:caps w:val="0"/>
          <w:smallCaps w:val="0"/>
          <w:vanish w:val="0"/>
          <w:color w:val="000000"/>
          <w:spacing w:val="0"/>
          <w:sz w:val="27"/>
          <w:szCs w:val="27"/>
        </w:rPr>
        <w:t>　附件：医疗器械注册信息表（2018年10-12月）</w:t>
      </w:r>
    </w:p>
    <w:p>
      <w:pPr>
        <w:pStyle w:val="92"/>
        <w:pBdr>
          <w:top w:val="none" w:sz="0" w:space="0" w:color="auto"/>
          <w:left w:val="none" w:sz="0" w:space="0" w:color="auto"/>
          <w:bottom w:val="none" w:sz="0" w:space="0" w:color="auto"/>
          <w:right w:val="none" w:sz="0" w:space="0" w:color="auto"/>
        </w:pBdr>
        <w:shd w:val="clear" w:color="auto" w:fill="FFFFFF"/>
        <w:spacing w:before="0" w:beforeAutospacing="0" w:after="0" w:afterAutospacing="0" w:line="800" w:lineRule="atLeast"/>
        <w:ind w:left="0" w:right="0" w:firstLine="0"/>
        <w:jc w:val="right"/>
        <w:rPr>
          <w:rFonts w:ascii="����" w:hAnsi="����"/>
          <w:b w:val="0"/>
          <w:bCs w:val="0"/>
          <w:i w:val="0"/>
          <w:iCs w:val="0"/>
          <w:caps w:val="0"/>
          <w:smallCaps w:val="0"/>
          <w:vanish w:val="0"/>
          <w:color w:val="000000"/>
          <w:spacing w:val="0"/>
          <w:sz w:val="27"/>
          <w:szCs w:val="27"/>
        </w:rPr>
      </w:pPr>
      <w:r>
        <w:rPr>
          <w:rFonts w:ascii="����" w:hAnsi="����"/>
          <w:b w:val="0"/>
          <w:bCs w:val="0"/>
          <w:i w:val="0"/>
          <w:iCs w:val="0"/>
          <w:caps w:val="0"/>
          <w:smallCaps w:val="0"/>
          <w:vanish w:val="0"/>
          <w:color w:val="000000"/>
          <w:spacing w:val="0"/>
          <w:sz w:val="27"/>
          <w:szCs w:val="27"/>
        </w:rPr>
        <w:t>　　2019年01月18日</w:t>
      </w:r>
    </w:p>
    <w:tbl>
      <w:tblPr>
        <w:jc w:val="lef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0" w:type="dxa"/>
          <w:left w:w="0" w:type="dxa"/>
          <w:bottom w:w="0" w:type="dxa"/>
          <w:right w:w="0" w:type="dxa"/>
        </w:tblCellMar>
      </w:tblPr>
      <w:tblGrid>
        <w:gridCol w:w="249"/>
        <w:gridCol w:w="76"/>
        <w:gridCol w:w="552"/>
        <w:gridCol w:w="435"/>
        <w:gridCol w:w="1392"/>
        <w:gridCol w:w="1946"/>
        <w:gridCol w:w="225"/>
        <w:gridCol w:w="1089"/>
        <w:gridCol w:w="1089"/>
        <w:gridCol w:w="1089"/>
        <w:gridCol w:w="181"/>
      </w:tblGrid>
      <w:tr>
        <w:trPr>
          <w:trHeight w:val="599"/>
        </w:trPr>
        <w:tc>
          <w:tcPr>
            <w:tcW w:w="42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序号</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注册证号</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产品分类</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注册人名称</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产品名称</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变更内容</w:t>
            </w:r>
          </w:p>
        </w:tc>
        <w:tc>
          <w:tcPr>
            <w:tcW w:w="9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注册形式 </w:t>
            </w:r>
          </w:p>
        </w:tc>
        <w:tc>
          <w:tcPr>
            <w:tcW w:w="115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批准日期</w:t>
            </w:r>
          </w:p>
        </w:tc>
        <w:tc>
          <w:tcPr>
            <w:tcW w:w="130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注册证有效  截止日期</w:t>
            </w:r>
          </w:p>
        </w:tc>
        <w:tc>
          <w:tcPr>
            <w:tcW w:w="11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变更日期</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延续注册产品                                                      原注册证号</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鄂械注准20142261557</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6826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武汉弘景医疗科技发展有限公司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低频产后治疗仪</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注册人住所和生产地址由“武汉市东湖开发区关山口特1号柏景阁2-7B”变更为“武汉市硚口区古田二路（汇丰企业总部）2栋2层3号”。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W w:w="115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2014-12-18</w:t>
            </w:r>
          </w:p>
        </w:tc>
        <w:tc>
          <w:tcPr>
            <w:tcW w:w="130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2019-12-17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鄂械注准20152642156</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一次性使用手术衣</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2015-08-24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2020-8-23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鄂械注准20132641395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手术巾</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2017-10-30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2022-10-29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鄂械注准20142640979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纱布片</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2017-10-30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2022-10-29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鄂械注准20142641389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无纺布片</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2018-01-09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2023-01-08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鄂械注准20142641388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无纺布球</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2018-01-09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2023-01-08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7</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鄂械注准20142642040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眼垫</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2014-11-13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2019-11-12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8</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鄂械注准20142642041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医用单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2014-11-13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2019-11-12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9</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鄂械注准20142642042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医用吸收垫</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2014-11-13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2019-11-12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10</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鄂械注准20152642154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医用外科手套</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2015-08-24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2020-08-23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11</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鄂械注准20152642155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敷贴</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2015-08-24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2020-08-23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12</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鄂械注准20152642157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手术铺巾</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2015-08-24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2020-08-23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13</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鄂械注准20152642160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棉垫</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2015-08-31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2020-08-30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14</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鄂械注准20152642161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不粘伤口片</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2015-08-31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2020-08-30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15</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鄂械注准20152642162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纱布球</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2015-08-31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2020-08-30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16</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鄂械注准20152642163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手术帽</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2015-08-31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2020-08-30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17</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鄂械注准20152642164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鞋套</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2015-08-31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2020-08-30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18</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鄂械注准20152642209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微创无纺布条</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2015-11-23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2020-11-22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19</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鄂械注准20152642210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导管造口片</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2015-11-23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2020-11-22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鄂械注准20162642263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医用外科口罩</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2016-03-29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2021-03-28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21</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鄂械注准20162642274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一次性使用产包</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2016-05-09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2021-05-08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22</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鄂械注准20162642275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一次性换药包</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2016-05-11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2021-05-10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1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23</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鄂械注准20162642276</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一次性使用会阴清洗包</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生产地址由“1、枝江市马家店公园路180号；2、枝江市马家店友谊大道76号。”变更为“1、枝江市马家店公园路180号；2、枝江市马家店友谊大道76号；3、枝江市马家店金山路99号。”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2016-05-11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2021-05-10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2018-10-10</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24</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鄂械注准20152082112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6808</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湖北瑞沃医药材料有限公司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一次性使用直线型切割吻（缝）合器及组件</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注册人住所和生产地址由“老河口市汉孟公路北侧一幢”变更为“老河口市汉孟公路南侧光化创业园”。</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2015-04-20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2020-04-19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25</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鄂械注准20152092111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6809</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湖北瑞沃医药材料有限公司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一次性使用肛肠吻合器</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注册人住所和生产地址由“老河口市汉孟公路北侧一幢”变更为“老河口市汉孟公路南侧光化创业园”。</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2015-04-20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2020-04-19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26</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鄂械注准20152642211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湖北瑞沃医药材料有限公司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一次性封闭负压创面引流材料</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注册人住所和生产地址由“老河口市汉孟公路北侧一幢”变更为“老河口市汉孟公路南侧光化创业园”。</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2015-12-07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2020-12-06</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27</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鄂械注准20152082108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6808</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湖北瑞沃医药材料有限公司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一次性使用管型吻合器 </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注册人住所和生产地址由“老河口市汉孟公路北侧一幢”变更为“老河口市汉孟公路南侧光化创业园”。</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2015-04-20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2020-04-19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28</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鄂械注准20152082109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6808</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湖北瑞沃医药材料有限公司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一次性使用弧型吻（缝）合器及组件</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注册人住所和生产地址由“老河口市汉孟公路北侧一幢”变更为“老河口市汉孟公路南侧光化创业园”。</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2015-04-20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2020-04-19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29</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鄂械注准20152082110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6808</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湖北瑞沃医药材料有限公司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一次性使用直线型吻合（缝）合器及组件</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注册人住所和生产地址由“老河口市汉孟公路北侧一幢”变更为“老河口市汉孟公路南侧光化创业园”。</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2015-04-20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2020-04-19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9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30</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鄂械注准20132641243</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武汉金瑞达医疗用品有限公司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医用敷料包</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型号规格由“600150、600013、600020、600105、600112、600228、600211、600556、600570、600181、600457、600518、600198、600341、600310、600266、600136、600129、600044、600488、600235、600402、600051、600099、600174、600242、600259、600280、600501、600525、600532、600563、600495、600412、600273、600464、600204、600075、600082、600587、600988、600549、600709、600716、600723、600730、600747、600754、600761、600778、600785、600792、600808。具体规格见本产品技术要求附录A----产品型号、规格及组件清单表1-表53。”变更为“600150、600013、600020、600105、600112、600228、600211、600556、600570、600181、600457、600518、600198、600341、600310、600266、600136、600129、600044、600488、600235、600402、600051、600099、600174、600242、600259、600280、600501、600525、600532、600563、600495、600412、600273、600464、600204、600075、600082、600587、600988、600549、600709、600716、600723、600730、600747、600754、600761、600778、600785、600792、600808。具体规格见本产品技术要求附录A----产品型号、规格及组件清单表1-表53。其中型号600150的基本组件、规格和数量中托盘20.9*10.8*2.4cm数量由1个变更为2个。”产品技术要求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W w:w="115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2017-06-16</w:t>
            </w:r>
          </w:p>
        </w:tc>
        <w:tc>
          <w:tcPr>
            <w:tcW w:w="130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2022-06-15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21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31</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鄂械注准20132401339</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武汉塞力斯生物技术有限公司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凝血酶时间（TT）测定试剂（凝固法）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适用机型由“BE Thrombotimer 4半自动凝血分析仪；BE Compact X/ BE Thrombolyzer XRM/ Sysmex CA7000/ TC Ceveron alpha 全自动凝血分析仪。”变更为“BE Thrombotimer 4半自动凝血分析仪；BE Compact X/ BE Thrombolyzer XRM/ Sysmex CA7000/ TC Ceveron alpha 全自动凝血分析仪， URIT-600/URIT-610半自动凝血分析仪。”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2016-07-01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2021-06-30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21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32</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鄂械注准20132401900</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武汉塞力斯生物技术有限公司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纤维蛋白原测定试剂盒（FIB Kit）(凝固法)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适用机型由“BE Thrombotimer 4半自动凝血分析仪；BE Compact X/ BE Thrombolyzer XRM/ Sysmex CA7000/ TC Ceveron alpha 全自动凝血分析仪。”变更为“BE Thrombotimer 4半自动凝血分析仪；BE Compact X/ BE Thrombolyzer XRM/ Sysmex CA7000/ TC Ceveron alpha 全自动凝血分析仪； URIT-600/URIT-610半自动凝血分析仪。”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2016-07-01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2021-06-30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21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33</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鄂械注准20132401898</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武汉塞力斯生物技术有限公司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活化部分凝血活酶时间测定试剂盒（APTT Kit）(凝固法)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适用机型由“BE Thrombotimer 4半自动凝血分析仪；BE Compact X/ BE Thrombolyzer XRM/ Sysmex CA7000/ TC Ceveron alpha 全自动凝血分析仪。”变更为“BE Thrombotimer 4半自动凝血分析仪；BE Compact X/ BE Thrombolyzer XRM/ Sysmex CA7000/ TC Ceveron alpha 全自动凝血分析仪； URIT-600/URIT-610半自动凝血分析仪。”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2016-07-01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2021-06-30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21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34</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鄂械注准20132401331</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武汉塞力斯生物技术有限公司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咪唑缓冲液</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适用机型由“BE Thrombotimer 4半自动凝血分析仪；BE Compact X/ BE Thrombolyzer XRM/ Sysmex CA7000/ TC Ceveron alpha 全自动凝血分析仪。”变更为“BE Thrombotimer 4半自动凝血分析仪；BE Compact X/ BE Thrombolyzer XRM/ Sysmex CA7000/ TC Ceveron alpha 全自动凝血分析仪； URIT-600/URIT-610半自动凝血分析仪。”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2016-07-01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2021-06-30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21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35</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鄂械注准20132401329</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武汉塞力斯生物技术有限公司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氯化钙试剂</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适用机型由“BE Thrombotimer 4半自动凝血分析仪；BE Compact X/ BE Thrombolyzer XRM/ Sysmex CA7000/ TC Ceveron alpha 全自动凝血分析仪。”变更为“BE Thrombotimer 4半自动凝血分析仪；BE Compact X/ BE Thrombolyzer XRM/ Sysmex CA7000/ TC Ceveron alpha 全自动凝血分析仪； URIT-600/URIT-610半自动凝血分析仪。”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2016-07-01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2021-06-30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21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36</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鄂械注准20132401337</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武汉塞力斯生物技术有限公司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凝血酶原时间(PT)测定试剂(盒) (凝固法)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适用机型由“BE Thrombotimer 4半自动凝血分析仪；BE Compact X/ BE Thrombolyzer XRM/ Sysmex CA7000/ TC Ceveron alpha 全自动凝血分析仪。”变更为“BE Thrombotimer 4半自动凝血分析仪；BE Compact X/ BE Thrombolyzer XRM/ Sysmex CA7000/ TC Ceveron alpha 全自动凝血分析仪； URIT-600/URIT-610半自动凝血分析仪。”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2016-07-01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2021-06-30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21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37</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鄂械注准20132401340</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武汉塞力斯生物技术有限公司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纤维蛋白原(FIB)测定试剂 (凝固法)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适用机型由“BE Thrombotimer 4半自动凝血分析仪；BE Compact X/ BE Thrombolyzer XRM/ Sysmex CA7000/ TC Ceveron alpha 全自动凝血分析仪。”变更为“BE Thrombotimer 4半自动凝血分析仪；BE Compact X/ BE Thrombolyzer XRM/ Sysmex CA7000/ TC Ceveron alpha 全自动凝血分析仪； URIT-600/URIT-610半自动凝血分析仪。”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2016-07-01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2021-06-30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21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38</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鄂械注准20132401338</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武汉塞力斯生物技术有限公司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活化部分凝血活酶时间（APTT）测定试剂（凝固法）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适用机型由“BE Thrombotimer 4半自动凝血分析仪；BE Compact X/ BE Thrombolyzer XRM/ Sysmex CA7000/ TC Ceveron alpha 全自动凝血分析仪。”变更为“BE Thrombotimer 4半自动凝血分析仪；BE Compact X/ BE Thrombolyzer XRM/ Sysmex CA7000/ TC Ceveron alpha 全自动凝血分析仪； URIT-600/URIT-610半自动凝血分析仪。”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2016-07-01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2021-06-30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2018-10-15</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9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39</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鄂械注准20132401523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武汉迪艾斯科技有限公司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自动化血沉分析仪</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江汉经济开发区江兴路17号中信大厦7楼”变更为“武汉市江汉区江汉经济开发区0601地块智慧大厦2号楼2楼”；生产地址由“1、武汉市江汉经济开发区江兴路17号中信大厦7楼；2、武汉市东西湖区泾河办事处泾河路11号6栋1单元101室。”变更为“武汉市东西湖区径河办事处径河路11号6栋1单元101室”。</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2015-01-26</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2020-01-25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2018-10-17</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40</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鄂械注准20162402261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武汉迪艾斯科技有限公司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自动化细菌分离培养仪</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住所由“武汉市江汉经济开发区江兴路17号中信大厦7楼”变更为“武汉市江汉区江汉经济开发区0601地块智慧大厦2号楼2楼”。</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2016-03-16</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2021-03-15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2018-10-17</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9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41</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鄂械注准20132401426</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武汉迪艾斯科技有限公司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微生物分离培养基装置</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江汉经济开发区江兴路17号中信大厦7楼”变更为“武汉市江汉区江汉经济开发区0601地块智慧大厦2号楼2楼”；生产地址由“1、武汉市江汉经济开发区江兴路17号中信大厦7楼；2、武汉市东西湖区泾河办事处泾河路11号6栋1单元101室。”变更为“武汉市东西湖区径河办事处径河路11号6栋1单元101室”。</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W w:w="115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2016-02-23</w:t>
            </w:r>
          </w:p>
        </w:tc>
        <w:tc>
          <w:tcPr>
            <w:tcW w:w="130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2021-02-22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2018-10-17</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42</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鄂械注准20122261640</w:t>
            </w:r>
          </w:p>
        </w:tc>
        <w:tc>
          <w:tcPr>
            <w:tcW w:w="60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6826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湖北楚鼎药业有限公司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远红外热敷贴</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产品技术要求删除2.11微生物限度。</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2015-10-14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2020-10-13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2018-10-18</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43</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鄂械注准20172102472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6810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武汉医佳宝生物材料有限公司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椎体成形工具包</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住所和生产地址由“武汉市洪山区书城路28号”变更为“武汉市洪山区书城路28号（北港工业园内）”。</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2017-10-30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2022-10-29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2018-10-22</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44</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鄂械注准20182182566</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18-04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荆州市益海科技有限公司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一次性使用三角球囊子宫支架</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2018-10-24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2023-10-23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45</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鄂械注准20182022567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02-12</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武汉蓝普医品有限公司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一次性使用腹腔镜用穿刺器</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2018-10-24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2023-10-23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46</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鄂械注准20182142568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14-10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奥美医疗用品股份有限公司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无菌创可贴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2018-11-02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47</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鄂械注准20182042569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04-13</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武汉医佳宝生物材料有限公司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单臂一体式外固定支架</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48</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鄂械注准20182172570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17-06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武汉洁康义齿有限公司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定制式固定义齿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49</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鄂械注准20182142571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14-13</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仙桃市旭阳无纺布制品有限公司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一次性使用医用口罩</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50</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鄂械注准20182142572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14-06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武汉医佳宝生物材料有限公司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非功能性聚乙烯醇海绵封闭式负压引流装置</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51</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鄂械注准20182182573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18-01</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武汉医佳宝生物材料有限公司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宫腔球囊导管</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52</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鄂械注准20182172574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17-06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襄阳凯美特义齿技术有限公司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定制式固定义齿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53</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鄂械注准20182172575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17-06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襄阳凯美特义齿技术有限公司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定制式活动义齿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54</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鄂械注准20182172576</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17-06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恩施州致远义齿制作有限公司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定制式固定义齿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55</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鄂械注准20182172577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17-06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恩施州致远义齿制作有限公司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定制式活动义齿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56</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鄂械注准20182092578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09-06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荆门杉源医疗科技有限公司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超声理疗仪</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57</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鄂械注准20142641434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湖北中宝防护用品有限公司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一次性使用普通医用口罩</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型号、规格由“灭菌型、普通型：17.5cm*9.5cm”变更为“灭菌型、普通型：17.5cm*9.5cm、14.5cm*8.5cm。”</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2018-05-28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2023-05-27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2018-11-23</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58</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 2014第2642005号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稳健医疗（崇阳）有限公司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一次性使用无菌护理包</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产品技术要求变更，具体内容见产品技术要求变化对比表及产品技术要求。</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2014-09-02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2019-09-01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2018-11-23</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59</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鄂械注准20182032579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03-10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荆州市益海科技有限公司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一次性使用无菌经皮肾扩张套件</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2018-11-28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2023-11-27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71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60</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鄂械注准20182142580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14-05</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荆州市益海科技有限公司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一次性使用无菌J型导尿管套装</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2018-11-28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2023-11-27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61</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鄂械注准20182142581</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14-13</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仙桃盛美工贸有限公司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一次性使用医用口罩</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2018-11-28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2023-11-27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62</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鄂械注准20182142582</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14-14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仙桃盛美工贸有限公司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医用一次性防护服</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2018-11-28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2023-11-27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63</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鄂械注准20182092583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09-05</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湖北汉武帝健康科技发展有限公司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远红外枕形磁疗器</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2018-11-28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2023-11-27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64</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鄂械注准20112641579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咸宁爱科医疗用品有限公司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一次性医用口罩</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产品名称由“一次性使用普通医用口罩”变更为“一次性医用口罩”；型号规格由“175mm×95mm   特殊要求可按合同规定”变更为“型号：挂耳型</w:t>
              <w:br/>
              <w:t>规格：200*80mm、180*90mm、175*95mm、175*90mm、165*95mm、165*90mm、145*95mm、145*90mm、125*90mm、125*85mm、130*110mm、120*120mm、115*95mm、100*90mm、160*105mm、130*110mm、160*110mm</w:t>
              <w:br/>
              <w:t>卫生级别为：普通级和灭菌级”；结构及组成由“由双层无纺布中间夹过滤层和口罩带压合或缝制构成。”变更为“由三层无纺布或无纺布复合材料、可塑性鼻夹和口罩带压合或缝制制成。”适用范围由“该产品主要供医疗机构做普通防护使用。”变更为“适用于佩戴者在不存在体液和喷溅风险的普通医疗环境下的卫生护理和公共卫生场所中的一般卫生护理（本口罩不能作为外科或防护口罩使用）。”产品技术要求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许可变更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2015-06-24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2020-06-23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2018-12-18</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65</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鄂械注准20182142584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14-06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百合医疗科技（武汉）有限公司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一次性使用防逆流引流袋</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2018-12-20</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2023-12-19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47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66</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鄂械注准20182092585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09-05</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湖北春林药械股份有限公司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远红外磁疗贴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注册</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2018-12-25</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2023-12-24</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67</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鄂食药监械（准）字2014第2401981号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武汉百德瑞康生物技术有限公司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总胆汁酸（TBA）测定试剂盒（循环酶法）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住所由“武汉市蔡甸区文正街40号”变更为“武汉市东湖新技术开发区高新二路388号武汉光谷国际生物医药企业加速器3.1期2幢3层（1）厂房”。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2014-06-18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2019-06-17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鄂食药监械（准）字2014第2401980号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武汉百德瑞康生物技术有限公司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类风湿因子（RF）测定试剂盒（胶乳增强比浊法）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住所由“武汉市蔡甸区文正街40号”变更为“武汉市东湖新技术开发区高新二路388号武汉光谷国际生物医药企业加速器3.1期2幢3层（1）厂房”。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2014-06-18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2019-06-17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74"/>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69</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鄂食药监械（准）字2014第2401975号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武汉百德瑞康生物技术有限公司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β2-微球蛋白（BMG）测定试剂盒（胶乳增强比浊法）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住所由“武汉市蔡甸区文正街40号”变更为“武汉市东湖新技术开发区高新二路388号武汉光谷国际生物医药企业加速器3.1期2幢3层（1）厂房”。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2014-06-18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2019-06-17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70</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鄂食药监械（准）字2014第2401979号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武汉百德瑞康生物技术有限公司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前白蛋白（PA）测定试剂盒（免疫透射比浊法）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住所由“武汉市蔡甸区文正街40号”变更为“武汉市东湖新技术开发区高新二路388号武汉光谷国际生物医药企业加速器3.1期2幢3层（1）厂房”。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2014-06-18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2019-06-17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71</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鄂食药监械（准）字2014第2401978号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武汉百德瑞康生物技术有限公司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同型半胱氨酸（HCY）测定试剂盒（循环酶法）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住所由“武汉市蔡甸区文正街40号”变更为“武汉市东湖新技术开发区高新二路388号武汉光谷国际生物医药企业加速器3.1期2幢3层（1）厂房”。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2014-06-18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2019-06-17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74"/>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72</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鄂食药监械（准）字2014第2401977号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武汉百德瑞康生物技术有限公司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胱抑素C（CysC）测定试剂盒（胶乳增强比浊法）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住所由“武汉市蔡甸区文正街40号”变更为“武汉市东湖新技术开发区高新二路388号武汉光谷国际生物医药企业加速器3.1期2幢3层（1）厂房”。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2014-06-18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2019-06-17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1214"/>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73</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鄂食药监械（准）字2014第2401974号  </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武汉百德瑞康生物技术有限公司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抗链球菌溶血素O（ASO）测定试剂盒（胶乳增强比浊法）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住所由“武汉市蔡甸区文正街40号”变更为“武汉市东湖新技术开发区高新二路388号武汉光谷国际生物医药企业加速器3.1期2幢3层（1）厂房”。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2014-06-18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2019-06-17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74</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鄂食药监械（准）字2014第2401976号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6840</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武汉百德瑞康生物技术有限公司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肌酐（CREA-SO）测定试剂盒（肌氨酸氧化酶法）</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住所由“武汉市蔡甸区文正街40号”变更为“武汉市东湖新技术开发区高新二路388号武汉光谷国际生物医药企业加速器3.1期2幢3层（1）厂房”。</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2014-06-18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2019-06-17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75</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鄂械注准20152662113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6866</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武汉维斯第医用科技股份有限公司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一次性使用体表引流管</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生产地址由“1、武汉市东西湖区五环南路38号创业中心二号大楼；2、武汉市东西湖区田园大道15号。”变更为“武汉市东西湖区田园大道15号。”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2015-04-29</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2020-04-28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r>
        <w:trPr>
          <w:trHeight w:val="959"/>
        </w:trPr>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76</w:t>
            </w:r>
          </w:p>
        </w:tc>
        <w:tc>
          <w:tcPr>
            <w:tcW w:w="129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鄂械注准20142641763</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6864</w:t>
            </w:r>
          </w:p>
        </w:tc>
        <w:tc>
          <w:tcPr>
            <w:tcW w:w="168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武汉维斯第医用科技股份有限公司</w:t>
            </w:r>
          </w:p>
        </w:tc>
        <w:tc>
          <w:tcPr>
            <w:tcW w:w="141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医用透明贴膜</w:t>
            </w:r>
          </w:p>
        </w:tc>
        <w:tc>
          <w:tcPr>
            <w:tcW w:w="3870"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生产地址由“1、武汉市东西湖区五环南路38号创业中心二号大楼；2、武汉市东西湖区田园大道15号。”变更为“武汉市东西湖区田园大道15号。”</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登记变更</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2016-09-08</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2021-09-07</w:t>
            </w:r>
          </w:p>
        </w:tc>
        <w:tc>
          <w:tcPr>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2018-12-29</w:t>
            </w:r>
          </w:p>
        </w:tc>
        <w:tc>
          <w:tcPr>
            <w:tcW w:w="1095" w:type="dxa"/>
            <w:tcBorders>
              <w:tl2br w:val="nil"/>
              <w:tr2bl w:val="nil"/>
            </w:tcBorders>
            <w:shd w:val="clear" w:color="auto" w:fill="FFFFFF"/>
            <w:vAlign w:val="center"/>
          </w:tcPr>
          <w:p>
            <w:pPr>
              <w:spacing w:before="0" w:beforeAutospacing="0" w:after="0" w:afterAutospacing="0"/>
              <w:ind w:left="0" w:right="0" w:firstLine="0"/>
              <w:rPr>
                <w:rFonts w:ascii="����" w:hAnsi="����"/>
                <w:b w:val="0"/>
                <w:bCs w:val="0"/>
                <w:i w:val="0"/>
                <w:iCs w:val="0"/>
                <w:caps w:val="0"/>
                <w:smallCaps w:val="0"/>
                <w:vanish w:val="0"/>
                <w:color w:val="000000"/>
                <w:spacing w:val="0"/>
                <w:sz w:val="21"/>
                <w:szCs w:val="21"/>
              </w:rPr>
            </w:pPr>
            <w:r>
              <w:rPr>
                <w:rFonts w:ascii="����" w:hAnsi="����"/>
                <w:b w:val="0"/>
                <w:bCs w:val="0"/>
                <w:i w:val="0"/>
                <w:iCs w:val="0"/>
                <w:caps w:val="0"/>
                <w:smallCaps w:val="0"/>
                <w:vanish w:val="0"/>
                <w:color w:val="000000"/>
                <w:spacing w:val="0"/>
                <w:sz w:val="21"/>
                <w:szCs w:val="21"/>
              </w:rPr>
              <w:t>　</w:t>
            </w:r>
          </w:p>
        </w:tc>
      </w:tr>
    </w:tbl>
    <w:p>
      <w:bookmarkStart w:id="0" w:name="_GoBack"/>
      <w:bookmarkEnd w:id="0"/>
    </w:p>
    <w:sectPr>
      <w:pgSz w:w="11907" w:h="16839"/>
      <w:pgMar w:top="1440" w:right="1800" w:bottom="1440" w:left="1800" w:header="851"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kern w:val="2"/>
      <w:sz w:val="24"/>
      <w:szCs w:val="21"/>
      <w:lang w:val="en-US" w:eastAsia="zh-CN"/>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92">
    <w:name w:val="Normal (Web)"/>
    <w:pPr>
      <w:widowControl w:val="0"/>
      <w:spacing w:before="100" w:beforeAutospacing="1" w:after="100" w:afterAutospacing="1" w:line="240" w:lineRule="auto"/>
      <w:jc w:val="left"/>
    </w:pPr>
    <w:rPr>
      <w:rFonts w:ascii="宋体" w:eastAsia="宋体"/>
      <w:kern w:val="2"/>
      <w:sz w:val="24"/>
      <w:szCs w:val="21"/>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0</TotalTime>
  <Application>Yozo_Office</Application>
  <Pages>34</Pages>
  <Words>7398</Words>
  <Characters>12458</Characters>
  <Lines>3309</Lines>
  <Paragraphs>733</Paragraphs>
  <CharactersWithSpaces>12864</CharactersWithSpaces>
  <Company>湖北长江云新媒体集团</Company>
</Properties>
</file>

<file path=docProps/core.xml><?xml version="1.0" encoding="utf-8"?>
<cp:coreProperties xmlns:cp="http://schemas.openxmlformats.org/package/2006/metadata/core-properties" xmlns:dc="http://purl.org/dc/elements/1.1/" xmlns:dcterms="http://purl.org/dc/terms/" xmlns:xsi="http://www.w3.org/2001/XMLSchema-instance">
  <dc:creator>guxuecun</dc:creator>
  <cp:lastModifiedBy>guxuecun</cp:lastModifiedBy>
  <cp:revision>1</cp:revision>
  <dcterms:created xsi:type="dcterms:W3CDTF">2019-03-28T13:17:00Z</dcterms:created>
  <dcterms:modified xsi:type="dcterms:W3CDTF">2019-03-28T13:17:15Z</dcterms:modified>
</cp:coreProperties>
</file>