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Y="625"/>
        <w:tblW w:w="14148" w:type="dxa"/>
        <w:tblInd w:w="0" w:type="dxa"/>
        <w:tblLayout w:type="autofit"/>
        <w:tblCellMar>
          <w:top w:w="0" w:type="dxa"/>
          <w:left w:w="108" w:type="dxa"/>
          <w:bottom w:w="0" w:type="dxa"/>
          <w:right w:w="108" w:type="dxa"/>
        </w:tblCellMar>
      </w:tblPr>
      <w:tblGrid>
        <w:gridCol w:w="606"/>
        <w:gridCol w:w="1280"/>
        <w:gridCol w:w="4136"/>
        <w:gridCol w:w="716"/>
        <w:gridCol w:w="1853"/>
        <w:gridCol w:w="4477"/>
        <w:gridCol w:w="1080"/>
      </w:tblGrid>
      <w:tr w14:paraId="179680F7">
        <w:tblPrEx>
          <w:tblCellMar>
            <w:top w:w="0" w:type="dxa"/>
            <w:left w:w="108" w:type="dxa"/>
            <w:bottom w:w="0" w:type="dxa"/>
            <w:right w:w="108" w:type="dxa"/>
          </w:tblCellMar>
        </w:tblPrEx>
        <w:trPr>
          <w:trHeight w:val="163"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98783">
            <w:pPr>
              <w:widowControl/>
              <w:spacing w:line="28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A4874">
            <w:pPr>
              <w:widowControl/>
              <w:spacing w:line="280" w:lineRule="exact"/>
              <w:jc w:val="left"/>
              <w:rPr>
                <w:rFonts w:hint="eastAsia" w:ascii="黑体" w:hAnsi="黑体" w:eastAsia="黑体" w:cs="宋体"/>
                <w:color w:val="000000"/>
                <w:kern w:val="0"/>
                <w:szCs w:val="21"/>
              </w:rPr>
            </w:pPr>
            <w:r>
              <w:rPr>
                <w:rFonts w:hint="eastAsia" w:ascii="黑体" w:hAnsi="黑体" w:eastAsia="黑体" w:cs="宋体"/>
                <w:color w:val="000000"/>
                <w:kern w:val="0"/>
                <w:szCs w:val="21"/>
              </w:rPr>
              <w:t>检查事项</w:t>
            </w:r>
          </w:p>
        </w:tc>
        <w:tc>
          <w:tcPr>
            <w:tcW w:w="4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4F2B9">
            <w:pPr>
              <w:widowControl/>
              <w:spacing w:line="28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检查依据</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40E25">
            <w:pPr>
              <w:widowControl/>
              <w:spacing w:line="28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检查</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主体</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8EB73">
            <w:pPr>
              <w:widowControl/>
              <w:spacing w:line="28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检查对象</w:t>
            </w:r>
          </w:p>
        </w:tc>
        <w:tc>
          <w:tcPr>
            <w:tcW w:w="4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16FC3">
            <w:pPr>
              <w:widowControl/>
              <w:spacing w:line="28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检查项目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160F5">
            <w:pPr>
              <w:widowControl/>
              <w:spacing w:line="28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检查方式</w:t>
            </w:r>
          </w:p>
        </w:tc>
      </w:tr>
      <w:tr w14:paraId="6CF23F79">
        <w:tblPrEx>
          <w:tblCellMar>
            <w:top w:w="0" w:type="dxa"/>
            <w:left w:w="108" w:type="dxa"/>
            <w:bottom w:w="0" w:type="dxa"/>
            <w:right w:w="108" w:type="dxa"/>
          </w:tblCellMar>
        </w:tblPrEx>
        <w:trPr>
          <w:trHeight w:val="333"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088E3">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E5BAE">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工资支付和执行最低工资标准情况检查</w:t>
            </w:r>
          </w:p>
        </w:tc>
        <w:tc>
          <w:tcPr>
            <w:tcW w:w="4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6B66D">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劳动法》第九十一条、《</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劳动合同法》第八十五条、《劳动保障监察条例》第二十六条、《保障农民工工资支付条例》第五十三条、第五十四条、第五十七条、《最低工资规定》第十三条、《湖北省劳动和社会保障监察条例》第十九条、《湖北省最低工资暂行规定》第二十一条、《湖北省保障农民工工资支付办法》第二十九条、第三十一条</w:t>
            </w:r>
            <w:bookmarkStart w:id="0" w:name="_GoBack"/>
            <w:bookmarkEnd w:id="0"/>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962D3">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劳动监察</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63A7D">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1.有限责任公司、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2.股份有限公司、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3.个人独资企业、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4.其他企业、</w:t>
            </w:r>
          </w:p>
          <w:p w14:paraId="53DAF525">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5.建筑施工项目</w:t>
            </w:r>
          </w:p>
        </w:tc>
        <w:tc>
          <w:tcPr>
            <w:tcW w:w="4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55210">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rPr>
              <w:t>用人单位是否有下列行为之一：未按照劳动合同的约定或者国家规定及时足额支付劳动报酬；低于当地最低工资标准支付劳动者工资；安排加班不支付加班费</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是否以实物、有价证券等形式代替货币支付农民工工资，是否</w:t>
            </w:r>
            <w:r>
              <w:rPr>
                <w:rFonts w:hint="eastAsia" w:ascii="仿宋_GB2312" w:hAnsi="宋体" w:eastAsia="仿宋_GB2312" w:cs="宋体"/>
                <w:color w:val="000000"/>
                <w:kern w:val="0"/>
                <w:szCs w:val="21"/>
                <w:lang w:val="en-US" w:eastAsia="zh-CN"/>
              </w:rPr>
              <w:t>按规定</w:t>
            </w:r>
            <w:r>
              <w:rPr>
                <w:rFonts w:hint="eastAsia" w:ascii="仿宋_GB2312" w:hAnsi="宋体" w:eastAsia="仿宋_GB2312" w:cs="宋体"/>
                <w:color w:val="000000"/>
                <w:kern w:val="0"/>
                <w:szCs w:val="21"/>
              </w:rPr>
              <w:t>编制</w:t>
            </w:r>
            <w:r>
              <w:rPr>
                <w:rFonts w:hint="eastAsia" w:ascii="仿宋_GB2312" w:hAnsi="宋体" w:eastAsia="仿宋_GB2312" w:cs="宋体"/>
                <w:color w:val="000000"/>
                <w:kern w:val="0"/>
                <w:szCs w:val="21"/>
                <w:lang w:val="en-US" w:eastAsia="zh-CN"/>
              </w:rPr>
              <w:t>并留存</w:t>
            </w:r>
            <w:r>
              <w:rPr>
                <w:rFonts w:hint="eastAsia" w:ascii="仿宋_GB2312" w:hAnsi="宋体" w:eastAsia="仿宋_GB2312" w:cs="宋体"/>
                <w:color w:val="000000"/>
                <w:kern w:val="0"/>
                <w:szCs w:val="21"/>
              </w:rPr>
              <w:t>工资支付台账</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向农民工提供工资清单</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是否扣押或者变相扣押用于支付农民工工资的银行账户所绑定的农民工本人社会保障卡或者银行卡</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建设单位是否依法提供工程款支付担保</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建设单位是否按约定及时足额向农民工工资专用账户拨付工程款中的人工费用</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建设单位或者施工总承包单位是否存在拒不提供或者无法提供工程施工合同、农民工工资专用账户有关资料的情形。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82CF">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现场检查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书面审查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随机抽查</w:t>
            </w:r>
          </w:p>
        </w:tc>
      </w:tr>
      <w:tr w14:paraId="7475C301">
        <w:tblPrEx>
          <w:tblCellMar>
            <w:top w:w="0" w:type="dxa"/>
            <w:left w:w="108" w:type="dxa"/>
            <w:bottom w:w="0" w:type="dxa"/>
            <w:right w:w="108" w:type="dxa"/>
          </w:tblCellMar>
        </w:tblPrEx>
        <w:trPr>
          <w:trHeight w:val="31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36FCE">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728BE">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遵守工作时间和休息休假规定情况的检查</w:t>
            </w:r>
          </w:p>
        </w:tc>
        <w:tc>
          <w:tcPr>
            <w:tcW w:w="4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2565D">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劳动法》第九十条、《劳动保障监察条例》第二十五条、《职工带薪年休假条例》第七条、《企业职工带薪年休假实施办法》第十五条第二款、《工资支付暂行规定》第十一条、第十八条、《国务院关于职工工作时间的规定》第三、四、五条、《劳动部贯彻＜国务院关于职工工作时间的规定＞</w:t>
            </w:r>
            <w:r>
              <w:rPr>
                <w:rFonts w:hint="eastAsia" w:ascii="仿宋_GB2312" w:hAnsi="宋体" w:eastAsia="仿宋_GB2312" w:cs="宋体"/>
                <w:color w:val="000000"/>
                <w:kern w:val="0"/>
                <w:szCs w:val="21"/>
                <w:lang w:eastAsia="zh-CN"/>
              </w:rPr>
              <w:t>的</w:t>
            </w:r>
            <w:r>
              <w:rPr>
                <w:rFonts w:hint="eastAsia" w:ascii="仿宋_GB2312" w:hAnsi="宋体" w:eastAsia="仿宋_GB2312" w:cs="宋体"/>
                <w:color w:val="000000"/>
                <w:kern w:val="0"/>
                <w:szCs w:val="21"/>
                <w:lang w:val="en-US" w:eastAsia="zh-CN"/>
              </w:rPr>
              <w:t>实施办法</w:t>
            </w:r>
            <w:r>
              <w:rPr>
                <w:rFonts w:hint="eastAsia" w:ascii="仿宋_GB2312" w:hAnsi="宋体" w:eastAsia="仿宋_GB2312" w:cs="宋体"/>
                <w:color w:val="000000"/>
                <w:kern w:val="0"/>
                <w:szCs w:val="21"/>
              </w:rPr>
              <w:t>》第十条、《关于企业实行不定时工作制和综合计算工时工作制的审批办法》</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1130F">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劳动监察</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2CF51">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1.有限责任公司、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2.股份有限公司、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3.个人独资企业、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4.其他企业、</w:t>
            </w:r>
          </w:p>
          <w:p w14:paraId="560541E8">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5.建筑施工项目</w:t>
            </w:r>
          </w:p>
        </w:tc>
        <w:tc>
          <w:tcPr>
            <w:tcW w:w="44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3F39">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用人单位是否违法延长劳动者工作时间</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用人单位是否依法安排职工休年休假</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探亲假、婚假、丧假，并依法支付休假期间工资报酬</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用人单位是否依法实施国家规定的标准工时或者其他工时制度。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46DC6">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现场检查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书面审查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随机抽查</w:t>
            </w:r>
          </w:p>
        </w:tc>
      </w:tr>
    </w:tbl>
    <w:p w14:paraId="6B57E72D">
      <w:pPr>
        <w:pStyle w:val="4"/>
        <w:shd w:val="clear" w:color="auto" w:fill="FFFFFF"/>
        <w:spacing w:before="0" w:beforeAutospacing="0" w:after="0" w:afterAutospacing="0" w:line="500" w:lineRule="exact"/>
        <w:jc w:val="center"/>
        <w:rPr>
          <w:rFonts w:hint="eastAsia" w:ascii="方正小标宋简体" w:hAnsi="微软雅黑" w:eastAsia="方正小标宋简体"/>
          <w:sz w:val="44"/>
          <w:szCs w:val="44"/>
          <w:lang w:val="en-US" w:eastAsia="zh-CN"/>
        </w:rPr>
      </w:pPr>
      <w:r>
        <w:rPr>
          <w:rFonts w:hint="eastAsia" w:ascii="方正小标宋简体" w:hAnsi="微软雅黑" w:eastAsia="方正小标宋简体"/>
          <w:sz w:val="44"/>
          <w:szCs w:val="44"/>
        </w:rPr>
        <w:t>郧阳区人社局2026年度行政执法检查计划</w:t>
      </w:r>
      <w:r>
        <w:rPr>
          <w:rFonts w:hint="eastAsia" w:ascii="方正小标宋简体" w:hAnsi="微软雅黑" w:eastAsia="方正小标宋简体"/>
          <w:sz w:val="44"/>
          <w:szCs w:val="44"/>
          <w:lang w:val="en-US" w:eastAsia="zh-CN"/>
        </w:rPr>
        <w:t>清单</w:t>
      </w:r>
    </w:p>
    <w:p w14:paraId="4E1D427F">
      <w:pPr>
        <w:jc w:val="center"/>
        <w:rPr>
          <w:rFonts w:hint="eastAsia"/>
        </w:rPr>
      </w:pPr>
    </w:p>
    <w:p w14:paraId="34552250">
      <w:pPr>
        <w:rPr>
          <w:rFonts w:hint="eastAsia"/>
        </w:rPr>
      </w:pPr>
    </w:p>
    <w:p w14:paraId="15B4A96F">
      <w:pPr>
        <w:rPr>
          <w:rFonts w:hint="eastAsia"/>
        </w:rPr>
      </w:pPr>
    </w:p>
    <w:tbl>
      <w:tblPr>
        <w:tblStyle w:val="5"/>
        <w:tblW w:w="14404" w:type="dxa"/>
        <w:tblInd w:w="-256" w:type="dxa"/>
        <w:tblLayout w:type="autofit"/>
        <w:tblCellMar>
          <w:top w:w="0" w:type="dxa"/>
          <w:left w:w="108" w:type="dxa"/>
          <w:bottom w:w="0" w:type="dxa"/>
          <w:right w:w="108" w:type="dxa"/>
        </w:tblCellMar>
      </w:tblPr>
      <w:tblGrid>
        <w:gridCol w:w="630"/>
        <w:gridCol w:w="1274"/>
        <w:gridCol w:w="4102"/>
        <w:gridCol w:w="727"/>
        <w:gridCol w:w="1895"/>
        <w:gridCol w:w="4696"/>
        <w:gridCol w:w="1080"/>
      </w:tblGrid>
      <w:tr w14:paraId="083FE541">
        <w:trPr>
          <w:trHeight w:val="8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1971B">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1537E">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遵守禁止使用童工规定情况的检查</w:t>
            </w:r>
          </w:p>
        </w:tc>
        <w:tc>
          <w:tcPr>
            <w:tcW w:w="4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86EFA">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劳动法》第九十四条、《</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未成年人保护法》第一百二十五条、《禁止使用童工规定》第六条第一款</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《就业服务与就业管理规定》第六十七条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B63A1">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劳动监察</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70638">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1.有限责任公司、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2.股份有限公司、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3.个人独资企业、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4.其他企业、</w:t>
            </w:r>
          </w:p>
          <w:p w14:paraId="0E992F7F">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5.建筑施工项目</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E2544">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用人单位是否使用童工。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18509">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现场检查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书面审查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随机抽查</w:t>
            </w:r>
          </w:p>
        </w:tc>
      </w:tr>
      <w:tr w14:paraId="7B99869F">
        <w:tblPrEx>
          <w:tblCellMar>
            <w:top w:w="0" w:type="dxa"/>
            <w:left w:w="108" w:type="dxa"/>
            <w:bottom w:w="0" w:type="dxa"/>
            <w:right w:w="108" w:type="dxa"/>
          </w:tblCellMar>
        </w:tblPrEx>
        <w:trPr>
          <w:trHeight w:val="8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FC37B">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11D5E">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遵守女职工和未成年工特殊劳动保护规定情况的检查</w:t>
            </w:r>
          </w:p>
        </w:tc>
        <w:tc>
          <w:tcPr>
            <w:tcW w:w="4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F233D">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劳动法》第九十五条、</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未成年人保护法</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第一百二十五条、《劳动保障监察条例》第二十三条、</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娱乐场所管理条例》第五十二条、《</w:t>
            </w:r>
            <w:r>
              <w:rPr>
                <w:rFonts w:hint="eastAsia" w:ascii="仿宋_GB2312" w:hAnsi="宋体" w:eastAsia="仿宋_GB2312" w:cs="宋体"/>
                <w:color w:val="000000"/>
                <w:kern w:val="0"/>
                <w:szCs w:val="21"/>
                <w:lang w:val="en-US" w:eastAsia="zh-CN"/>
              </w:rPr>
              <w:t>中华人民共和国</w:t>
            </w:r>
            <w:r>
              <w:rPr>
                <w:rFonts w:hint="eastAsia" w:ascii="仿宋_GB2312" w:hAnsi="宋体" w:eastAsia="仿宋_GB2312" w:cs="宋体"/>
                <w:color w:val="000000"/>
                <w:kern w:val="0"/>
                <w:szCs w:val="21"/>
              </w:rPr>
              <w:t>妇女权益保障法》第四十九条、</w:t>
            </w:r>
            <w:r>
              <w:rPr>
                <w:rFonts w:hint="eastAsia" w:ascii="仿宋_GB2312" w:hAnsi="宋体" w:eastAsia="仿宋_GB2312" w:cs="宋体"/>
                <w:color w:val="000000"/>
                <w:kern w:val="0"/>
                <w:szCs w:val="21"/>
                <w:lang w:val="en-US" w:eastAsia="zh-CN"/>
              </w:rPr>
              <w:t>第</w:t>
            </w:r>
            <w:r>
              <w:rPr>
                <w:rFonts w:hint="eastAsia" w:ascii="仿宋_GB2312" w:hAnsi="宋体" w:eastAsia="仿宋_GB2312" w:cs="宋体"/>
                <w:color w:val="000000"/>
                <w:kern w:val="0"/>
                <w:szCs w:val="21"/>
              </w:rPr>
              <w:t>七十四条、</w:t>
            </w:r>
            <w:r>
              <w:rPr>
                <w:rFonts w:hint="eastAsia" w:ascii="仿宋_GB2312" w:hAnsi="宋体" w:eastAsia="仿宋_GB2312" w:cs="宋体"/>
                <w:color w:val="000000"/>
                <w:kern w:val="0"/>
                <w:szCs w:val="21"/>
                <w:lang w:val="en-US" w:eastAsia="zh-CN"/>
              </w:rPr>
              <w:t>第</w:t>
            </w:r>
            <w:r>
              <w:rPr>
                <w:rFonts w:hint="eastAsia" w:ascii="仿宋_GB2312" w:hAnsi="宋体" w:eastAsia="仿宋_GB2312" w:cs="宋体"/>
                <w:color w:val="000000"/>
                <w:kern w:val="0"/>
                <w:szCs w:val="21"/>
              </w:rPr>
              <w:t>八十三条、《湖北省女职工劳动保护规定》第三条、</w:t>
            </w:r>
            <w:r>
              <w:rPr>
                <w:rFonts w:hint="eastAsia" w:ascii="仿宋_GB2312" w:hAnsi="宋体" w:eastAsia="仿宋_GB2312" w:cs="宋体"/>
                <w:color w:val="000000"/>
                <w:kern w:val="0"/>
                <w:szCs w:val="21"/>
                <w:lang w:val="en-US" w:eastAsia="zh-CN"/>
              </w:rPr>
              <w:t>第</w:t>
            </w:r>
            <w:r>
              <w:rPr>
                <w:rFonts w:hint="eastAsia" w:ascii="仿宋_GB2312" w:hAnsi="宋体" w:eastAsia="仿宋_GB2312" w:cs="宋体"/>
                <w:color w:val="000000"/>
                <w:kern w:val="0"/>
                <w:szCs w:val="21"/>
              </w:rPr>
              <w:t>二十三条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4030A">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劳动监察</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B7453">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1.有限责任公司、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2.股份有限公司、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3.个人独资企业、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4.其他企业、</w:t>
            </w:r>
          </w:p>
          <w:p w14:paraId="6F40619E">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5.建筑施工项目</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D070B">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是否有下列行为之一：安排未成年工从事矿山井下、有毒有害、国家规定的第四级体力劳动强度的劳动或者其他禁忌从事的劳动；未对未成年工定期进行健康检查，营业性娱乐场所、酒吧、互联网上网服务营业场所等不适宜未成年人活动的场所是否招用未成年人</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用人单位在招录（聘）过程中是否存在妇女权益保障法第四十三条规定的性别歧视行为</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用人单位是否存在妇女权益保障法第四十八条规定的侵害妇女劳动和社会保障权益的行为</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w:t>
            </w: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用人单位是否有下列行为之一：对怀孕7个月以上的女职工延长劳动时间或安排夜班劳动；女职工产假不满法定天数；安排哺乳未满1周岁婴儿的女职工延长劳动时间或者安排夜班劳动。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713DF">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现场检查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书面</w:t>
            </w:r>
            <w:r>
              <w:rPr>
                <w:rFonts w:hint="eastAsia" w:ascii="仿宋_GB2312" w:hAnsi="宋体" w:eastAsia="仿宋_GB2312" w:cs="宋体"/>
                <w:color w:val="000000"/>
                <w:kern w:val="0"/>
                <w:szCs w:val="21"/>
                <w:lang w:val="en-US" w:eastAsia="zh-CN"/>
              </w:rPr>
              <w:t>审</w:t>
            </w:r>
            <w:r>
              <w:rPr>
                <w:rFonts w:hint="eastAsia" w:ascii="仿宋_GB2312" w:hAnsi="宋体" w:eastAsia="仿宋_GB2312" w:cs="宋体"/>
                <w:color w:val="000000"/>
                <w:kern w:val="0"/>
                <w:szCs w:val="21"/>
              </w:rPr>
              <w:t>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随机抽查</w:t>
            </w:r>
          </w:p>
        </w:tc>
      </w:tr>
      <w:tr w14:paraId="20777DCD">
        <w:tblPrEx>
          <w:tblCellMar>
            <w:top w:w="0" w:type="dxa"/>
            <w:left w:w="108" w:type="dxa"/>
            <w:bottom w:w="0" w:type="dxa"/>
            <w:right w:w="108" w:type="dxa"/>
          </w:tblCellMar>
        </w:tblPrEx>
        <w:trPr>
          <w:trHeight w:val="3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FA5C5">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D9A5">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遵守高温劳动保护情况的检查</w:t>
            </w:r>
          </w:p>
        </w:tc>
        <w:tc>
          <w:tcPr>
            <w:tcW w:w="41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54C94">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《防暑降温措施管理办法》第二十一条第一款</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E5566">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劳动监察</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A63E5">
            <w:pPr>
              <w:widowControl/>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1.有限责任公司、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2.股份有限公司、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3.个人独资企业、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4.其他企业、</w:t>
            </w:r>
          </w:p>
          <w:p w14:paraId="7C399A0D">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5.建筑施工项目</w:t>
            </w:r>
          </w:p>
        </w:tc>
        <w:tc>
          <w:tcPr>
            <w:tcW w:w="4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791BF">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用人单位是否在高温条件下违反规定安排劳动者作业。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D0F90">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现场检查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书面</w:t>
            </w:r>
            <w:r>
              <w:rPr>
                <w:rFonts w:hint="eastAsia" w:ascii="仿宋_GB2312" w:hAnsi="宋体" w:eastAsia="仿宋_GB2312" w:cs="宋体"/>
                <w:color w:val="000000"/>
                <w:kern w:val="0"/>
                <w:szCs w:val="21"/>
                <w:lang w:val="en-US" w:eastAsia="zh-CN"/>
              </w:rPr>
              <w:t>审</w:t>
            </w:r>
            <w:r>
              <w:rPr>
                <w:rFonts w:hint="eastAsia" w:ascii="仿宋_GB2312" w:hAnsi="宋体" w:eastAsia="仿宋_GB2312" w:cs="宋体"/>
                <w:color w:val="000000"/>
                <w:kern w:val="0"/>
                <w:szCs w:val="21"/>
              </w:rPr>
              <w:t>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随机抽查</w:t>
            </w:r>
          </w:p>
        </w:tc>
      </w:tr>
    </w:tbl>
    <w:p w14:paraId="241CD56C">
      <w:pPr>
        <w:rPr>
          <w:rFonts w:hint="eastAsia"/>
        </w:rPr>
      </w:pPr>
    </w:p>
    <w:p w14:paraId="6726F804">
      <w:pPr>
        <w:spacing w:line="540" w:lineRule="exact"/>
        <w:rPr>
          <w:rFonts w:hint="eastAsia" w:ascii="仿宋_GB2312" w:eastAsia="仿宋_GB2312"/>
          <w:sz w:val="32"/>
          <w:szCs w:val="32"/>
        </w:rPr>
      </w:pPr>
    </w:p>
    <w:sectPr>
      <w:headerReference r:id="rId3" w:type="default"/>
      <w:footerReference r:id="rId4" w:type="default"/>
      <w:pgSz w:w="16838" w:h="11906" w:orient="landscape"/>
      <w:pgMar w:top="1418"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61E6F">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- 1 -</w:t>
    </w:r>
    <w:r>
      <w:rPr>
        <w:rStyle w:val="7"/>
      </w:rPr>
      <w:fldChar w:fldCharType="end"/>
    </w:r>
  </w:p>
  <w:p w14:paraId="6BF2F96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939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CA"/>
    <w:rsid w:val="00023B80"/>
    <w:rsid w:val="00083959"/>
    <w:rsid w:val="00087EAD"/>
    <w:rsid w:val="00121496"/>
    <w:rsid w:val="001305AE"/>
    <w:rsid w:val="00146D7D"/>
    <w:rsid w:val="00152CCA"/>
    <w:rsid w:val="00161481"/>
    <w:rsid w:val="001B654F"/>
    <w:rsid w:val="001F5014"/>
    <w:rsid w:val="00266DBD"/>
    <w:rsid w:val="00334F23"/>
    <w:rsid w:val="003E1F3A"/>
    <w:rsid w:val="00501AC1"/>
    <w:rsid w:val="0053784B"/>
    <w:rsid w:val="005474A9"/>
    <w:rsid w:val="00550DCA"/>
    <w:rsid w:val="005C7C4F"/>
    <w:rsid w:val="005E50AB"/>
    <w:rsid w:val="00656DA8"/>
    <w:rsid w:val="006A1B55"/>
    <w:rsid w:val="00732368"/>
    <w:rsid w:val="007928D8"/>
    <w:rsid w:val="007B5A5E"/>
    <w:rsid w:val="00A560B8"/>
    <w:rsid w:val="00B12CEE"/>
    <w:rsid w:val="00B23D1D"/>
    <w:rsid w:val="00B45352"/>
    <w:rsid w:val="00B603AA"/>
    <w:rsid w:val="00B86248"/>
    <w:rsid w:val="00BA740A"/>
    <w:rsid w:val="00C234C5"/>
    <w:rsid w:val="00C72758"/>
    <w:rsid w:val="00D377C2"/>
    <w:rsid w:val="00E74253"/>
    <w:rsid w:val="00F46065"/>
    <w:rsid w:val="00F56AFA"/>
    <w:rsid w:val="00FB48A9"/>
    <w:rsid w:val="2D5D628E"/>
    <w:rsid w:val="30684D7B"/>
    <w:rsid w:val="3AF93E93"/>
    <w:rsid w:val="3D3D3B14"/>
    <w:rsid w:val="7D805C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2450</Words>
  <Characters>2492</Characters>
  <Lines>23</Lines>
  <Paragraphs>6</Paragraphs>
  <TotalTime>20</TotalTime>
  <ScaleCrop>false</ScaleCrop>
  <LinksUpToDate>false</LinksUpToDate>
  <CharactersWithSpaces>2513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2026-05-21T11:34:00Z</dcterms:created>
  <dc:creator>微软中国</dc:creator>
  <cp:lastModifiedBy>开心果</cp:lastModifiedBy>
  <dcterms:modified xsi:type="dcterms:W3CDTF">2026-06-09T07:01:02Z</dcterms:modified>
  <dc:title>2026年度行政执法检查计划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eyJoZGlkIjoiOTE0ZWQ0ZDRmNjIyOGNjZjUxOGUxNTA0MDUwNjViZTAiLCJ1c2VySWQiOiIyOTc2ODU2NDAifQ==</vt:lpwstr>
  </property>
  <property fmtid="{D5CDD505-2E9C-101B-9397-08002B2CF9AE}" pid="3" name="KSOProductBuildVer">
    <vt:lpwstr>2052-12.1.0.26895</vt:lpwstr>
  </property>
  <property fmtid="{D5CDD505-2E9C-101B-9397-08002B2CF9AE}" pid="4" name="ICV">
    <vt:lpwstr>8B5B322C23784D34AA0A5EB89109D890_13</vt:lpwstr>
  </property>
</Properties>
</file>