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368" w:lineRule="atLeast"/>
        <w:ind w:right="0"/>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jc w:val="center"/>
        <w:rPr>
          <w:rFonts w:hint="eastAsia" w:ascii="方正小标宋简体" w:hAnsi="方正小标宋简体" w:eastAsia="方正小标宋简体" w:cs="方正小标宋简体"/>
          <w:b w:val="0"/>
          <w:bCs w:val="0"/>
          <w:color w:val="auto"/>
          <w:kern w:val="0"/>
          <w:sz w:val="40"/>
          <w:szCs w:val="40"/>
        </w:rPr>
      </w:pPr>
      <w:bookmarkStart w:id="0" w:name="_GoBack"/>
      <w:r>
        <w:rPr>
          <w:rFonts w:hint="eastAsia" w:ascii="方正小标宋简体" w:hAnsi="方正小标宋简体" w:eastAsia="方正小标宋简体" w:cs="方正小标宋简体"/>
          <w:b w:val="0"/>
          <w:bCs w:val="0"/>
          <w:color w:val="auto"/>
          <w:kern w:val="0"/>
          <w:sz w:val="40"/>
          <w:szCs w:val="40"/>
        </w:rPr>
        <w:t>湖北省司法鉴定</w:t>
      </w:r>
      <w:r>
        <w:rPr>
          <w:rFonts w:hint="eastAsia" w:ascii="方正小标宋简体" w:hAnsi="方正小标宋简体" w:eastAsia="方正小标宋简体" w:cs="方正小标宋简体"/>
          <w:b w:val="0"/>
          <w:bCs w:val="0"/>
          <w:color w:val="auto"/>
          <w:kern w:val="0"/>
          <w:sz w:val="40"/>
          <w:szCs w:val="40"/>
          <w:lang w:eastAsia="zh-CN"/>
        </w:rPr>
        <w:t>基准</w:t>
      </w:r>
      <w:r>
        <w:rPr>
          <w:rFonts w:hint="eastAsia" w:ascii="方正小标宋简体" w:hAnsi="方正小标宋简体" w:eastAsia="方正小标宋简体" w:cs="方正小标宋简体"/>
          <w:b w:val="0"/>
          <w:bCs w:val="0"/>
          <w:color w:val="auto"/>
          <w:kern w:val="0"/>
          <w:sz w:val="40"/>
          <w:szCs w:val="40"/>
        </w:rPr>
        <w:t>收费标准</w:t>
      </w:r>
    </w:p>
    <w:bookmarkEnd w:id="0"/>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0"/>
          <w:szCs w:val="40"/>
        </w:rPr>
      </w:pPr>
    </w:p>
    <w:p>
      <w:pPr>
        <w:widowControl/>
        <w:jc w:val="left"/>
        <w:rPr>
          <w:rFonts w:hint="eastAsia" w:ascii="仿宋" w:hAnsi="仿宋" w:eastAsia="仿宋"/>
          <w:b/>
          <w:color w:val="auto"/>
          <w:kern w:val="0"/>
          <w:sz w:val="28"/>
        </w:rPr>
      </w:pPr>
      <w:r>
        <w:rPr>
          <w:rFonts w:hint="eastAsia" w:ascii="仿宋" w:hAnsi="仿宋" w:eastAsia="仿宋"/>
          <w:b/>
          <w:color w:val="auto"/>
          <w:kern w:val="0"/>
          <w:sz w:val="28"/>
        </w:rPr>
        <w:t xml:space="preserve">一、法医类 </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18"/>
        <w:gridCol w:w="562"/>
        <w:gridCol w:w="3463"/>
        <w:gridCol w:w="1066"/>
        <w:gridCol w:w="1799"/>
        <w:gridCol w:w="61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1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类别 </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序号</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收费项目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单位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基准价（元）</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备 注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（一）</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法医病</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理鉴定 </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早期尸表检验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死亡后24小时以内，含照相、录像。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晚期尸表检验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死亡后24小时以外，含照相、录像。高度腐败尸体加收50%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早期尸体解剖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死亡后24小时以内，含照相、录像、尸表检验、死亡原因、死亡方式、死亡时间、生前伤死后伤、致伤（死）物鉴定，不含组织学检查和毒物分析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晚期尸体解剖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死亡后24小时以外，含照相、录像、尸表检验、死亡原因、死亡方式、死亡时间、生前伤死后伤、致伤（死）物鉴定，不含组织学检查和毒物分析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开棺验尸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具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含照相、录像、尸表检验、尸体解剖、死亡原因、死亡方式、死亡时间、生前伤死后伤、致伤（死）物鉴定，不含组织学检查和毒物分析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生前伤死后伤鉴别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仅适用于单做此项鉴定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致伤（死）物认定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仅适用于单做此项鉴定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脏体硅藻检查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单器官组织学检查与鉴定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500/1000 </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心、脑器官每例1000元，其他器官每例500元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多器官组织学检查与鉴定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病理组织切片检查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张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特殊染色技术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张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如特殊组织染色、组织化学染色、免疫组化染色、免疫荧光染色等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000000"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电镜病理检查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标本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电镜、免疫电镜、扫描电镜等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尸体X光检验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张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尸体CR检验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张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法医现场检查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进行现场勘验、物证搜集和现场重建工作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法医病理鉴定文证审查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(二)</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法医临</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床鉴定</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损伤程度鉴定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spacing w:line="320" w:lineRule="exact"/>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只涉及体表损伤程度鉴定的，每例300元。含活体检验、活体照相，不含医学辅助检查费用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伤残程度评定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含活体检验、活体照相，不含医学辅助检查费用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伤病关系鉴定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诈病、诈伤鉴定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医疗纠纷鉴定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劳动能力鉴定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活体年龄鉴定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男性性功能评定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听觉功能评定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视觉功能评定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致伤物和致伤方式推断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医疗费合理性评定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后期医疗费评定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医疗护理依赖程度评定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误工、护理、营养时限评定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治疗时限评定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法医临床鉴定文证审查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（三）</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法医物</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证鉴定 </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体液斑（精斑）的确证试验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种属的血清学检验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ABO血型的血清学检验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红细胞酶型的血清学检验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按照每个检验的酶型收取费用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白细胞血型的血清学检验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血清蛋白的血清学检验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按照每个检验的酶型收取费用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ABO血型的DNA检验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常染色体DNA检验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对每个样本的检验应不少于15个基因座；单亲亲子鉴定加1倍收费；骨骼、牙齿、指甲要加收500元/样本；同时做性别检验不另收费用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Y染色体DNA检验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对每个样本的检验应不少于15个基因座；骨骼、牙齿、指</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甲要加收500元/样本</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X染色体DNA检验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对每个样本的检验应不少于15个基因；骨骼、牙齿、指</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甲要加收500元/样本</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线粒体DNA检验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种属的DNA检验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性别的DNA检验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动植物的DNA检验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不含人类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其他法医DNA鉴定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其他未在试剂盒中包括的基因座；按每个检验的基因座计收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法医物证鉴定文证审查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例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（四）</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法医毒</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物鉴定 </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人体体液中乙醇定性定量分析</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血液中碳氧血红蛋白饱和度检测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样本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毛发中滥用药物定性分析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毒物、毒品定性分析（体外）</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常见挥发性毒物分析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常见有机毒物分析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常见无机毒物分析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常见动、植物有毒成分分析 </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样本·目</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标物 </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2100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需定量分析，每样本·目标物加收50%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法医毒物鉴定文证审查</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(五)</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法医人</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类学鉴</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定</w:t>
            </w: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颅像重合鉴定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颅像面貌画像</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颅像面貌塑像</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63</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尸骨个体识别</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64</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人类学骨龄鉴定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法医人类学鉴定文证审查</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restart"/>
            <w:tcBorders>
              <w:top w:val="single" w:color="auto" w:sz="4" w:space="0"/>
              <w:left w:val="single" w:color="auto" w:sz="4" w:space="0"/>
              <w:bottom w:val="outset" w:color="auto" w:sz="6" w:space="0"/>
              <w:right w:val="outset" w:color="auto" w:sz="6" w:space="0"/>
            </w:tcBorders>
            <w:noWrap w:val="0"/>
            <w:vAlign w:val="center"/>
          </w:tcPr>
          <w:p>
            <w:pPr>
              <w:widowControl/>
              <w:numPr>
                <w:ilvl w:val="0"/>
                <w:numId w:val="1"/>
              </w:numPr>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法医</w:t>
            </w:r>
          </w:p>
          <w:p>
            <w:pPr>
              <w:widowControl/>
              <w:numPr>
                <w:ilvl w:val="0"/>
                <w:numId w:val="0"/>
              </w:numPr>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精神病鉴定</w:t>
            </w:r>
          </w:p>
        </w:tc>
        <w:tc>
          <w:tcPr>
            <w:tcW w:w="562" w:type="dxa"/>
            <w:tcBorders>
              <w:top w:val="single" w:color="auto" w:sz="4"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66</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精神状态鉴定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包括智能障碍评定、精神疾病医学诊断等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67</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刑事能力评定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包括责任能力、服刑能力、性自卫能力等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68</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民事能力评定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包括民事行为能力、劳动能力等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69</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诉讼能力评定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包括受审能力、作证能力、诉讼行为能力等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司法精神病因果关系鉴定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包括精神损失、精神伤残评定、精神伤病关系鉴定等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71</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多导心理生理检测评定</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8" w:type="dxa"/>
            <w:vMerge w:val="continue"/>
            <w:tcBorders>
              <w:top w:val="outset" w:color="auto" w:sz="6" w:space="0"/>
              <w:left w:val="single" w:color="auto" w:sz="4"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72</w:t>
            </w:r>
          </w:p>
        </w:tc>
        <w:tc>
          <w:tcPr>
            <w:tcW w:w="346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法医精神病鉴定文证审查</w:t>
            </w:r>
          </w:p>
        </w:tc>
        <w:tc>
          <w:tcPr>
            <w:tcW w:w="106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79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1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olor w:val="auto"/>
          <w:kern w:val="0"/>
          <w:sz w:val="28"/>
          <w:szCs w:val="28"/>
        </w:rPr>
      </w:pPr>
      <w:r>
        <w:rPr>
          <w:rFonts w:hint="eastAsia" w:ascii="仿宋" w:hAnsi="仿宋" w:eastAsia="仿宋"/>
          <w:color w:val="auto"/>
          <w:kern w:val="0"/>
          <w:sz w:val="28"/>
          <w:szCs w:val="28"/>
        </w:rPr>
        <w:t>注：“法医</w:t>
      </w:r>
      <w:r>
        <w:rPr>
          <w:rFonts w:hint="eastAsia" w:ascii="仿宋" w:hAnsi="仿宋" w:eastAsia="仿宋"/>
          <w:color w:val="auto"/>
          <w:kern w:val="0"/>
          <w:sz w:val="28"/>
          <w:szCs w:val="28"/>
          <w:lang w:eastAsia="zh-CN"/>
        </w:rPr>
        <w:t>类</w:t>
      </w:r>
      <w:r>
        <w:rPr>
          <w:rFonts w:hint="eastAsia" w:ascii="仿宋" w:hAnsi="仿宋" w:eastAsia="仿宋"/>
          <w:color w:val="auto"/>
          <w:kern w:val="0"/>
          <w:sz w:val="28"/>
          <w:szCs w:val="28"/>
        </w:rPr>
        <w:t>鉴定”中的（二）“法医临床鉴定”和（六）“法医精神病鉴定”需要进行医学辅助检查的，检查收费标准按照</w:t>
      </w:r>
      <w:r>
        <w:rPr>
          <w:rFonts w:hint="eastAsia" w:ascii="仿宋" w:hAnsi="仿宋" w:eastAsia="仿宋"/>
          <w:color w:val="auto"/>
          <w:kern w:val="0"/>
          <w:sz w:val="28"/>
          <w:szCs w:val="28"/>
          <w:lang w:eastAsia="zh-CN"/>
        </w:rPr>
        <w:t>相关</w:t>
      </w:r>
      <w:r>
        <w:rPr>
          <w:rFonts w:hint="eastAsia" w:ascii="仿宋" w:hAnsi="仿宋" w:eastAsia="仿宋"/>
          <w:color w:val="auto"/>
          <w:kern w:val="0"/>
          <w:sz w:val="28"/>
          <w:szCs w:val="28"/>
        </w:rPr>
        <w:t>主管部门制定的相应医疗服务收费标准另行收取费用。</w:t>
      </w:r>
    </w:p>
    <w:p>
      <w:pPr>
        <w:widowControl/>
        <w:jc w:val="left"/>
        <w:rPr>
          <w:rFonts w:hint="eastAsia" w:ascii="黑体" w:hAnsi="黑体" w:eastAsia="黑体" w:cs="黑体"/>
          <w:color w:val="auto"/>
          <w:kern w:val="0"/>
          <w:sz w:val="18"/>
        </w:rPr>
      </w:pPr>
      <w:r>
        <w:rPr>
          <w:rFonts w:hint="eastAsia" w:ascii="仿宋" w:hAnsi="仿宋" w:eastAsia="仿宋"/>
          <w:b/>
          <w:color w:val="auto"/>
          <w:kern w:val="0"/>
          <w:sz w:val="28"/>
        </w:rPr>
        <w:t>二、物证类</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570"/>
        <w:gridCol w:w="3510"/>
        <w:gridCol w:w="1080"/>
        <w:gridCol w:w="1305"/>
        <w:gridCol w:w="6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 xml:space="preserve">类别 </w:t>
            </w: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序号</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 xml:space="preserve">收费项目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 xml:space="preserve">单位 </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基准价（元）</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 xml:space="preserve">备 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numPr>
                <w:ilvl w:val="0"/>
                <w:numId w:val="2"/>
              </w:numPr>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文书鉴</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定</w:t>
            </w: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笔迹鉴定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涉及财产案件，标的额不超过10万元的，按照本表左侧所</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例收费标准执行；标的额在10万元以上的，按照本</w:t>
            </w:r>
            <w:r>
              <w:rPr>
                <w:rFonts w:hint="default" w:ascii="Times New Roman" w:hAnsi="Times New Roman" w:eastAsia="宋体" w:cs="Times New Roman"/>
                <w:color w:val="auto"/>
                <w:kern w:val="0"/>
                <w:sz w:val="24"/>
                <w:lang w:eastAsia="zh-CN"/>
              </w:rPr>
              <w:t>附表</w:t>
            </w:r>
            <w:r>
              <w:rPr>
                <w:rFonts w:hint="default" w:ascii="Times New Roman" w:hAnsi="Times New Roman" w:eastAsia="宋体" w:cs="Times New Roman"/>
                <w:color w:val="auto"/>
                <w:kern w:val="0"/>
                <w:sz w:val="24"/>
              </w:rPr>
              <w:t>第</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lang w:eastAsia="zh-CN"/>
              </w:rPr>
              <w:t>四</w:t>
            </w:r>
            <w:r>
              <w:rPr>
                <w:rFonts w:hint="default" w:ascii="Times New Roman" w:hAnsi="Times New Roman" w:eastAsia="宋体" w:cs="Times New Roman"/>
                <w:color w:val="auto"/>
                <w:kern w:val="0"/>
                <w:sz w:val="24"/>
              </w:rPr>
              <w:t xml:space="preserve">条规定执行。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印章印文鉴定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印刷文件同一性、同源性鉴定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文件制作方法鉴定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印刷机具鉴定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文书形成时间鉴定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朱墨或文字时序鉴定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变造文件鉴定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污损文件鉴定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7" w:hRule="atLeast"/>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证件、证书、票据真伪鉴定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字迹压痕显现</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文书物质材料鉴定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文书鉴定文证审查</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restart"/>
            <w:tcBorders>
              <w:top w:val="outset" w:color="auto" w:sz="6" w:space="0"/>
              <w:left w:val="single" w:color="auto" w:sz="4" w:space="0"/>
              <w:bottom w:val="nil"/>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(二)</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痕迹</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鉴定</w:t>
            </w: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手印鉴定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枚</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涉及财产案件，收费办法同上。 </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痕迹鉴定均以检材数量为单位基数，不计样本数量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足迹鉴定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枚</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680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痕迹鉴定均以检材数量为单位基数，不计样本数量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工具痕迹鉴定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弹头弹壳痕迹鉴定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枚</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880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枪支性能及致伤力鉴定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支</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弹道分析鉴定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枪弹检验建档</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支</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动物蹄迹痕迹鉴定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枚</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780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整体分离痕迹鉴定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630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钥匙痕迹鉴定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640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纺织品痕迹鉴定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玻璃破碎痕迹鉴定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牙齿痕迹鉴定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唇纹痕迹鉴定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皮肤纹痕迹鉴定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耳廓痕迹鉴定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车辆轮迹鉴定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车辆痕迹鉴定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辆</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机动车辆号码化学显现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组</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380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5"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痕迹显现</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实物照片与实物同一鉴定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物体爆破（裂）痕迹鉴定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常见炸药鉴定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导火索、导爆索鉴定</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段</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火雷管、电雷管鉴定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段</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1"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制式手榴弹、手雷鉴定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exact"/>
          <w:tblCellSpacing w:w="0" w:type="dxa"/>
        </w:trPr>
        <w:tc>
          <w:tcPr>
            <w:tcW w:w="930" w:type="dxa"/>
            <w:vMerge w:val="continue"/>
            <w:tcBorders>
              <w:top w:val="outset" w:color="auto" w:sz="6" w:space="0"/>
              <w:left w:val="single" w:color="auto" w:sz="4" w:space="0"/>
              <w:bottom w:val="nil"/>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爆炸装置鉴定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exact"/>
          <w:tblCellSpacing w:w="0" w:type="dxa"/>
        </w:trPr>
        <w:tc>
          <w:tcPr>
            <w:tcW w:w="930" w:type="dxa"/>
            <w:vMerge w:val="continue"/>
            <w:tcBorders>
              <w:top w:val="outset" w:color="auto" w:sz="6" w:space="0"/>
              <w:left w:val="single" w:color="auto" w:sz="4" w:space="0"/>
              <w:bottom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痕迹鉴定文证审查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exact"/>
          <w:tblCellSpacing w:w="0" w:type="dxa"/>
        </w:trPr>
        <w:tc>
          <w:tcPr>
            <w:tcW w:w="930" w:type="dxa"/>
            <w:vMerge w:val="restart"/>
            <w:tcBorders>
              <w:top w:val="outset" w:color="auto" w:sz="6" w:space="0"/>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p>
            <w:pPr>
              <w:widowControl/>
              <w:jc w:val="left"/>
              <w:rPr>
                <w:rFonts w:hint="default" w:ascii="Times New Roman" w:hAnsi="Times New Roman" w:eastAsia="宋体" w:cs="Times New Roman"/>
                <w:color w:val="auto"/>
                <w:kern w:val="0"/>
                <w:sz w:val="24"/>
              </w:rPr>
            </w:pPr>
          </w:p>
          <w:p>
            <w:pPr>
              <w:widowControl/>
              <w:ind w:firstLine="240" w:firstLineChars="1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(三)</w:t>
            </w:r>
          </w:p>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微量物证理化检验鉴定</w:t>
            </w: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42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扫描电镜/x射线能谱仪成分检验（定性）</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460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43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扫描电镜/x射线能谱仪比对检验</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组</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射击、爆炸残留物的扫描电镜/x射线能谱仪成分检验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傅立叶（显微）显微红外光</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谱仪成分检验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傅立叶（显微）显微红外光</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谱仪成分比对检验</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组</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偏振光显微镜检验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薄层色谱检验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拉曼（激光）光谱仪检验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（激光）等离子发射光谱仪/</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质谱仪成分检验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超过5个元素的，每增加一个元素加收100元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51</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（激光）等离子发射光谱仪/</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质谱仪成分比对检验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元素</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需定量检验，每元素加收50%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52</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气相色谱/质谱仪检验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需定量检验，每样本·目标物加收50%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53</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裂解－气相色谱/质谱仪检验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54</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气相色谱检验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55</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热差、热重仪检验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56</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X射线荧光光谱仪检验</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57</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X射线衍射仪检验</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58</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离子色谱或离子色谱/质谱仪检验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样本</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同上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0" w:type="dxa"/>
            <w:vMerge w:val="continue"/>
            <w:tcBorders>
              <w:left w:val="single" w:color="auto" w:sz="4" w:space="0"/>
              <w:bottom w:val="single" w:color="auto" w:sz="4"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57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59</w:t>
            </w:r>
          </w:p>
        </w:tc>
        <w:tc>
          <w:tcPr>
            <w:tcW w:w="351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微量物证理化检验鉴定文证审查 </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3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67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bl>
    <w:p>
      <w:pPr>
        <w:widowControl/>
        <w:jc w:val="left"/>
        <w:rPr>
          <w:rFonts w:hint="eastAsia" w:ascii="仿宋" w:hAnsi="仿宋" w:eastAsia="仿宋"/>
          <w:b/>
          <w:color w:val="auto"/>
          <w:kern w:val="0"/>
          <w:sz w:val="28"/>
        </w:rPr>
      </w:pPr>
      <w:r>
        <w:rPr>
          <w:rFonts w:hint="eastAsia" w:ascii="仿宋" w:hAnsi="仿宋" w:eastAsia="仿宋"/>
          <w:b/>
          <w:color w:val="auto"/>
          <w:kern w:val="0"/>
          <w:sz w:val="28"/>
        </w:rPr>
        <w:t>三、声像资料</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72"/>
        <w:gridCol w:w="900"/>
        <w:gridCol w:w="3240"/>
        <w:gridCol w:w="1620"/>
        <w:gridCol w:w="1628"/>
        <w:gridCol w:w="573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7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类别 </w:t>
            </w: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序号</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收费项目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单位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基准价（元）</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 xml:space="preserve">备 注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(一)</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电子数</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据鉴定</w:t>
            </w: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硬盘检验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GB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包括台式机硬盘、笔记本硬盘、移动硬盘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服务器检验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GB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包括磁盘阵例柜、网络硬盘等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CD及DVD光盘检测鉴定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片</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U盘及存储卡检测鉴定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含SIM卡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软盘检测鉴定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张</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电子设备检验鉴定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包括录音笔、传真机、电子秤等同类电子设备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存储介质物理故障排除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部件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包括调换磁头、电机；更换PCB板；坏扇处理等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手机机身检验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注册表检验鉴定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软件一致性检验鉴定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100个程</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rPr>
              <w:t xml:space="preserve">序行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软件功能检验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按每个检验的软件收费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文件一致性检验鉴定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对</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数据库数据恢复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数据库一致性检验鉴定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对</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其他电子数据检验鉴定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MB</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包括网络数据包等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密码破解</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个</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现场数据获取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GB </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网络数据获取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接入小时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260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光盘朔源检验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片</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光盘刻录机检验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片</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电子物证鉴定文证复审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例</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(二)</w:t>
            </w:r>
            <w:r>
              <w:rPr>
                <w:rFonts w:hint="default" w:ascii="Times New Roman" w:hAnsi="Times New Roman" w:eastAsia="宋体" w:cs="Times New Roman"/>
                <w:color w:val="auto"/>
                <w:kern w:val="0"/>
                <w:sz w:val="24"/>
              </w:rPr>
              <w:br w:type="textWrapping"/>
            </w:r>
            <w:r>
              <w:rPr>
                <w:rFonts w:hint="default" w:ascii="Times New Roman" w:hAnsi="Times New Roman" w:eastAsia="宋体" w:cs="Times New Roman"/>
                <w:color w:val="auto"/>
                <w:kern w:val="0"/>
                <w:sz w:val="24"/>
                <w:lang w:eastAsia="zh-CN"/>
              </w:rPr>
              <w:t>录音、图像鉴定</w:t>
            </w: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录音资料中话者同一认定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人</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录音资料辨识</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录音资料的真实性完整性鉴定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录音资料的降噪处理</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语音分析检验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录音器材检验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600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录像资料同一性认定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录像资料辨识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900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录像资料的真实性完整性鉴定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按每20分钟计收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录像资料的模糊图像处理</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图片资料同一性认定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图片资料辨识</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图片资料的真实性完整性鉴定</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图片资料的模糊图像处理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人像鉴定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特种光学技术检验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多（超）光谱检验</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计算机人像组合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手工模拟画像</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800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手工雕塑复原头像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计算机模拟复原头像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1000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trPr>
        <w:tc>
          <w:tcPr>
            <w:tcW w:w="1072"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p>
        </w:tc>
        <w:tc>
          <w:tcPr>
            <w:tcW w:w="9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xml:space="preserve">声像资料鉴定文证复审 </w:t>
            </w:r>
          </w:p>
        </w:tc>
        <w:tc>
          <w:tcPr>
            <w:tcW w:w="16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件</w:t>
            </w:r>
          </w:p>
        </w:tc>
        <w:tc>
          <w:tcPr>
            <w:tcW w:w="162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1200</w:t>
            </w:r>
          </w:p>
        </w:tc>
        <w:tc>
          <w:tcPr>
            <w:tcW w:w="573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　</w:t>
            </w:r>
          </w:p>
        </w:tc>
      </w:tr>
    </w:tbl>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b/>
          <w:color w:val="auto"/>
          <w:kern w:val="0"/>
          <w:sz w:val="28"/>
          <w:szCs w:val="24"/>
          <w:lang w:val="en-US" w:eastAsia="zh-CN" w:bidi="ar-SA"/>
        </w:rPr>
      </w:pP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b/>
          <w:color w:val="auto"/>
          <w:kern w:val="0"/>
          <w:sz w:val="28"/>
          <w:szCs w:val="24"/>
          <w:lang w:val="en-US" w:eastAsia="zh-CN" w:bidi="ar-SA"/>
        </w:rPr>
      </w:pPr>
      <w:r>
        <w:rPr>
          <w:rFonts w:hint="eastAsia" w:ascii="Times New Roman" w:hAnsi="Times New Roman" w:cs="Times New Roman"/>
          <w:b/>
          <w:color w:val="auto"/>
          <w:kern w:val="0"/>
          <w:sz w:val="28"/>
          <w:szCs w:val="24"/>
          <w:lang w:val="en-US" w:eastAsia="zh-CN" w:bidi="ar-SA"/>
        </w:rPr>
        <w:t xml:space="preserve">    四、</w:t>
      </w:r>
      <w:r>
        <w:rPr>
          <w:rFonts w:hint="default" w:ascii="Times New Roman" w:hAnsi="Times New Roman" w:eastAsia="宋体" w:cs="Times New Roman"/>
          <w:b/>
          <w:color w:val="auto"/>
          <w:kern w:val="0"/>
          <w:sz w:val="28"/>
          <w:szCs w:val="24"/>
          <w:lang w:val="en-US" w:eastAsia="zh-CN" w:bidi="ar-SA"/>
        </w:rPr>
        <w:t>司法鉴定物证类文书鉴定和痕迹鉴定中的手印鉴定涉及财产案件的收费，取诉讼标的和鉴定标的两者中</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color w:val="auto"/>
          <w:sz w:val="24"/>
          <w:szCs w:val="24"/>
        </w:rPr>
      </w:pPr>
      <w:r>
        <w:rPr>
          <w:rFonts w:hint="eastAsia" w:ascii="Times New Roman" w:hAnsi="Times New Roman" w:cs="Times New Roman"/>
          <w:b/>
          <w:color w:val="auto"/>
          <w:kern w:val="0"/>
          <w:sz w:val="28"/>
          <w:szCs w:val="24"/>
          <w:lang w:val="en-US" w:eastAsia="zh-CN" w:bidi="ar-SA"/>
        </w:rPr>
        <w:t xml:space="preserve">        </w:t>
      </w:r>
      <w:r>
        <w:rPr>
          <w:rFonts w:hint="default" w:ascii="Times New Roman" w:hAnsi="Times New Roman" w:eastAsia="宋体" w:cs="Times New Roman"/>
          <w:b/>
          <w:color w:val="auto"/>
          <w:kern w:val="0"/>
          <w:sz w:val="28"/>
          <w:szCs w:val="24"/>
          <w:lang w:val="en-US" w:eastAsia="zh-CN" w:bidi="ar-SA"/>
        </w:rPr>
        <w:t>的较小值按照标的额比例分段累计收取，但每件收费最高不得超过10万元。具体如下：</w:t>
      </w:r>
      <w:r>
        <w:rPr>
          <w:rFonts w:hint="default" w:ascii="Times New Roman" w:hAnsi="Times New Roman" w:eastAsia="宋体" w:cs="Times New Roman"/>
          <w:color w:val="auto"/>
          <w:sz w:val="24"/>
          <w:szCs w:val="24"/>
        </w:rPr>
        <w:t>　</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（一）不超过10万元的，按照本附表中所列收费标准执行；</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（二）超过10万元至50万元的部分，按照1%收取；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（三）超过50万元至100万元的部分，按照0.8%收取；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（四）超过100万元至200万元的部分，按照0.6%收取；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（五）超过200万元至500万元的部分，按照0.4%收取；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（六）超过500万元至1000万元的部分，按照0.2%收取；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t>（七）超过1000万元的部分，按照0.1%收取。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left"/>
        <w:textAlignment w:val="auto"/>
        <w:outlineLvl w:val="9"/>
        <w:rPr>
          <w:rFonts w:hint="default" w:ascii="Times New Roman" w:hAnsi="Times New Roman" w:eastAsia="宋体" w:cs="Times New Roman"/>
          <w:b/>
          <w:color w:val="auto"/>
          <w:kern w:val="0"/>
          <w:sz w:val="28"/>
          <w:szCs w:val="24"/>
          <w:lang w:val="en-US" w:eastAsia="zh-CN" w:bidi="ar-SA"/>
        </w:rPr>
      </w:pPr>
      <w:r>
        <w:rPr>
          <w:rFonts w:hint="eastAsia" w:ascii="Times New Roman" w:hAnsi="Times New Roman" w:cs="Times New Roman"/>
          <w:b/>
          <w:color w:val="auto"/>
          <w:kern w:val="0"/>
          <w:sz w:val="28"/>
          <w:szCs w:val="24"/>
          <w:lang w:val="en-US" w:eastAsia="zh-CN" w:bidi="ar-SA"/>
        </w:rPr>
        <w:t xml:space="preserve">    </w:t>
      </w:r>
      <w:r>
        <w:rPr>
          <w:rFonts w:hint="default" w:ascii="Times New Roman" w:hAnsi="Times New Roman" w:eastAsia="宋体" w:cs="Times New Roman"/>
          <w:b/>
          <w:color w:val="auto"/>
          <w:kern w:val="0"/>
          <w:sz w:val="28"/>
          <w:szCs w:val="24"/>
          <w:lang w:val="en-US" w:eastAsia="zh-CN" w:bidi="ar-SA"/>
        </w:rPr>
        <w:t>五、以上收费（第四条按标的额比例分段累计收费除外）可以在基准收费标准基础上浮动，上下浮动幅度不</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621" w:firstLineChars="221"/>
        <w:jc w:val="left"/>
        <w:textAlignment w:val="auto"/>
        <w:outlineLvl w:val="9"/>
      </w:pPr>
      <w:r>
        <w:rPr>
          <w:rFonts w:hint="eastAsia" w:ascii="Times New Roman" w:hAnsi="Times New Roman" w:cs="Times New Roman"/>
          <w:b/>
          <w:color w:val="auto"/>
          <w:kern w:val="0"/>
          <w:sz w:val="28"/>
          <w:szCs w:val="24"/>
          <w:lang w:val="en-US" w:eastAsia="zh-CN" w:bidi="ar-SA"/>
        </w:rPr>
        <w:t xml:space="preserve">   </w:t>
      </w:r>
      <w:r>
        <w:rPr>
          <w:rFonts w:hint="default" w:ascii="Times New Roman" w:hAnsi="Times New Roman" w:eastAsia="宋体" w:cs="Times New Roman"/>
          <w:b/>
          <w:color w:val="auto"/>
          <w:kern w:val="0"/>
          <w:sz w:val="28"/>
          <w:szCs w:val="24"/>
          <w:lang w:val="en-US" w:eastAsia="zh-CN" w:bidi="ar-SA"/>
        </w:rPr>
        <w:t>得超过20%。</w:t>
      </w:r>
    </w:p>
    <w:p/>
    <w:sectPr>
      <w:footerReference r:id="rId3" w:type="default"/>
      <w:pgSz w:w="16838" w:h="11906" w:orient="landscape"/>
      <w:pgMar w:top="1800" w:right="1440" w:bottom="1800" w:left="1440" w:header="851" w:footer="992" w:gutter="0"/>
      <w:pgNumType w:fmt="numberInDash"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snapToGrid w:val="0"/>
                            <w:rPr>
                              <w:rFonts w:hint="eastAsia" w:eastAsia="楷体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1.25pt;height:144pt;width:144pt;mso-position-horizontal:center;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IPqJp1AAAAAgBAAAPAAAAAAAAAAEA&#10;IAAAACIAAABkcnMvZG93bnJldi54bWxQSwECFAAUAAAACACHTuJAxGpPSdoBAAC6AwAADgAAAAAA&#10;AAABACAAAAAjAQAAZHJzL2Uyb0RvYy54bWxQSwUGAAAAAAYABgBZAQAAbwUAAAAA&#10;">
              <v:fill on="f" focussize="0,0"/>
              <v:stroke on="f" joinstyle="miter"/>
              <v:imagedata o:title=""/>
              <o:lock v:ext="edit" aspectratio="f"/>
              <v:textbox inset="0mm,0mm,0mm,0mm" style="mso-fit-shape-to-text:t;">
                <w:txbxContent>
                  <w:p>
                    <w:pPr>
                      <w:snapToGrid w:val="0"/>
                      <w:rPr>
                        <w:rFonts w:hint="eastAsia" w:eastAsia="楷体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- 4 -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2D1DA"/>
    <w:multiLevelType w:val="singleLevel"/>
    <w:tmpl w:val="6052D1DA"/>
    <w:lvl w:ilvl="0" w:tentative="0">
      <w:start w:val="1"/>
      <w:numFmt w:val="chineseCounting"/>
      <w:suff w:val="nothing"/>
      <w:lvlText w:val="(%1)"/>
      <w:lvlJc w:val="left"/>
    </w:lvl>
  </w:abstractNum>
  <w:abstractNum w:abstractNumId="1">
    <w:nsid w:val="6063D44A"/>
    <w:multiLevelType w:val="singleLevel"/>
    <w:tmpl w:val="6063D44A"/>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9451B"/>
    <w:rsid w:val="0BE9451B"/>
    <w:rsid w:val="60170E2A"/>
    <w:rsid w:val="64D7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Lines="0" w:beforeAutospacing="1" w:after="100" w:afterLines="0" w:afterAutospacing="1" w:line="360" w:lineRule="auto"/>
      <w:jc w:val="left"/>
    </w:pPr>
    <w:rPr>
      <w:rFonts w:ascii="宋体" w:hAnsi="宋体" w:eastAsia="宋体"/>
      <w:color w:val="000080"/>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2021-08-20T02:08:00Z</dcterms:created>
  <dc:creator>lenovo</dc:creator>
  <cp:lastModifiedBy>愿化身石桥</cp:lastModifiedBy>
  <dcterms:modified xsi:type="dcterms:W3CDTF">2021-09-03T00:20:25Z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41F4444FF1F34AF5A38152D79592363E</vt:lpwstr>
  </property>
</Properties>
</file>