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10" w:firstLineChars="300"/>
        <w:jc w:val="center"/>
        <w:rPr>
          <w:rFonts w:ascii="Arial" w:hAnsi="Arial" w:eastAsia="Arial" w:cs="Arial"/>
          <w:i w:val="0"/>
          <w:iCs w:val="0"/>
          <w:caps w:val="0"/>
          <w:color w:val="000000"/>
          <w:spacing w:val="0"/>
          <w:sz w:val="27"/>
          <w:szCs w:val="27"/>
        </w:rPr>
      </w:pPr>
      <w:r>
        <w:rPr>
          <w:rFonts w:ascii="Arial" w:hAnsi="Arial" w:eastAsia="Arial" w:cs="Arial"/>
          <w:i w:val="0"/>
          <w:iCs w:val="0"/>
          <w:caps w:val="0"/>
          <w:color w:val="000000"/>
          <w:spacing w:val="0"/>
          <w:sz w:val="27"/>
          <w:szCs w:val="27"/>
        </w:rPr>
        <w:t>十堰</w:t>
      </w:r>
      <w:bookmarkStart w:id="0" w:name="_GoBack"/>
      <w:bookmarkEnd w:id="0"/>
      <w:r>
        <w:rPr>
          <w:rFonts w:ascii="Arial" w:hAnsi="Arial" w:eastAsia="Arial" w:cs="Arial"/>
          <w:i w:val="0"/>
          <w:iCs w:val="0"/>
          <w:caps w:val="0"/>
          <w:color w:val="000000"/>
          <w:spacing w:val="0"/>
          <w:sz w:val="27"/>
          <w:szCs w:val="27"/>
        </w:rPr>
        <w:t>市郧阳区区级证明事项承诺制清单(第一批)</w:t>
      </w:r>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0"/>
        <w:gridCol w:w="497"/>
        <w:gridCol w:w="457"/>
        <w:gridCol w:w="631"/>
        <w:gridCol w:w="1035"/>
        <w:gridCol w:w="1906"/>
        <w:gridCol w:w="425"/>
        <w:gridCol w:w="405"/>
        <w:gridCol w:w="225"/>
        <w:gridCol w:w="265"/>
        <w:gridCol w:w="253"/>
        <w:gridCol w:w="265"/>
        <w:gridCol w:w="320"/>
        <w:gridCol w:w="458"/>
        <w:gridCol w:w="485"/>
        <w:gridCol w:w="432"/>
        <w:gridCol w:w="405"/>
        <w:gridCol w:w="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tblCellSpacing w:w="0" w:type="dxa"/>
        </w:trPr>
        <w:tc>
          <w:tcPr>
            <w:tcW w:w="225" w:type="dxa"/>
            <w:vMerge w:val="restart"/>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序号</w:t>
            </w:r>
          </w:p>
        </w:tc>
        <w:tc>
          <w:tcPr>
            <w:tcW w:w="510" w:type="dxa"/>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证明</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名称</w:t>
            </w:r>
          </w:p>
        </w:tc>
        <w:tc>
          <w:tcPr>
            <w:tcW w:w="465" w:type="dxa"/>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证明</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用途</w:t>
            </w:r>
          </w:p>
        </w:tc>
        <w:tc>
          <w:tcPr>
            <w:tcW w:w="660" w:type="dxa"/>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证明内容</w:t>
            </w:r>
          </w:p>
        </w:tc>
        <w:tc>
          <w:tcPr>
            <w:tcW w:w="765" w:type="dxa"/>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设定依据</w:t>
            </w:r>
          </w:p>
        </w:tc>
        <w:tc>
          <w:tcPr>
            <w:tcW w:w="2055" w:type="dxa"/>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依据条文及内容</w:t>
            </w:r>
          </w:p>
        </w:tc>
        <w:tc>
          <w:tcPr>
            <w:tcW w:w="855" w:type="dxa"/>
            <w:gridSpan w:val="2"/>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实施基本情况</w:t>
            </w:r>
          </w:p>
        </w:tc>
        <w:tc>
          <w:tcPr>
            <w:tcW w:w="1020" w:type="dxa"/>
            <w:gridSpan w:val="4"/>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行政层级</w:t>
            </w:r>
          </w:p>
        </w:tc>
        <w:tc>
          <w:tcPr>
            <w:tcW w:w="330" w:type="dxa"/>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事项</w:t>
            </w:r>
          </w:p>
          <w:p>
            <w:pPr>
              <w:pStyle w:val="2"/>
              <w:keepNext w:val="0"/>
              <w:keepLines w:val="0"/>
              <w:widowControl/>
              <w:suppressLineNumbers w:val="0"/>
              <w:autoSpaceDE w:val="0"/>
              <w:autoSpaceDN/>
              <w:spacing w:line="285" w:lineRule="atLeast"/>
              <w:jc w:val="center"/>
            </w:pPr>
            <w:r>
              <w:rPr>
                <w:rFonts w:hint="eastAsia" w:ascii="宋体" w:hAnsi="宋体" w:eastAsia="宋体" w:cs="宋体"/>
                <w:sz w:val="18"/>
                <w:szCs w:val="18"/>
                <w:bdr w:val="none" w:color="auto" w:sz="0" w:space="0"/>
              </w:rPr>
              <w:t>类型</w:t>
            </w:r>
          </w:p>
        </w:tc>
        <w:tc>
          <w:tcPr>
            <w:tcW w:w="2160" w:type="dxa"/>
            <w:gridSpan w:val="5"/>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pPr>
            <w:r>
              <w:rPr>
                <w:rFonts w:hint="eastAsia" w:ascii="宋体" w:hAnsi="宋体" w:eastAsia="宋体" w:cs="宋体"/>
                <w:sz w:val="18"/>
                <w:szCs w:val="18"/>
                <w:bdr w:val="none" w:color="auto" w:sz="0" w:space="0"/>
              </w:rPr>
              <w:t>能否实行告知承诺制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blCellSpacing w:w="0" w:type="dxa"/>
        </w:trPr>
        <w:tc>
          <w:tcPr>
            <w:tcW w:w="225" w:type="dxa"/>
            <w:vMerge w:val="continue"/>
            <w:tcBorders>
              <w:top w:val="single" w:color="000000" w:sz="6" w:space="0"/>
              <w:left w:val="single" w:color="000000" w:sz="6" w:space="0"/>
              <w:bottom w:val="nil"/>
              <w:right w:val="single" w:color="000000" w:sz="6" w:space="0"/>
            </w:tcBorders>
            <w:shd w:val="clear"/>
            <w:vAlign w:val="center"/>
          </w:tcPr>
          <w:p>
            <w:pPr>
              <w:rPr>
                <w:rFonts w:hint="eastAsia" w:ascii="宋体"/>
                <w:sz w:val="24"/>
                <w:szCs w:val="24"/>
              </w:rPr>
            </w:pPr>
          </w:p>
        </w:tc>
        <w:tc>
          <w:tcPr>
            <w:tcW w:w="510"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465"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660"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765"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2055"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855" w:type="dxa"/>
            <w:gridSpan w:val="2"/>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1020" w:type="dxa"/>
            <w:gridSpan w:val="4"/>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330"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1770" w:type="dxa"/>
            <w:gridSpan w:val="4"/>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能实行告知承诺</w:t>
            </w:r>
          </w:p>
        </w:tc>
        <w:tc>
          <w:tcPr>
            <w:tcW w:w="390" w:type="dxa"/>
            <w:vMerge w:val="restart"/>
            <w:tcBorders>
              <w:top w:val="single" w:color="000000" w:sz="6" w:space="0"/>
              <w:left w:val="nil"/>
              <w:bottom w:val="nil"/>
              <w:right w:val="single" w:color="000000" w:sz="6" w:space="0"/>
            </w:tcBorders>
            <w:shd w:val="clear"/>
            <w:vAlign w:val="center"/>
          </w:tcPr>
          <w:p>
            <w:pPr>
              <w:pStyle w:val="2"/>
              <w:keepNext w:val="0"/>
              <w:keepLines w:val="0"/>
              <w:widowControl/>
              <w:suppressLineNumbers w:val="0"/>
              <w:autoSpaceDE w:val="0"/>
              <w:autoSpaceDN/>
              <w:spacing w:line="285" w:lineRule="atLeast"/>
              <w:jc w:val="center"/>
            </w:pPr>
            <w:r>
              <w:rPr>
                <w:rFonts w:hint="eastAsia" w:ascii="宋体" w:hAnsi="宋体" w:eastAsia="宋体" w:cs="宋体"/>
                <w:sz w:val="18"/>
                <w:szCs w:val="18"/>
                <w:bdr w:val="none" w:color="auto" w:sz="0" w:space="0"/>
              </w:rPr>
              <w:t>不能实行告知承诺及原因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blCellSpacing w:w="0" w:type="dxa"/>
        </w:trPr>
        <w:tc>
          <w:tcPr>
            <w:tcW w:w="225" w:type="dxa"/>
            <w:vMerge w:val="continue"/>
            <w:tcBorders>
              <w:top w:val="single" w:color="000000" w:sz="6" w:space="0"/>
              <w:left w:val="single" w:color="000000" w:sz="6" w:space="0"/>
              <w:bottom w:val="nil"/>
              <w:right w:val="single" w:color="000000" w:sz="6" w:space="0"/>
            </w:tcBorders>
            <w:shd w:val="clear"/>
            <w:vAlign w:val="center"/>
          </w:tcPr>
          <w:p>
            <w:pPr>
              <w:rPr>
                <w:rFonts w:hint="eastAsia" w:ascii="宋体"/>
                <w:sz w:val="24"/>
                <w:szCs w:val="24"/>
              </w:rPr>
            </w:pPr>
          </w:p>
        </w:tc>
        <w:tc>
          <w:tcPr>
            <w:tcW w:w="510"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465"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660"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765"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2055"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索要</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单位</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开具</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省级</w:t>
            </w:r>
          </w:p>
        </w:tc>
        <w:tc>
          <w:tcPr>
            <w:tcW w:w="27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市</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级</w:t>
            </w:r>
          </w:p>
        </w:tc>
        <w:tc>
          <w:tcPr>
            <w:tcW w:w="255"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县</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级</w:t>
            </w:r>
          </w:p>
        </w:tc>
        <w:tc>
          <w:tcPr>
            <w:tcW w:w="270"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乡镇级及其他</w:t>
            </w:r>
          </w:p>
        </w:tc>
        <w:tc>
          <w:tcPr>
            <w:tcW w:w="330"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c>
          <w:tcPr>
            <w:tcW w:w="465"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申请人承诺后，部门即给予办理，无需再提供证明</w:t>
            </w:r>
          </w:p>
        </w:tc>
        <w:tc>
          <w:tcPr>
            <w:tcW w:w="495"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申请人承诺后，通过部门自行核查，无需申请人提交</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证明</w:t>
            </w:r>
          </w:p>
        </w:tc>
        <w:tc>
          <w:tcPr>
            <w:tcW w:w="435"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申请人承诺后，需在一定期限内补齐证明</w:t>
            </w:r>
          </w:p>
        </w:tc>
        <w:tc>
          <w:tcPr>
            <w:tcW w:w="375"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证明</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材料</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核查</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方式</w:t>
            </w:r>
          </w:p>
        </w:tc>
        <w:tc>
          <w:tcPr>
            <w:tcW w:w="390" w:type="dxa"/>
            <w:vMerge w:val="continue"/>
            <w:tcBorders>
              <w:top w:val="single" w:color="000000" w:sz="6" w:space="0"/>
              <w:left w:val="nil"/>
              <w:bottom w:val="nil"/>
              <w:right w:val="single" w:color="000000"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24"/>
                <w:szCs w:val="24"/>
                <w:bdr w:val="none" w:color="auto" w:sz="0" w:space="0"/>
              </w:rPr>
              <w:t>1</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9"/>
                <w:szCs w:val="19"/>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9"/>
                <w:szCs w:val="19"/>
                <w:bdr w:val="none" w:color="auto" w:sz="0" w:space="0"/>
              </w:rPr>
              <w:t>合伙企业变更登记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15"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经营场所）在十堰管辖区域内的企业申请办理登记注册时，对住所（经营场所）登记实行向企业登记机关申报相关信息并承诺符合法律法规规定，而无需向企业登记机关提交住所（经营场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24"/>
                <w:szCs w:val="24"/>
                <w:bdr w:val="none" w:color="auto" w:sz="0" w:space="0"/>
              </w:rPr>
              <w:t>2</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9"/>
                <w:szCs w:val="19"/>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9"/>
                <w:szCs w:val="19"/>
                <w:bdr w:val="none" w:color="auto" w:sz="0" w:space="0"/>
              </w:rPr>
              <w:t>合伙企业设立登记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15" w:lineRule="atLeast"/>
              <w:textAlignment w:val="center"/>
            </w:pPr>
            <w:r>
              <w:rPr>
                <w:rFonts w:hint="eastAsia" w:ascii="宋体" w:hAnsi="宋体" w:eastAsia="宋体" w:cs="宋体"/>
                <w:sz w:val="18"/>
                <w:szCs w:val="18"/>
                <w:bdr w:val="none" w:color="auto" w:sz="0" w:space="0"/>
              </w:rPr>
              <w:t>市市</w:t>
            </w:r>
            <w:r>
              <w:rPr>
                <w:rFonts w:hint="eastAsia" w:ascii="宋体" w:hAnsi="宋体" w:eastAsia="宋体" w:cs="宋体"/>
                <w:spacing w:val="0"/>
                <w:sz w:val="18"/>
                <w:szCs w:val="18"/>
                <w:bdr w:val="none" w:color="auto" w:sz="0" w:space="0"/>
              </w:rPr>
              <w:t>场监管局关于印发《十堰市企业住所（经营场所）信息申报承诺制管理试行办法》的通知（十市监发〔2020〕51号），住所在十堰管辖区域内的企业申请办理登记注册时，对住所登记实行向企业登记机关申报相关信息并承诺符合法律法规规定，而无需向企业</w:t>
            </w:r>
            <w:r>
              <w:rPr>
                <w:rFonts w:hint="eastAsia" w:ascii="宋体" w:hAnsi="宋体" w:eastAsia="宋体" w:cs="宋体"/>
                <w:sz w:val="18"/>
                <w:szCs w:val="18"/>
                <w:bdr w:val="none" w:color="auto" w:sz="0" w:space="0"/>
              </w:rPr>
              <w:t>登记机关提交住所使用证明。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9"/>
                <w:szCs w:val="19"/>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9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内资公司设立登记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70"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经营场所）在十堰管辖区域内的企业申请办理登记注册时，对住所（经营场所）登记实行向企业登记机关申报相关信息并承诺符合法律法规规定，而无需向企业登记机关提交住所（经营场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4</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营业单位、企业非法人分支机构变更登记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70"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经营场所）在十堰管辖区域内的企业申请办理登记注册时，对住所（经营场所）登记实行向企业登记机关申报相关信息并承诺符合法律法规规定，而无需向企业登记机关提交住所（经营场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0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5</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非公司企业法人变更登记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70"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经营场所）在十堰管辖区域内的企业申请办理登记注册时，对住所（经营场所）登记实行向企业登记机关申报相关信息并承诺符合法律法规规定，而无需向企业登记机关提交住所（经营场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6</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营业单位、企业非法人分支机构开业登记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在十堰管辖区域内的企业申请办理登记注册时，对住所登记实行向企业登记机关申报相关信息并承诺符合法律法规规定，而无需向企业登记机关提交住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7</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内资分公司变更登记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经营场所）在十堰管辖区域内的企业申请办理登记注册时，对住所（经营场所）登记实行向企业登记机关申报相关信息并承诺符合法律法规规定，而无需向企业登记机关提交住所（经营场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8</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非公司企业法人开业登记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经营场所）在十堰管辖区域内的企业申请办理登记注册时，对住所（经营场所）登记实行向企业登记机关申报相关信息并承诺符合法律法规规定，而无需向企业登记机关提交住所（经营场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9</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内资公司变更登记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经营场所）在十堰管辖区域内的企业申请办理登记注册时，对住所（经营场所）登记实行向企业登记机关申报相关信息并承诺符合法律法规规定，而无需向企业登记机关提交住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10</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经营场所使用证明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内资分公司设立登记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70" w:lineRule="atLeast"/>
              <w:jc w:val="center"/>
              <w:textAlignment w:val="center"/>
            </w:pPr>
            <w:r>
              <w:rPr>
                <w:rFonts w:hint="eastAsia" w:ascii="宋体" w:hAnsi="宋体" w:eastAsia="宋体" w:cs="宋体"/>
                <w:sz w:val="18"/>
                <w:szCs w:val="18"/>
                <w:bdr w:val="none" w:color="auto" w:sz="0" w:space="0"/>
              </w:rPr>
              <w:t>企业具有可以用于从事“安全、环保、不扰民”行业市场主体的住所（经营场所）</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《十堰市企业住所（经营场所）信息申报承诺制管理试行办法》的通知（十市监发〔2020〕51号）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市市场监管局关于印发《十堰市企业住所（经营场所）信息申报承诺制管理试行办法》的通知（十市监发〔2020〕51号），住所（经营场所）在十堰管辖区域内的企业申请办理登记注册时，对住所（经营场所）登记实行向企业登记机关申报相关信息并承诺符合法律法规规定，而无需向企业登记机关提交住所（经营场所）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十堰市郧阳区行政审批局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企业</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4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11</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节能审查告知承诺</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节能</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审查</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70" w:lineRule="atLeast"/>
              <w:jc w:val="center"/>
              <w:textAlignment w:val="center"/>
            </w:pPr>
            <w:r>
              <w:rPr>
                <w:rFonts w:hint="eastAsia" w:ascii="宋体" w:hAnsi="宋体" w:eastAsia="宋体" w:cs="宋体"/>
                <w:sz w:val="18"/>
                <w:szCs w:val="18"/>
                <w:bdr w:val="none" w:color="auto" w:sz="0" w:space="0"/>
              </w:rPr>
              <w:t>说明</w:t>
            </w:r>
            <w:r>
              <w:rPr>
                <w:rFonts w:hint="eastAsia" w:ascii="宋体" w:hAnsi="宋体" w:eastAsia="宋体" w:cs="宋体"/>
                <w:spacing w:val="-15"/>
                <w:sz w:val="18"/>
                <w:szCs w:val="18"/>
                <w:bdr w:val="none" w:color="auto" w:sz="0" w:space="0"/>
              </w:rPr>
              <w:t>项目所属行业、审批核准备案情况、投产</w:t>
            </w:r>
            <w:r>
              <w:rPr>
                <w:rFonts w:hint="eastAsia" w:ascii="宋体" w:hAnsi="宋体" w:eastAsia="宋体" w:cs="宋体"/>
                <w:sz w:val="18"/>
                <w:szCs w:val="18"/>
                <w:bdr w:val="none" w:color="auto" w:sz="0" w:space="0"/>
              </w:rPr>
              <w:t>年份、新增能耗和主要能</w:t>
            </w:r>
            <w:r>
              <w:rPr>
                <w:rFonts w:hint="eastAsia" w:ascii="宋体" w:hAnsi="宋体" w:eastAsia="宋体" w:cs="宋体"/>
                <w:spacing w:val="-15"/>
                <w:sz w:val="18"/>
                <w:szCs w:val="18"/>
                <w:bdr w:val="none" w:color="auto" w:sz="0" w:space="0"/>
              </w:rPr>
              <w:t>源品种，作出达到国家强</w:t>
            </w:r>
            <w:r>
              <w:rPr>
                <w:rFonts w:hint="eastAsia" w:ascii="宋体" w:hAnsi="宋体" w:eastAsia="宋体" w:cs="宋体"/>
                <w:sz w:val="18"/>
                <w:szCs w:val="18"/>
                <w:bdr w:val="none" w:color="auto" w:sz="0" w:space="0"/>
              </w:rPr>
              <w:t>制性节能标准的承</w:t>
            </w:r>
            <w:r>
              <w:rPr>
                <w:rFonts w:hint="eastAsia" w:ascii="宋体" w:hAnsi="宋体" w:eastAsia="宋体" w:cs="宋体"/>
                <w:spacing w:val="-15"/>
                <w:sz w:val="18"/>
                <w:szCs w:val="18"/>
                <w:bdr w:val="none" w:color="auto" w:sz="0" w:space="0"/>
              </w:rPr>
              <w:t>诺</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湖北省县（市、区）区域节能评估实施细则（试行）（鄂发改规〔2019〕2号）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第五条“政府投资项目应在可研报批之前，企业投资项目应在核准备案之后、开工建设之前，向节能审查机关提交使用区域节能评估报告进行节能审查的申请，说明项目所属行业、审批核准备案情况、投产年份、新增能耗和主要能源品种，作出达到国家强制性节能标准的承诺”</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2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12</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建设资金已到位</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承诺书</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施工许可证核发</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无（该项证明已经取消）</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住房和城乡建设部关于修改《建筑工程施工许可管理办法》等三部规章的决定（2021年3月30日）</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将第四条第一款第五项修改为：“有满足施工需要的资金安排、施工图纸及技术资料，建设单位应当提供建设资金已经落实承诺书，施工图设计文件已按规定审查合格。”</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13</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pacing w:val="-15"/>
                <w:sz w:val="18"/>
                <w:szCs w:val="18"/>
                <w:bdr w:val="none" w:color="auto" w:sz="0" w:space="0"/>
              </w:rPr>
              <w:t>建</w:t>
            </w:r>
            <w:r>
              <w:rPr>
                <w:rFonts w:hint="eastAsia" w:ascii="宋体" w:hAnsi="宋体" w:eastAsia="宋体" w:cs="宋体"/>
                <w:spacing w:val="0"/>
                <w:sz w:val="18"/>
                <w:szCs w:val="18"/>
                <w:bdr w:val="none" w:color="auto" w:sz="0" w:space="0"/>
              </w:rPr>
              <w:t>设单位无拖欠工</w:t>
            </w:r>
            <w:r>
              <w:rPr>
                <w:rFonts w:hint="eastAsia" w:ascii="宋体" w:hAnsi="宋体" w:eastAsia="宋体" w:cs="宋体"/>
                <w:spacing w:val="-15"/>
                <w:sz w:val="18"/>
                <w:szCs w:val="18"/>
                <w:bdr w:val="none" w:color="auto" w:sz="0" w:space="0"/>
              </w:rPr>
              <w:t>程款承诺书</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施工许可证核发</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建设单位施工过程中不拖欠施工单位应得的工程款</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《省住房城乡建设厅关于调整建筑工程施工许可证审批网上办理事项的通知》（鄂建函〔2018〕461号）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统一申请材料中的第11项材料</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0" w:type="dxa"/>
        </w:trPr>
        <w:tc>
          <w:tcPr>
            <w:tcW w:w="225"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14</w:t>
            </w:r>
          </w:p>
        </w:tc>
        <w:tc>
          <w:tcPr>
            <w:tcW w:w="51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主管代理记账业务的负责人、具有会计师以上专业技术职务资格证明</w:t>
            </w:r>
          </w:p>
        </w:tc>
        <w:tc>
          <w:tcPr>
            <w:tcW w:w="46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中介机构从事代理记账业务审批</w:t>
            </w:r>
          </w:p>
        </w:tc>
        <w:tc>
          <w:tcPr>
            <w:tcW w:w="66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中介机构从事代理记账业务审批</w:t>
            </w:r>
          </w:p>
        </w:tc>
        <w:tc>
          <w:tcPr>
            <w:tcW w:w="76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中华人民共和国财政部令第98号</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财政部关于修改《代理记账管理办法》等2部部门规章的决定</w:t>
            </w:r>
          </w:p>
        </w:tc>
        <w:tc>
          <w:tcPr>
            <w:tcW w:w="205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（二）主管代理记账业务的负责人具备会计师以上专业技术职务资格或者从事会计工作不少于三年的书面承诺；</w:t>
            </w:r>
          </w:p>
        </w:tc>
        <w:tc>
          <w:tcPr>
            <w:tcW w:w="45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vMerge w:val="restart"/>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vMerge w:val="restart"/>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vMerge w:val="restart"/>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vMerge w:val="restart"/>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vMerge w:val="restart"/>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vMerge w:val="restart"/>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vMerge w:val="restart"/>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blCellSpacing w:w="0" w:type="dxa"/>
        </w:trPr>
        <w:tc>
          <w:tcPr>
            <w:tcW w:w="225" w:type="dxa"/>
            <w:vMerge w:val="continue"/>
            <w:tcBorders>
              <w:top w:val="nil"/>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51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46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66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76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205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45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40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22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2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25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27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33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46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49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43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375"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c>
          <w:tcPr>
            <w:tcW w:w="390" w:type="dxa"/>
            <w:vMerge w:val="continue"/>
            <w:tcBorders>
              <w:top w:val="nil"/>
              <w:left w:val="nil"/>
              <w:bottom w:val="single" w:color="000000" w:sz="6" w:space="0"/>
              <w:right w:val="single" w:color="000000"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15</w:t>
            </w:r>
          </w:p>
        </w:tc>
        <w:tc>
          <w:tcPr>
            <w:tcW w:w="510"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从业人员不少于3人的承诺书</w:t>
            </w:r>
          </w:p>
        </w:tc>
        <w:tc>
          <w:tcPr>
            <w:tcW w:w="465"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中介机构从事代理记账业务审批</w:t>
            </w:r>
          </w:p>
        </w:tc>
        <w:tc>
          <w:tcPr>
            <w:tcW w:w="660"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中介机构从事代理记账业务审批</w:t>
            </w:r>
          </w:p>
        </w:tc>
        <w:tc>
          <w:tcPr>
            <w:tcW w:w="765"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中华人民共和国财政部令第98号</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财政部关于修改《代理记账管理办法》等2部部门规章的决定</w:t>
            </w:r>
          </w:p>
        </w:tc>
        <w:tc>
          <w:tcPr>
            <w:tcW w:w="2055"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（二）专职从业人员不少于3名；</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blCellSpacing w:w="0" w:type="dxa"/>
        </w:trPr>
        <w:tc>
          <w:tcPr>
            <w:tcW w:w="225" w:type="dxa"/>
            <w:tcBorders>
              <w:top w:val="nil"/>
              <w:left w:val="single" w:color="000000" w:sz="6" w:space="0"/>
              <w:bottom w:val="single" w:color="000000" w:sz="6" w:space="0"/>
              <w:right w:val="single" w:color="auto"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16</w:t>
            </w:r>
          </w:p>
        </w:tc>
        <w:tc>
          <w:tcPr>
            <w:tcW w:w="51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从事会计工作不少于3年</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承诺书</w:t>
            </w:r>
          </w:p>
        </w:tc>
        <w:tc>
          <w:tcPr>
            <w:tcW w:w="46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中介机构从事代理记账业务审批</w:t>
            </w:r>
          </w:p>
        </w:tc>
        <w:tc>
          <w:tcPr>
            <w:tcW w:w="66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中介机构从事代理记账业务审批</w:t>
            </w:r>
          </w:p>
        </w:tc>
        <w:tc>
          <w:tcPr>
            <w:tcW w:w="76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中华人民共和国财政部令第98号</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财政部关于修改《代理记账管理办法》等2部部门规章的决定</w:t>
            </w:r>
          </w:p>
        </w:tc>
        <w:tc>
          <w:tcPr>
            <w:tcW w:w="20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（二）主管代理记账业务的负责人具备会计师以上专业技术职务资格或者从事会计工作不少于三年的书面承诺；</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tblCellSpacing w:w="0" w:type="dxa"/>
        </w:trPr>
        <w:tc>
          <w:tcPr>
            <w:tcW w:w="225" w:type="dxa"/>
            <w:tcBorders>
              <w:top w:val="nil"/>
              <w:left w:val="single" w:color="000000" w:sz="6" w:space="0"/>
              <w:bottom w:val="single" w:color="000000" w:sz="6" w:space="0"/>
              <w:right w:val="single" w:color="auto"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17</w:t>
            </w:r>
          </w:p>
        </w:tc>
        <w:tc>
          <w:tcPr>
            <w:tcW w:w="510"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有代理记账业务内部规范承诺书</w:t>
            </w:r>
          </w:p>
        </w:tc>
        <w:tc>
          <w:tcPr>
            <w:tcW w:w="465"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中介机构从事代理记账业务审批</w:t>
            </w:r>
          </w:p>
        </w:tc>
        <w:tc>
          <w:tcPr>
            <w:tcW w:w="660"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中介机构从事代理记账业务审批</w:t>
            </w:r>
          </w:p>
        </w:tc>
        <w:tc>
          <w:tcPr>
            <w:tcW w:w="765" w:type="dxa"/>
            <w:tcBorders>
              <w:top w:val="nil"/>
              <w:left w:val="nil"/>
              <w:bottom w:val="single" w:color="auto"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中华人民共和国财政部令第98号</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财政部关于修改《代理记账管理办法》等2部部门规章的决定</w:t>
            </w:r>
          </w:p>
        </w:tc>
        <w:tc>
          <w:tcPr>
            <w:tcW w:w="20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line="285" w:lineRule="atLeast"/>
              <w:textAlignment w:val="center"/>
            </w:pPr>
            <w:r>
              <w:rPr>
                <w:rFonts w:hint="eastAsia" w:ascii="宋体" w:hAnsi="宋体" w:eastAsia="宋体" w:cs="宋体"/>
                <w:sz w:val="18"/>
                <w:szCs w:val="18"/>
                <w:bdr w:val="none" w:color="auto" w:sz="0" w:space="0"/>
              </w:rPr>
              <w:t>（四）有健全的代理记账业务内部规范。</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18</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在规定期限内具备举办者培养目标、办学规模、办学层次、办学形式、内部管理体制的</w:t>
            </w:r>
          </w:p>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承诺书</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民办职业培训学校设立、分立、合并、变更及终止审批</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民办职业培训学校设立、分立、合并、变更及终止审批</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中华人民共和国民办教育</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促进法</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第十三条 申请筹设民办学校，举办者应当</w:t>
            </w:r>
          </w:p>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向审批机关提交下列材料：（一）申办报告，内容应当主要包括：举办者、培养目标、办学规模、办学层次、办学形式、办学条件、内部管理体制、经费筹措与管理使用等；</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19</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章程和管理制度、开展业务必备的固定场所和办公设施的承诺书</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人力资源服务许可</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人力资源</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服务许可</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pacing w:val="0"/>
                <w:sz w:val="18"/>
                <w:szCs w:val="18"/>
                <w:bdr w:val="none" w:color="auto" w:sz="0" w:space="0"/>
              </w:rPr>
              <w:t>省人力资源和社会保障厅关于全面</w:t>
            </w:r>
            <w:r>
              <w:rPr>
                <w:rFonts w:hint="eastAsia" w:ascii="宋体" w:hAnsi="宋体" w:eastAsia="宋体" w:cs="宋体"/>
                <w:sz w:val="18"/>
                <w:szCs w:val="18"/>
                <w:bdr w:val="none" w:color="auto" w:sz="0" w:space="0"/>
              </w:rPr>
              <w:t>开展人力资源服务行政许可告知承诺制</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试点的通知</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三、行政许可各地人力资源和社会保障主管部门要规范人力资源服务行政许可告知承诺制工作流程，编制办事指南和告知承诺书文本，对相关内容进行一次性告知和承诺。根据《湖北省人力资源市场条例》和《省人力资源和社会保障厅关于进一步规范人力资源服务行政许可及备案有关工作的通知》（鄂人社发〔2019〕21号）中从事职业中介活动经营许可的条件要求，对企业自愿作出承诺，并按要求提交材料的，应当场作出审批决定。</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20</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专职工作人员职业资格证明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人力资源服务许可</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人力资源服务许可</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省人力资源和社会保障厅关于全面开展人力资源服务行政许可告知承诺制</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试点的通知</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三、行政许可各地人力资源和社会保障主管部门要规范人力资源服务行政许可告知承诺制工作流程，编制办事指南和告知承诺书文本，对相关内容进行一次性告知和承诺。根据《湖北省人力资源市场条例》和《省人力资源和社会保障厅关于进一步规范人力资源服务行政许可及备案有关工作的通知》（鄂人社发〔2019〕21号）中从事职业中介活动经营许可的条件要求，对企业自愿作出承诺，并按要求提交材料的，应当场作出审批决定</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21</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经营场所证明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旅行社设立许可</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旅行社设立许可</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旅行社条例</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第六条 申请设立旅行社，经营国内旅游业务和入境旅游业务的，应当具备下列条件：（一）有固定的经营场所；</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22</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经营管理人员和导游资质</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旅行社设立许可</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旅行社设立许可</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国家旅游局关于执行《旅游法》有关规定的通知</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1.“必要的经营管理人员”是指具有旅行社从业经历或者相关专业经历的经理人员和计调人员；“必要的导游”是指有不低于旅行社在职员工总数20%且不少于3名、与旅行社签订固定期限或者无固定期限劳动合同的持有导游证的导游。</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23</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营业设施、按时缴纳旅游服务质量保证金承诺书</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pacing w:val="-15"/>
                <w:sz w:val="18"/>
                <w:szCs w:val="18"/>
                <w:bdr w:val="none" w:color="auto" w:sz="0" w:space="0"/>
              </w:rPr>
              <w:t>旅行社设立许可</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pacing w:val="0"/>
                <w:sz w:val="18"/>
                <w:szCs w:val="18"/>
                <w:bdr w:val="none" w:color="auto" w:sz="0" w:space="0"/>
              </w:rPr>
              <w:t>旅行社设立许可</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旅行社条例</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15" w:lineRule="atLeast"/>
              <w:textAlignment w:val="center"/>
            </w:pPr>
            <w:r>
              <w:rPr>
                <w:rFonts w:hint="eastAsia" w:ascii="宋体" w:hAnsi="宋体" w:eastAsia="宋体" w:cs="宋体"/>
                <w:sz w:val="18"/>
                <w:szCs w:val="18"/>
                <w:bdr w:val="none" w:color="auto" w:sz="0" w:space="0"/>
              </w:rPr>
              <w:t>第十三条 旅行社应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7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24</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完成登记注册且已具备经营范围中含出版物零售业务承诺书</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pacing w:val="-15"/>
                <w:sz w:val="18"/>
                <w:szCs w:val="18"/>
                <w:bdr w:val="none" w:color="auto" w:sz="0" w:space="0"/>
              </w:rPr>
              <w:t>出版物零售个体工商户设立、变更审批</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pacing w:val="-15"/>
                <w:sz w:val="18"/>
                <w:szCs w:val="18"/>
                <w:bdr w:val="none" w:color="auto" w:sz="0" w:space="0"/>
              </w:rPr>
              <w:t>出版物零售个体工商户设立、变更审批</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出版物市场</w:t>
            </w:r>
          </w:p>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管理规定</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15" w:lineRule="atLeast"/>
              <w:textAlignment w:val="center"/>
            </w:pPr>
            <w:r>
              <w:rPr>
                <w:rFonts w:hint="eastAsia" w:ascii="宋体" w:hAnsi="宋体" w:eastAsia="宋体" w:cs="宋体"/>
                <w:sz w:val="18"/>
                <w:szCs w:val="18"/>
                <w:bdr w:val="none" w:color="auto" w:sz="0" w:space="0"/>
              </w:rPr>
              <w:t>第九条 单位、个人从事出版物零售业务，</w:t>
            </w:r>
          </w:p>
          <w:p>
            <w:pPr>
              <w:pStyle w:val="2"/>
              <w:keepNext w:val="0"/>
              <w:keepLines w:val="0"/>
              <w:widowControl/>
              <w:suppressLineNumbers w:val="0"/>
              <w:spacing w:line="315" w:lineRule="atLeast"/>
              <w:textAlignment w:val="center"/>
            </w:pPr>
            <w:r>
              <w:rPr>
                <w:rFonts w:hint="eastAsia" w:ascii="宋体" w:hAnsi="宋体" w:eastAsia="宋体" w:cs="宋体"/>
                <w:sz w:val="18"/>
                <w:szCs w:val="18"/>
                <w:bdr w:val="none" w:color="auto" w:sz="0" w:space="0"/>
              </w:rPr>
              <w:t>应当具备下列条件：（一）已完成工商注册登记；（二）工商登记经营范围含出版物零售业务；（三）有固定的经营场所。</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6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25</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有固定的经营场所证明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pacing w:val="-15"/>
                <w:sz w:val="18"/>
                <w:szCs w:val="18"/>
                <w:bdr w:val="none" w:color="auto" w:sz="0" w:space="0"/>
              </w:rPr>
              <w:t>出版物零售个体工商户设立、变更审批</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pacing w:val="-15"/>
                <w:sz w:val="18"/>
                <w:szCs w:val="18"/>
                <w:bdr w:val="none" w:color="auto" w:sz="0" w:space="0"/>
              </w:rPr>
              <w:t>出版物零售个体工商户设立、变更审批</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出版物市场</w:t>
            </w:r>
          </w:p>
          <w:p>
            <w:pPr>
              <w:pStyle w:val="2"/>
              <w:keepNext w:val="0"/>
              <w:keepLines w:val="0"/>
              <w:widowControl/>
              <w:suppressLineNumbers w:val="0"/>
              <w:autoSpaceDE w:val="0"/>
              <w:autoSpaceDN/>
              <w:spacing w:line="315" w:lineRule="atLeast"/>
              <w:jc w:val="center"/>
              <w:textAlignment w:val="center"/>
            </w:pPr>
            <w:r>
              <w:rPr>
                <w:rFonts w:hint="eastAsia" w:ascii="宋体" w:hAnsi="宋体" w:eastAsia="宋体" w:cs="宋体"/>
                <w:sz w:val="18"/>
                <w:szCs w:val="18"/>
                <w:bdr w:val="none" w:color="auto" w:sz="0" w:space="0"/>
              </w:rPr>
              <w:t>管理规定</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15" w:lineRule="atLeast"/>
              <w:textAlignment w:val="center"/>
            </w:pPr>
            <w:r>
              <w:rPr>
                <w:rFonts w:hint="eastAsia" w:ascii="宋体" w:hAnsi="宋体" w:eastAsia="宋体" w:cs="宋体"/>
                <w:sz w:val="18"/>
                <w:szCs w:val="18"/>
                <w:bdr w:val="none" w:color="auto" w:sz="0" w:space="0"/>
              </w:rPr>
              <w:t>申请材料包括下列书面材料：</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（一）营业执照正副本复印件；</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（二）申请书，载明单位或者个人基本情况及申请事项；</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（三）经营场所的使用权证明。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26</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已具备人员、场所、技术和设备承诺书</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电影放映单位设立审批</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电影放映单位设立审批</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电影管理条例</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第三十六条 设立电影发行单位、电影放映单位，应当具备下列条件：（一）有电影发行单位、电影放映单位的名称、章程；（二）有确定的业务范围；（三）有适应业务范围需要的组织机构和专业人员；（四）有适应业务范围需要的资金、场所和设备；</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（五）法律、行政法规规定的其他条件</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行政审批局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申报</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27</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ind w:left="0" w:right="0"/>
              <w:jc w:val="center"/>
              <w:textAlignment w:val="center"/>
            </w:pPr>
            <w:r>
              <w:rPr>
                <w:rFonts w:hint="eastAsia" w:ascii="宋体" w:hAnsi="宋体" w:eastAsia="宋体" w:cs="宋体"/>
                <w:sz w:val="18"/>
                <w:szCs w:val="18"/>
              </w:rPr>
              <w:t>大</w:t>
            </w:r>
            <w:r>
              <w:rPr>
                <w:rFonts w:hint="eastAsia" w:ascii="宋体" w:hAnsi="宋体" w:eastAsia="宋体" w:cs="宋体"/>
                <w:spacing w:val="-15"/>
                <w:sz w:val="18"/>
                <w:szCs w:val="18"/>
              </w:rPr>
              <w:t>学生基层单位就业学费补偿</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学费</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补偿</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大学生基层单位就业学</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(鄂财教规〔2018〕1号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鄂财教规〔2018〕1号</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省教育厅</w:t>
            </w:r>
          </w:p>
        </w:tc>
        <w:tc>
          <w:tcPr>
            <w:tcW w:w="40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28</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生源地助学贷款</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助学</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贷款</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生源地助学贷款</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鄂教助</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〔2014〕2号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鄂教助〔2014〕2号</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省教育厅</w:t>
            </w:r>
          </w:p>
        </w:tc>
        <w:tc>
          <w:tcPr>
            <w:tcW w:w="40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29</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无犯罪记录证明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办教师资格证</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无犯罪记录</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《教师法》</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《教师法》</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省教育厅</w:t>
            </w:r>
          </w:p>
        </w:tc>
        <w:tc>
          <w:tcPr>
            <w:tcW w:w="40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30</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无</w:t>
            </w:r>
            <w:r>
              <w:rPr>
                <w:rFonts w:hint="eastAsia" w:ascii="宋体" w:hAnsi="宋体" w:eastAsia="宋体" w:cs="宋体"/>
                <w:spacing w:val="-15"/>
                <w:sz w:val="18"/>
                <w:szCs w:val="18"/>
                <w:bdr w:val="none" w:color="auto" w:sz="0" w:space="0"/>
              </w:rPr>
              <w:t>违法犯罪记录证明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新招</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教师</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无违法犯罪记录</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湖</w:t>
            </w:r>
            <w:r>
              <w:rPr>
                <w:rFonts w:hint="eastAsia" w:ascii="宋体" w:hAnsi="宋体" w:eastAsia="宋体" w:cs="宋体"/>
                <w:spacing w:val="-15"/>
                <w:sz w:val="18"/>
                <w:szCs w:val="18"/>
                <w:bdr w:val="none" w:color="auto" w:sz="0" w:space="0"/>
              </w:rPr>
              <w:t>北省事业单位公开招聘工作人员暂行办法</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湖</w:t>
            </w:r>
            <w:r>
              <w:rPr>
                <w:rFonts w:hint="eastAsia" w:ascii="宋体" w:hAnsi="宋体" w:eastAsia="宋体" w:cs="宋体"/>
                <w:spacing w:val="0"/>
                <w:sz w:val="18"/>
                <w:szCs w:val="18"/>
                <w:bdr w:val="none" w:color="auto" w:sz="0" w:space="0"/>
              </w:rPr>
              <w:t>北省事业单位公开招聘工作人员暂行办法</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省教育厅</w:t>
            </w:r>
          </w:p>
        </w:tc>
        <w:tc>
          <w:tcPr>
            <w:tcW w:w="40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31</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少数民族子女参加中、高考优先录取资格审查的政策咨询</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核查民族成份</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核查民族</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成份</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《中国公民民族成份登记管理办法》《宗教事务条例》《湖北省宗教事务条例》</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《中国公民民族成份登记管理办法》《宗教事务条例》《湖北省宗教事务条例》全文</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民宗局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相关</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学校</w:t>
            </w:r>
          </w:p>
        </w:tc>
        <w:tc>
          <w:tcPr>
            <w:tcW w:w="22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nil"/>
            </w:tcBorders>
            <w:shd w:val="clear"/>
            <w:vAlign w:val="center"/>
          </w:tcPr>
          <w:p>
            <w:pPr>
              <w:keepNext w:val="0"/>
              <w:keepLines w:val="0"/>
              <w:widowControl/>
              <w:suppressLineNumbers w:val="0"/>
              <w:jc w:val="left"/>
            </w:pPr>
          </w:p>
        </w:tc>
        <w:tc>
          <w:tcPr>
            <w:tcW w:w="330"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公共服务</w:t>
            </w: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3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与户口簿、身份证核对确认</w:t>
            </w: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32</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贡献证明材料</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印证先进事迹及贡献</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先进事迹及贡献</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法律、行政法规</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1《中华人民共和国文物保护法（2017修正）》第十二条；2《中华人民共和国文物保护法实施条例（2016修改）》第六条</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pacing w:val="-15"/>
                <w:sz w:val="18"/>
                <w:szCs w:val="18"/>
                <w:bdr w:val="none" w:color="auto" w:sz="0" w:space="0"/>
              </w:rPr>
              <w:t>县级文物行政主管部门</w:t>
            </w:r>
          </w:p>
        </w:tc>
        <w:tc>
          <w:tcPr>
            <w:tcW w:w="40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行政奖励</w:t>
            </w: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部门自行核查</w:t>
            </w: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33</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从业经历证明材料</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从事体育工作经历</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从事体育工作经历</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地方法规</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《湖北省体育市场管理条例》第八条</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县级体育行政部门</w:t>
            </w:r>
          </w:p>
        </w:tc>
        <w:tc>
          <w:tcPr>
            <w:tcW w:w="40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其他行政权力</w:t>
            </w: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部门自行核查</w:t>
            </w: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34</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医疗机构用房产权证明或使用证明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办理医疗机构许可执业登记</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房屋自属产权或租用</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《医疗机构管理条例实施</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细则》</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300" w:lineRule="atLeast"/>
              <w:textAlignment w:val="center"/>
            </w:pPr>
            <w:r>
              <w:rPr>
                <w:rFonts w:hint="eastAsia" w:ascii="宋体" w:hAnsi="宋体" w:eastAsia="宋体" w:cs="宋体"/>
                <w:sz w:val="18"/>
                <w:szCs w:val="18"/>
                <w:bdr w:val="none" w:color="auto" w:sz="0" w:space="0"/>
              </w:rPr>
              <w:t>《医疗机构管理条例实施细则》第三章 登记与校验第二十五条（二）医疗机构用房产权证明或者使用证明</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郧阳区卫生健康局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自己提供或查询房管部门</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县级</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医疗机构执业登记</w:t>
            </w: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申请人承诺后，需在60天内补齐证明</w:t>
            </w: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1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35</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申请登记的住所（经营场所）地址应该具体到门牌、楼牌、单元牌、户牌等</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个体工商户注册</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登记等</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申请登记的住所（经营场所）地址应该具体到门牌、楼牌、单元牌、户牌等</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85" w:lineRule="atLeast"/>
              <w:jc w:val="center"/>
              <w:textAlignment w:val="center"/>
            </w:pPr>
            <w:r>
              <w:rPr>
                <w:rFonts w:hint="eastAsia" w:ascii="宋体" w:hAnsi="宋体" w:eastAsia="宋体" w:cs="宋体"/>
                <w:sz w:val="18"/>
                <w:szCs w:val="18"/>
                <w:bdr w:val="none" w:color="auto" w:sz="0" w:space="0"/>
              </w:rPr>
              <w:t>《农民专业合作社登记管理条例》《个体工商户登记管理办法》《个人独资企业登记管理办法》《湖北省工商局关于印发〈湖北省市场主体住所（经营场所）登记管理暂行规定〉的通知》（鄂工商规〔2014〕38号）市场监管总局关于修改《中华人民共和国企业法人登记管理条例施行细则》等四部规章的决定（国家市场监督管理总局令14号令）</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40" w:lineRule="atLeast"/>
              <w:textAlignment w:val="center"/>
            </w:pPr>
            <w:r>
              <w:rPr>
                <w:rFonts w:hint="eastAsia" w:ascii="宋体" w:hAnsi="宋体" w:eastAsia="宋体" w:cs="宋体"/>
                <w:sz w:val="18"/>
                <w:szCs w:val="18"/>
                <w:bdr w:val="none" w:color="auto" w:sz="0" w:space="0"/>
              </w:rPr>
              <w:t>《个人</w:t>
            </w:r>
            <w:r>
              <w:rPr>
                <w:rFonts w:hint="eastAsia" w:ascii="宋体" w:hAnsi="宋体" w:eastAsia="宋体" w:cs="宋体"/>
                <w:spacing w:val="-15"/>
                <w:sz w:val="18"/>
                <w:szCs w:val="18"/>
                <w:bdr w:val="none" w:color="auto" w:sz="0" w:space="0"/>
              </w:rPr>
              <w:t>独资企业登记管理办法》第九条 投资人申请设立登记，应当向登记机关提交下列文件：（三）企业住所证明；《个体工商户登记管理办法》第十四条 申请个体工商户注册登记，应当提交下列文件：（三）经营场所证明；《农民专业合作社法》</w:t>
            </w:r>
            <w:r>
              <w:rPr>
                <w:rFonts w:hint="eastAsia" w:ascii="宋体" w:hAnsi="宋体" w:eastAsia="宋体" w:cs="宋体"/>
                <w:sz w:val="18"/>
                <w:szCs w:val="18"/>
                <w:bdr w:val="none" w:color="auto" w:sz="0" w:space="0"/>
              </w:rPr>
              <w:t>第十六条设立农民专业合作社，应当向工商行政管理部门提交下列文件，申请设立登记：(六)住所使用证明;《湖北省工</w:t>
            </w:r>
            <w:r>
              <w:rPr>
                <w:rFonts w:hint="eastAsia" w:ascii="宋体" w:hAnsi="宋体" w:eastAsia="宋体" w:cs="宋体"/>
                <w:spacing w:val="-15"/>
                <w:sz w:val="18"/>
                <w:szCs w:val="18"/>
                <w:bdr w:val="none" w:color="auto" w:sz="0" w:space="0"/>
              </w:rPr>
              <w:t>商局关于印发〈湖北省市场主体住所（经营场所）登记管理暂行规定〉的通知》（鄂工商规〔2014〕38号）第九条 市场主体相应提交下列合法使用证明材料，即可办理住所(经营场所)登记：(一)使用自有房产的，提交房产证复印件。(二)租(借)用他人房产的，提交租赁协议(无偿使用证明)及出租(借)人房产证复印件。(三)因故不能提交房产证复印件的，可由当地房屋管理部门、当地政府及其派出机构</w:t>
            </w:r>
            <w:r>
              <w:rPr>
                <w:rFonts w:hint="eastAsia" w:ascii="宋体" w:hAnsi="宋体" w:eastAsia="宋体" w:cs="宋体"/>
                <w:sz w:val="18"/>
                <w:szCs w:val="18"/>
                <w:bdr w:val="none" w:color="auto" w:sz="0" w:space="0"/>
              </w:rPr>
              <w:t>、各类功能开发区管委会、村(居)委会等组织机构出具的证明材料作为权属证明；使用暂未取得房产证的商品房的，还可用购房合同及房屋销售许可证复印件作为权属证明。(四)</w:t>
            </w:r>
            <w:r>
              <w:rPr>
                <w:rFonts w:hint="eastAsia" w:ascii="宋体" w:hAnsi="宋体" w:eastAsia="宋体" w:cs="宋体"/>
                <w:spacing w:val="-15"/>
                <w:sz w:val="18"/>
                <w:szCs w:val="18"/>
                <w:bdr w:val="none" w:color="auto" w:sz="0" w:space="0"/>
              </w:rPr>
              <w:t>租赁商场、宾馆、酒店、市场等企业法人所属房屋(摊位)的，可按本条第(二)项提交材料，也可只提交租赁协议和出租方营业执照复印件。(五)租赁党政机关、事业单位、社会团体所属房屋的，可按本</w:t>
            </w:r>
            <w:r>
              <w:rPr>
                <w:rFonts w:hint="eastAsia" w:ascii="宋体" w:hAnsi="宋体" w:eastAsia="宋体" w:cs="宋体"/>
                <w:sz w:val="18"/>
                <w:szCs w:val="18"/>
                <w:bdr w:val="none" w:color="auto" w:sz="0" w:space="0"/>
              </w:rPr>
              <w:t>条第(二)项提交材料，也可只提交盖有出租方单位公章的租赁协议复印件。(六)租赁部队房地产的，按有关规定提</w:t>
            </w:r>
            <w:r>
              <w:rPr>
                <w:rFonts w:hint="eastAsia" w:ascii="宋体" w:hAnsi="宋体" w:eastAsia="宋体" w:cs="宋体"/>
                <w:spacing w:val="-15"/>
                <w:sz w:val="18"/>
                <w:szCs w:val="18"/>
                <w:bdr w:val="none" w:color="auto" w:sz="0" w:space="0"/>
              </w:rPr>
              <w:t>交军队、武警部队出具的房地产租赁许可证</w:t>
            </w:r>
            <w:r>
              <w:rPr>
                <w:rFonts w:hint="eastAsia" w:ascii="宋体" w:hAnsi="宋体" w:eastAsia="宋体" w:cs="宋体"/>
                <w:sz w:val="18"/>
                <w:szCs w:val="18"/>
                <w:bdr w:val="none" w:color="auto" w:sz="0" w:space="0"/>
              </w:rPr>
              <w:t>。</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区市场监管局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按条文所需</w:t>
            </w:r>
          </w:p>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单位</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乡镇级及其他</w:t>
            </w: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行政许可</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36</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防雷产品安装记录和防雷产品出厂合格证书</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雷电防护装置竣工验收许可</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安装记录和防雷产品出厂合格证书</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《雷电防护装置设计审核和竣工验收规定》（中国气象局令第37号）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55" w:lineRule="atLeast"/>
              <w:textAlignment w:val="center"/>
            </w:pPr>
            <w:r>
              <w:rPr>
                <w:rFonts w:hint="eastAsia" w:ascii="宋体" w:hAnsi="宋体" w:eastAsia="宋体" w:cs="宋体"/>
                <w:sz w:val="18"/>
                <w:szCs w:val="18"/>
                <w:bdr w:val="none" w:color="auto" w:sz="0" w:space="0"/>
              </w:rPr>
              <w:t>《雷电防护装置设计审核和竣工验收规定》（中国气象局令第37号）</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郧阳区气象局</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申请人</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w:t>
            </w: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37</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监护人证明材料</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关系</w:t>
            </w:r>
          </w:p>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证明</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监护人的相关身份材料</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鄂残联发﹝2018﹞4号</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55" w:lineRule="atLeast"/>
              <w:textAlignment w:val="center"/>
            </w:pPr>
            <w:r>
              <w:rPr>
                <w:rFonts w:hint="eastAsia" w:ascii="宋体" w:hAnsi="宋体" w:eastAsia="宋体" w:cs="宋体"/>
                <w:sz w:val="18"/>
                <w:szCs w:val="18"/>
                <w:bdr w:val="none" w:color="auto" w:sz="0" w:space="0"/>
              </w:rPr>
              <w:t>第四章第十六条 智力、精神类残疾人证和未成年人申请残疾人证须同时提供法定监护人的证明材料</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区残联</w:t>
            </w:r>
          </w:p>
        </w:tc>
        <w:tc>
          <w:tcPr>
            <w:tcW w:w="40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行政确认</w:t>
            </w: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w:t>
            </w: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5"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38</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身份证明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pacing w:val="0"/>
                <w:sz w:val="18"/>
                <w:szCs w:val="18"/>
                <w:bdr w:val="none" w:color="auto" w:sz="0" w:space="0"/>
              </w:rPr>
              <w:t>代替身份证作为需要查阅利用档案馆档案的人员身份</w:t>
            </w:r>
          </w:p>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pacing w:val="0"/>
                <w:sz w:val="18"/>
                <w:szCs w:val="18"/>
                <w:bdr w:val="none" w:color="auto" w:sz="0" w:space="0"/>
              </w:rPr>
              <w:t>证明</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本人姓名、性别、职务、年龄、居住地址、身份证号码、证明单位、证明时间等</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《档案法》</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55" w:lineRule="atLeast"/>
              <w:textAlignment w:val="center"/>
            </w:pPr>
            <w:r>
              <w:rPr>
                <w:rFonts w:hint="eastAsia" w:ascii="宋体" w:hAnsi="宋体" w:eastAsia="宋体" w:cs="宋体"/>
                <w:sz w:val="18"/>
                <w:szCs w:val="18"/>
                <w:bdr w:val="none" w:color="auto" w:sz="0" w:space="0"/>
              </w:rPr>
              <w:t>《档案法》第二十八条“单位和个人持有合法证明，可以利用已经开放的档案”；第二十九条“机关、团体、企业事业单位和其他组织以及公民根据经济建设、国防建设、教学科研和其他工作的需要，可以按照国家有关规定，利用档案馆未开放的档案以及有关机关、团体、企业事业单位和其他组织保存的档案”。</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郧阳区档案馆</w:t>
            </w:r>
          </w:p>
        </w:tc>
        <w:tc>
          <w:tcPr>
            <w:tcW w:w="40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需要查阅档案馆档案的机关、团体、企业事业单位和其他组织以及中国</w:t>
            </w:r>
          </w:p>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公民</w:t>
            </w: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3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行政确认</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w:t>
            </w:r>
          </w:p>
        </w:tc>
        <w:tc>
          <w:tcPr>
            <w:tcW w:w="49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3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blCellSpacing w:w="0" w:type="dxa"/>
        </w:trPr>
        <w:tc>
          <w:tcPr>
            <w:tcW w:w="225" w:type="dxa"/>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宋体" w:hAnsi="宋体" w:eastAsia="宋体" w:cs="宋体"/>
                <w:sz w:val="18"/>
                <w:szCs w:val="18"/>
                <w:bdr w:val="none" w:color="auto" w:sz="0" w:space="0"/>
              </w:rPr>
              <w:t>39</w:t>
            </w:r>
          </w:p>
        </w:tc>
        <w:tc>
          <w:tcPr>
            <w:tcW w:w="51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低收入</w:t>
            </w:r>
          </w:p>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证明</w:t>
            </w:r>
          </w:p>
        </w:tc>
        <w:tc>
          <w:tcPr>
            <w:tcW w:w="4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办理各项社会救助</w:t>
            </w:r>
          </w:p>
        </w:tc>
        <w:tc>
          <w:tcPr>
            <w:tcW w:w="66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低收入</w:t>
            </w:r>
          </w:p>
        </w:tc>
        <w:tc>
          <w:tcPr>
            <w:tcW w:w="76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《湖北省社会救助实施办法》</w:t>
            </w:r>
          </w:p>
        </w:tc>
        <w:tc>
          <w:tcPr>
            <w:tcW w:w="20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line="255" w:lineRule="atLeast"/>
              <w:textAlignment w:val="center"/>
            </w:pPr>
            <w:r>
              <w:rPr>
                <w:rFonts w:hint="eastAsia" w:ascii="宋体" w:hAnsi="宋体" w:eastAsia="宋体" w:cs="宋体"/>
                <w:sz w:val="18"/>
                <w:szCs w:val="18"/>
                <w:bdr w:val="none" w:color="auto" w:sz="0" w:space="0"/>
              </w:rPr>
              <w:t>区民政局及乡镇民政办</w:t>
            </w:r>
          </w:p>
        </w:tc>
        <w:tc>
          <w:tcPr>
            <w:tcW w:w="45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所在村委会</w:t>
            </w:r>
          </w:p>
        </w:tc>
        <w:tc>
          <w:tcPr>
            <w:tcW w:w="40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2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7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25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w:t>
            </w:r>
          </w:p>
        </w:tc>
        <w:tc>
          <w:tcPr>
            <w:tcW w:w="270"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行政给付</w:t>
            </w:r>
          </w:p>
        </w:tc>
        <w:tc>
          <w:tcPr>
            <w:tcW w:w="33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6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w:t>
            </w:r>
          </w:p>
        </w:tc>
        <w:tc>
          <w:tcPr>
            <w:tcW w:w="435" w:type="dxa"/>
            <w:tcBorders>
              <w:top w:val="nil"/>
              <w:left w:val="nil"/>
              <w:bottom w:val="single" w:color="000000" w:sz="6" w:space="0"/>
              <w:right w:val="single" w:color="000000" w:sz="6" w:space="0"/>
            </w:tcBorders>
            <w:shd w:val="clear"/>
            <w:vAlign w:val="center"/>
          </w:tcPr>
          <w:p>
            <w:pPr>
              <w:pStyle w:val="2"/>
              <w:keepNext w:val="0"/>
              <w:keepLines w:val="0"/>
              <w:widowControl/>
              <w:suppressLineNumbers w:val="0"/>
              <w:autoSpaceDE w:val="0"/>
              <w:autoSpaceDN/>
              <w:spacing w:line="255" w:lineRule="atLeast"/>
              <w:jc w:val="center"/>
              <w:textAlignment w:val="center"/>
            </w:pPr>
            <w:r>
              <w:rPr>
                <w:rFonts w:hint="eastAsia" w:ascii="宋体" w:hAnsi="宋体" w:eastAsia="宋体" w:cs="宋体"/>
                <w:sz w:val="18"/>
                <w:szCs w:val="18"/>
                <w:bdr w:val="none" w:color="auto" w:sz="0" w:space="0"/>
              </w:rPr>
              <w:t>联系村委会核查家庭及财产情况</w:t>
            </w:r>
          </w:p>
        </w:tc>
        <w:tc>
          <w:tcPr>
            <w:tcW w:w="375"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c>
          <w:tcPr>
            <w:tcW w:w="390" w:type="dxa"/>
            <w:tcBorders>
              <w:top w:val="nil"/>
              <w:left w:val="nil"/>
              <w:bottom w:val="single" w:color="000000" w:sz="6" w:space="0"/>
              <w:right w:val="single" w:color="000000" w:sz="6" w:space="0"/>
            </w:tcBorders>
            <w:shd w:val="clear"/>
            <w:vAlign w:val="center"/>
          </w:tcPr>
          <w:p>
            <w:pPr>
              <w:keepNext w:val="0"/>
              <w:keepLines w:val="0"/>
              <w:widowControl/>
              <w:suppressLineNumbers w:val="0"/>
              <w:jc w:val="left"/>
            </w:pPr>
          </w:p>
        </w:tc>
      </w:tr>
    </w:tbl>
    <w:p>
      <w:pPr>
        <w:ind w:firstLine="810" w:firstLineChars="300"/>
        <w:rPr>
          <w:rFonts w:ascii="Arial" w:hAnsi="Arial" w:eastAsia="Arial" w:cs="Arial"/>
          <w:i w:val="0"/>
          <w:iCs w:val="0"/>
          <w:caps w:val="0"/>
          <w:color w:val="000000"/>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1D50"/>
    <w:rsid w:val="11A1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2021-09-06T01:35:00Z</dcterms:created>
  <dc:creator>愿化身石桥</dc:creator>
  <cp:lastModifiedBy>愿化身石桥</cp:lastModifiedBy>
  <dcterms:modified xsi:type="dcterms:W3CDTF">2021-09-06T01:36:20Z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E32645B4F7B0428D8AEF7652B4B1CC24</vt:lpwstr>
  </property>
</Properties>
</file>