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附件2</w:t>
      </w:r>
    </w:p>
    <w:p>
      <w:pPr>
        <w:pStyle w:val="2"/>
        <w:keepNext w:val="0"/>
        <w:keepLines w:val="0"/>
        <w:widowControl/>
        <w:suppressLineNumbers w:val="0"/>
      </w:pPr>
      <w:r>
        <w:t>　　</w:t>
      </w:r>
      <w:bookmarkStart w:id="3" w:name="_GoBack"/>
      <w:r>
        <w:t>郧阳区2021年水污染防治攻坚行动任务清单</w:t>
      </w:r>
      <w:bookmarkEnd w:id="3"/>
    </w:p>
    <w:tbl>
      <w:tblPr>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5"/>
        <w:gridCol w:w="870"/>
        <w:gridCol w:w="780"/>
        <w:gridCol w:w="4335"/>
        <w:gridCol w:w="111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blCellSpacing w:w="0" w:type="dxa"/>
        </w:trPr>
        <w:tc>
          <w:tcPr>
            <w:tcW w:w="4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序号</w:t>
            </w:r>
          </w:p>
        </w:tc>
        <w:tc>
          <w:tcPr>
            <w:tcW w:w="8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主要任务</w:t>
            </w:r>
          </w:p>
        </w:tc>
        <w:tc>
          <w:tcPr>
            <w:tcW w:w="511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具  体  措  施</w:t>
            </w:r>
          </w:p>
        </w:tc>
        <w:tc>
          <w:tcPr>
            <w:tcW w:w="11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牵头单位</w:t>
            </w:r>
          </w:p>
        </w:tc>
        <w:tc>
          <w:tcPr>
            <w:tcW w:w="14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1</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（一）全面控制水污染物排放</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强化工业集聚区水污染治理</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新建工业企业原则上须落户工业园区内，并符合相关规划和园区定位，其产生的工业废水处理达标后，再进入长岭污水处理厂集中处理达标排放。积极谋划高新区工业园区污水处理厂及配套管网建设项目。</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c>
          <w:tcPr>
            <w:tcW w:w="14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区发改局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区科技经信局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0"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2</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规范乡镇污水处理设施运营维护</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建立完善乡镇污水处理设施运行维护长效管理机制，对老旧管网进行评估改造，继续推进入户管网和三四级管网建设，提高乡镇污水收集率，确保污水处理设施稳定运行。按照湖北省关于乡镇生活污水治理信息管理平台“省、市、县三级数据联通，相关部门实时共享”的要求，我区乡镇生活污水治理责任单位要强化在线系统运维管理，保障设备运行正常。</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区住建局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区发改局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区财政局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3</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全面加强配套管网建设</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明确并落实城镇排水总体任务和年度管网建设重点任务；严格落实十堰市污水处理提质增效相关要求，推进城镇污水处理提质增效工作，建成区基本消除生活污水直排口，基本消除城中村、老旧城区和城乡结合部生活污水收集设施空白区，城区污水处理厂进水生化需氧量（BOD）浓度力争达到80mg/L以上。</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区住建局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区发改局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区财政局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4</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深入推进垃圾填埋场渗滤液治理</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进一步强化垃圾填埋场渗滤液监管，对全区垃圾填埋场渗滤液处理情况持续开展全面排查，对渗滤液处理能力不足或不能稳定达标的处理设施实施改造。完成华新垃圾焚烧水泥窑协同处置项目生活垃圾渗滤液处理设施提标升级改造。</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区住建局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区城市管理执法局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区发改局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9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5</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（一）全面控制水污染物排放</w:t>
            </w:r>
          </w:p>
        </w:tc>
        <w:tc>
          <w:tcPr>
            <w:tcW w:w="78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防治农业面源污染</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00" w:lineRule="atLeast"/>
            </w:pPr>
            <w:r>
              <w:rPr>
                <w:rFonts w:hint="eastAsia" w:ascii="宋体" w:hAnsi="宋体" w:eastAsia="宋体" w:cs="宋体"/>
                <w:sz w:val="18"/>
                <w:szCs w:val="18"/>
                <w:bdr w:val="none" w:color="auto" w:sz="0" w:space="0"/>
              </w:rPr>
              <w:t>2021年底，全区规模养殖场、养殖小区要基本建成相应的雨污分流、粪污贮存、废弃物综合利用和无害化处理配套设施，实现达标排放。严格落实十年“禁渔令”，建立完善禁捕退捕长效监管机制，确保“禁渔令”落实落地。深化水产养殖水污染治理，禁止向湖泊、水库、塘堰投肥（粪），巩固全区江河湖库天然水域网箱围网养殖取缔成果，防止问题反弹；推进水产健康养殖和精养池塘标准化改造及提档升级，推广节水、节能、减排型水产养殖示范技术。</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区农业农村局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00" w:lineRule="atLeast"/>
            </w:pPr>
            <w:r>
              <w:rPr>
                <w:rFonts w:hint="eastAsia" w:ascii="宋体" w:hAnsi="宋体" w:eastAsia="宋体" w:cs="宋体"/>
                <w:sz w:val="18"/>
                <w:szCs w:val="18"/>
                <w:bdr w:val="none" w:color="auto" w:sz="0" w:space="0"/>
              </w:rPr>
              <w:t>深入推进化肥农药零增长行动，积极推广测土配方施肥，开展果菜茶有机肥替代化肥行动，促进农业节本增效。加快推进生态沟渠、污水净化塘、地表径流积蓄池等设施建设，净化农田排水及地表径流，削减氮磷负荷。2021年底前，全区测土配方施肥技术覆盖率达到90%以上，农膜回收率实现80%，废弃农药包装回收率提高到60%，主要农作物病虫害绿色防控比例达到40%以上，全区秸秆综合利用率达到90%以上。</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区农业农村局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区财政局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6</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巩固农村环境综合整治</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00" w:lineRule="atLeast"/>
            </w:pPr>
            <w:r>
              <w:rPr>
                <w:rFonts w:hint="eastAsia" w:ascii="宋体" w:hAnsi="宋体" w:eastAsia="宋体" w:cs="宋体"/>
                <w:sz w:val="18"/>
                <w:szCs w:val="18"/>
                <w:bdr w:val="none" w:color="auto" w:sz="0" w:space="0"/>
              </w:rPr>
              <w:t>建立健全农村环境基础设施长效运行管护机制，完成年度农村综合整治任务，整治村庄无明显污水径流和乱堆垃圾,提升农村环境质量，着力改善农村人居环境。</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区财政局</w:t>
            </w:r>
          </w:p>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区农业农村局</w:t>
            </w:r>
          </w:p>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区卫健局</w:t>
            </w:r>
          </w:p>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9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7</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治理船舶码头污染</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00" w:lineRule="atLeast"/>
            </w:pPr>
            <w:r>
              <w:rPr>
                <w:rFonts w:hint="eastAsia" w:ascii="宋体" w:hAnsi="宋体" w:eastAsia="宋体" w:cs="宋体"/>
                <w:sz w:val="18"/>
                <w:szCs w:val="18"/>
                <w:bdr w:val="none" w:color="auto" w:sz="0" w:space="0"/>
              </w:rPr>
              <w:t>巩固汉江干线非法码头专项整治成果，防止非法码头死灰复燃。积极推进砂石集并中心建设，促进沿江码头科学布局。进一步提高港口岸线使用准入标准，严格危险化学品港口码头建设项目审批管理。</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区交通运输局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区发改局</w:t>
            </w:r>
          </w:p>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区自然资源和规划局</w:t>
            </w:r>
          </w:p>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生态环境分局</w:t>
            </w:r>
          </w:p>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区水利和湖泊局</w:t>
            </w:r>
          </w:p>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区公安局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00" w:lineRule="atLeast"/>
            </w:pPr>
            <w:r>
              <w:rPr>
                <w:rFonts w:hint="eastAsia" w:ascii="宋体" w:hAnsi="宋体" w:eastAsia="宋体" w:cs="宋体"/>
                <w:sz w:val="18"/>
                <w:szCs w:val="18"/>
                <w:bdr w:val="none" w:color="auto" w:sz="0" w:space="0"/>
              </w:rPr>
              <w:t>严格执行《船舶水污染物排放控制标准》，禁止不达标船舶使用。强化船舶污染设施日常监管，落实污染设施运转衔接机制，持续开展多部门联合执法行动，加强船舶、港口码头排放污染的监管。推广使用“船e行”系统，形成污染物船上收集、岸上转运处置的运行机制，实现污染物、废弃物船内封闭、收集上岸，不向水体排放。</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区交通运输局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区住建局</w:t>
            </w:r>
          </w:p>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生态环境分局</w:t>
            </w:r>
          </w:p>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区市场监管局</w:t>
            </w:r>
          </w:p>
          <w:p>
            <w:pPr>
              <w:pStyle w:val="2"/>
              <w:keepNext w:val="0"/>
              <w:keepLines w:val="0"/>
              <w:widowControl/>
              <w:suppressLineNumbers w:val="0"/>
              <w:autoSpaceDE w:val="0"/>
              <w:autoSpaceDN/>
              <w:spacing w:line="300" w:lineRule="atLeast"/>
              <w:jc w:val="center"/>
            </w:pPr>
            <w:r>
              <w:rPr>
                <w:rFonts w:hint="eastAsia" w:ascii="宋体" w:hAnsi="宋体" w:eastAsia="宋体" w:cs="宋体"/>
                <w:sz w:val="18"/>
                <w:szCs w:val="18"/>
                <w:bdr w:val="none" w:color="auto" w:sz="0" w:space="0"/>
              </w:rPr>
              <w:t>区水利和湖泊局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8</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（二）加快经济结构升级优化</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ind w:left="-105" w:right="-105"/>
            </w:pPr>
            <w:r>
              <w:rPr>
                <w:rFonts w:hint="eastAsia" w:ascii="宋体" w:hAnsi="宋体" w:eastAsia="宋体" w:cs="宋体"/>
                <w:spacing w:val="0"/>
                <w:sz w:val="18"/>
                <w:szCs w:val="18"/>
              </w:rPr>
              <w:t>严格环境准入及生态红线管控</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严格落实“三线一单”（即生态保护红线、环境质量底线、资源利用上线，生态环境准入清单）生态环境分区管控方案。新建工业企业原则上须落户于工业园区内，并符合相关规划和园区定位。汉江干流岸线1公里范围内不准新建、扩建化工园区和化工项目，推进汉江沿线15公里内化工企业关改搬转工作。</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区科技经信局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区发改局</w:t>
            </w:r>
          </w:p>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生态环境分局</w:t>
            </w:r>
          </w:p>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7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9</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（三）全力保障饮水环境安全</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完善饮用水水源保护区规范化建设</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完成县级、乡镇集中式饮用水源环境状况评估和基础信息调查工作，填报县级、乡镇集中式饮用水水源地数据采集系统。</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生</w:t>
            </w:r>
            <w:r>
              <w:rPr>
                <w:rFonts w:hint="eastAsia" w:ascii="宋体" w:hAnsi="宋体" w:eastAsia="宋体" w:cs="宋体"/>
                <w:spacing w:val="-15"/>
                <w:sz w:val="18"/>
                <w:szCs w:val="18"/>
                <w:bdr w:val="none" w:color="auto" w:sz="0" w:space="0"/>
              </w:rPr>
              <w:t>态环境分局</w:t>
            </w:r>
          </w:p>
          <w:p>
            <w:pPr>
              <w:pStyle w:val="2"/>
              <w:keepNext w:val="0"/>
              <w:keepLines w:val="0"/>
              <w:widowControl/>
              <w:suppressLineNumbers w:val="0"/>
              <w:autoSpaceDE w:val="0"/>
              <w:autoSpaceDN/>
              <w:spacing w:line="360" w:lineRule="atLeast"/>
              <w:jc w:val="center"/>
            </w:pPr>
            <w:r>
              <w:rPr>
                <w:rFonts w:hint="eastAsia" w:ascii="宋体" w:hAnsi="宋体" w:eastAsia="宋体" w:cs="宋体"/>
                <w:spacing w:val="-15"/>
                <w:sz w:val="18"/>
                <w:szCs w:val="18"/>
                <w:bdr w:val="none" w:color="auto" w:sz="0" w:space="0"/>
              </w:rPr>
              <w:t>区水利和湖泊局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区卫健局</w:t>
            </w:r>
          </w:p>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10" w:hRule="atLeast"/>
          <w:tblCellSpacing w:w="0" w:type="dxa"/>
        </w:trPr>
        <w:tc>
          <w:tcPr>
            <w:tcW w:w="49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10</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加强农村饮用水水源地保护</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加强农村饮水安全工程建设管理。</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ind w:left="-105" w:right="-105"/>
              <w:jc w:val="center"/>
            </w:pPr>
            <w:r>
              <w:rPr>
                <w:rFonts w:hint="eastAsia" w:ascii="宋体" w:hAnsi="宋体" w:eastAsia="宋体" w:cs="宋体"/>
                <w:sz w:val="18"/>
                <w:szCs w:val="18"/>
              </w:rPr>
              <w:t>区水利和湖泊局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5" w:hRule="atLeast"/>
          <w:tblCellSpacing w:w="0" w:type="dxa"/>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推进“百吨千人”（日供水100吨或供水人口在1000人以上）农村供水工程水源地保护区划分工作。结合饮用水源地水质情况，确定监测项目，定期开展农村饮用水水质监测。开展乡镇级及以上水源地问题常态化排查整治工作，坚决防止问题反弹，持续改善饮用水水源地环境质量。</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生态环境分局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区水利和湖泊局</w:t>
            </w:r>
          </w:p>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区住建局</w:t>
            </w:r>
          </w:p>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区卫健局</w:t>
            </w:r>
          </w:p>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区农业农村局</w:t>
            </w:r>
          </w:p>
          <w:p>
            <w:pPr>
              <w:pStyle w:val="2"/>
              <w:keepNext w:val="0"/>
              <w:keepLines w:val="0"/>
              <w:widowControl/>
              <w:suppressLineNumbers w:val="0"/>
              <w:autoSpaceDE w:val="0"/>
              <w:autoSpaceDN/>
              <w:spacing w:line="360" w:lineRule="atLeast"/>
              <w:jc w:val="center"/>
            </w:pPr>
            <w:r>
              <w:rPr>
                <w:rFonts w:hint="eastAsia" w:ascii="宋体" w:hAnsi="宋体" w:eastAsia="宋体" w:cs="宋体"/>
                <w:sz w:val="18"/>
                <w:szCs w:val="18"/>
                <w:bdr w:val="none" w:color="auto" w:sz="0" w:space="0"/>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tblCellSpacing w:w="0" w:type="dxa"/>
        </w:trPr>
        <w:tc>
          <w:tcPr>
            <w:tcW w:w="49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11</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ind w:left="-105" w:right="-105"/>
              <w:jc w:val="center"/>
            </w:pPr>
            <w:r>
              <w:rPr>
                <w:rFonts w:hint="eastAsia" w:ascii="宋体" w:hAnsi="宋体" w:eastAsia="宋体" w:cs="宋体"/>
                <w:sz w:val="18"/>
                <w:szCs w:val="18"/>
              </w:rPr>
              <w:t>（</w:t>
            </w:r>
            <w:r>
              <w:rPr>
                <w:rFonts w:hint="eastAsia" w:ascii="宋体" w:hAnsi="宋体" w:eastAsia="宋体" w:cs="宋体"/>
                <w:spacing w:val="0"/>
                <w:sz w:val="18"/>
                <w:szCs w:val="18"/>
              </w:rPr>
              <w:t>四）巩固提升神定河、泗河水质</w:t>
            </w:r>
          </w:p>
        </w:tc>
        <w:tc>
          <w:tcPr>
            <w:tcW w:w="78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按照区委、区政府要求的时间节点，深入推进神定河治理，确保2021年神定河国家考核断面水质稳定达到国家考核目标</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加快推进神定河工程项目移交。积极协调解决神定河A区水质净化工程项目的土地、经费等历史遗留问题。完成我区承建十堰城区污水管网的工程竣工验收。并向市级相关部门移交。</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区神定河指挥部办公室</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区住建局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茶店镇</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区城投公司</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深港公司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tblCellSpacing w:w="0" w:type="dxa"/>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完成茶店镇污水处理厂扩容工程验收。对茶店污水处理厂扩容工程实施竣工验收，神定河流域“厂-网-河”一体化运营管理机制，保障茶店污水处理厂正常运行。</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区住建局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blCellSpacing w:w="0" w:type="dxa"/>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全面加强污水管网建设。推进大岭山村加油站至华新水泥厂大门段（包括管网和华新水泥厂桥头两侧、茶青路桥头原污水管网倒虹吸复建工程及2020年项目未实施部分）污水管网建设。</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区神定河指挥部办公室</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区住建局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茶店镇</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区城投公司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5" w:hRule="atLeast"/>
          <w:tblCellSpacing w:w="0" w:type="dxa"/>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推进神定河污水支次管网改造建设。对神定河沿线居民、学校、工厂等已损坏的污水支次管网进行修复或改造，实施神定河沿线支沟污水管网及配套设施建设，并与主管网联通，确保应接尽接、应收尽收。</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区神定河指挥部办公室</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区住建局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茶店镇</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区城投公司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0" w:hRule="atLeast"/>
          <w:tblCellSpacing w:w="0" w:type="dxa"/>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60" w:lineRule="atLeast"/>
            </w:pPr>
            <w:r>
              <w:rPr>
                <w:rFonts w:hint="eastAsia" w:ascii="宋体" w:hAnsi="宋体" w:eastAsia="宋体" w:cs="宋体"/>
                <w:sz w:val="18"/>
                <w:szCs w:val="18"/>
                <w:bdr w:val="none" w:color="auto" w:sz="0" w:space="0"/>
              </w:rPr>
              <w:t>实施河道清障、清淤及生态修复工程。对神定河郧阳段主河道（施工便道）进行清障、清淤，对神州龙工业园河道两边山体进行清理、治理，确保河道畅通。对已经建成的“一河三区十二景”节点优化提档，实施山水林田湖草一体化保护和修复，启动神定河六条支沟生态修复工程，确保在2021年12月底完工。</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区神定河指挥部办公室</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区水利和湖泊局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茶店镇</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郧润水投公司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5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12</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w:t>
            </w:r>
            <w:r>
              <w:rPr>
                <w:rFonts w:hint="eastAsia" w:ascii="宋体" w:hAnsi="宋体" w:eastAsia="宋体" w:cs="宋体"/>
                <w:spacing w:val="0"/>
                <w:sz w:val="18"/>
                <w:szCs w:val="18"/>
                <w:bdr w:val="none" w:color="auto" w:sz="0" w:space="0"/>
              </w:rPr>
              <w:t>四）巩固提升神定河、泗河水质</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按照市委、市政府、区委、区政府要求</w:t>
            </w:r>
            <w:r>
              <w:rPr>
                <w:rFonts w:hint="eastAsia" w:ascii="宋体" w:hAnsi="宋体" w:eastAsia="宋体" w:cs="宋体"/>
                <w:spacing w:val="-15"/>
                <w:sz w:val="18"/>
                <w:szCs w:val="18"/>
                <w:bdr w:val="none" w:color="auto" w:sz="0" w:space="0"/>
              </w:rPr>
              <w:t>的时间节点，推进实施泗河治理和重点工程建设，确保2021年泗河国家考核断面水质稳定达到国家考核目标</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深化水生态环境综合治理。实施泗河流域综合治理，开展泗河流域（郧阳段）范围内部分支流岸坡整治、河道清障、清淤疏浚、修复河道空间形态，完善防洪保护圈。</w:t>
            </w:r>
          </w:p>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 </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区泗河指挥部办公室</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区水利和湖泊局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青山镇</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郧润水投公司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70" w:hRule="atLeast"/>
          <w:tblCellSpacing w:w="0" w:type="dxa"/>
        </w:trPr>
        <w:tc>
          <w:tcPr>
            <w:tcW w:w="49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13</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ind w:left="-105" w:right="-105"/>
              <w:jc w:val="center"/>
            </w:pPr>
            <w:r>
              <w:rPr>
                <w:rFonts w:hint="eastAsia" w:ascii="宋体" w:hAnsi="宋体" w:eastAsia="宋体" w:cs="宋体"/>
                <w:sz w:val="18"/>
                <w:szCs w:val="18"/>
              </w:rPr>
              <w:t>加强“两河”水环境综合治理</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强化涉水、临水建设项目河道施工的监管，严禁污水、污泥、淤泥及其他污染物入河，影响下游河道水质。定期开展神定河及其支沟河道（暗涵）清淤，做好河岸修复工作，确保河畅、水清、无黑臭污泥淤积现象。</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ind w:left="-105" w:right="-105"/>
              <w:jc w:val="center"/>
            </w:pPr>
            <w:r>
              <w:rPr>
                <w:rFonts w:hint="eastAsia" w:ascii="宋体" w:hAnsi="宋体" w:eastAsia="宋体" w:cs="宋体"/>
                <w:sz w:val="18"/>
                <w:szCs w:val="18"/>
              </w:rPr>
              <w:t>区水利和湖泊局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茶店镇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CellSpacing w:w="0" w:type="dxa"/>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加强河道（支沟）环境卫生管护，加大巡查力度，严格依法查处跨河建筑打洞直排等问题，加强宣传教育，确保河道长治久清。</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茶店镇</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青山镇</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区城市管理执法局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14</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（五）严格节约保护水资源</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实施最严格水资源管理</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实行水资源消耗总量和强度双控，强化水资源管理“三条红线”指标刚性约束，以水定需，量水而行，实施用水总量控制，万元GDP、万元工业增加值用水量完成省、市定控制目标。</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ind w:left="-105" w:right="-105"/>
              <w:jc w:val="center"/>
            </w:pPr>
            <w:r>
              <w:rPr>
                <w:rFonts w:hint="eastAsia" w:ascii="宋体" w:hAnsi="宋体" w:eastAsia="宋体" w:cs="宋体"/>
                <w:sz w:val="18"/>
                <w:szCs w:val="18"/>
              </w:rPr>
              <w:t>区水利和湖泊局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区发改局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区农业农村局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区住建局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49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15</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提高再生水利用率</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工业冷却水、城市绿化、道路清扫、车辆冲洗、建筑施工及生态景观等用水，优先使用再生水。</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区城市管理执法局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区住建局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区科技经信局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抓好工业节水</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主要抓好重点监控企业、高耗水企业的循环用水。</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区发改局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w:t>
            </w:r>
            <w:r>
              <w:rPr>
                <w:rFonts w:hint="eastAsia" w:ascii="宋体" w:hAnsi="宋体" w:eastAsia="宋体" w:cs="宋体"/>
                <w:spacing w:val="-15"/>
                <w:sz w:val="18"/>
                <w:szCs w:val="18"/>
                <w:bdr w:val="none" w:color="auto" w:sz="0" w:space="0"/>
              </w:rPr>
              <w:t>水利和湖泊局</w:t>
            </w:r>
          </w:p>
          <w:p>
            <w:pPr>
              <w:pStyle w:val="2"/>
              <w:keepNext w:val="0"/>
              <w:keepLines w:val="0"/>
              <w:widowControl/>
              <w:suppressLineNumbers w:val="0"/>
              <w:autoSpaceDE w:val="0"/>
              <w:autoSpaceDN/>
              <w:spacing w:line="315" w:lineRule="atLeast"/>
              <w:jc w:val="center"/>
            </w:pPr>
            <w:r>
              <w:rPr>
                <w:rFonts w:hint="eastAsia" w:ascii="宋体" w:hAnsi="宋体" w:eastAsia="宋体" w:cs="宋体"/>
                <w:spacing w:val="-15"/>
                <w:sz w:val="18"/>
                <w:szCs w:val="18"/>
                <w:bdr w:val="none" w:color="auto" w:sz="0" w:space="0"/>
              </w:rPr>
              <w:t>区科技经信局</w:t>
            </w:r>
          </w:p>
          <w:p>
            <w:pPr>
              <w:pStyle w:val="2"/>
              <w:keepNext w:val="0"/>
              <w:keepLines w:val="0"/>
              <w:widowControl/>
              <w:suppressLineNumbers w:val="0"/>
              <w:autoSpaceDE w:val="0"/>
              <w:autoSpaceDN/>
              <w:spacing w:line="315" w:lineRule="atLeast"/>
              <w:jc w:val="center"/>
            </w:pPr>
            <w:r>
              <w:rPr>
                <w:rFonts w:hint="eastAsia" w:ascii="宋体" w:hAnsi="宋体" w:eastAsia="宋体" w:cs="宋体"/>
                <w:spacing w:val="-15"/>
                <w:sz w:val="18"/>
                <w:szCs w:val="18"/>
                <w:bdr w:val="none" w:color="auto" w:sz="0" w:space="0"/>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加强城镇节水</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加快城市供水管网技术改造，制定年度更新改造计划，对超过使用年限和材质落后的供水管网进行更新改造，降低管网漏损率。</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区城市管理执法局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区水利和湖泊局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区发改局</w:t>
            </w:r>
            <w:bookmarkStart w:id="0" w:name="_Hlk66456611"/>
            <w:r>
              <w:rPr>
                <w:rFonts w:hint="eastAsia" w:ascii="宋体" w:hAnsi="宋体" w:eastAsia="宋体" w:cs="宋体"/>
                <w:sz w:val="18"/>
                <w:szCs w:val="18"/>
                <w:bdr w:val="none" w:color="auto" w:sz="0" w:space="0"/>
              </w:rPr>
              <w:fldChar w:fldCharType="begin"/>
            </w:r>
            <w:r>
              <w:rPr>
                <w:rFonts w:hint="eastAsia" w:ascii="宋体" w:hAnsi="宋体" w:eastAsia="宋体" w:cs="宋体"/>
                <w:sz w:val="18"/>
                <w:szCs w:val="18"/>
                <w:bdr w:val="none" w:color="auto" w:sz="0" w:space="0"/>
              </w:rPr>
              <w:instrText xml:space="preserve"> HYPERLINK "http://www.hbyx.gov.cn/xxgkxi/zc/zfwj/202109/javascript:void(0);" \t "http://www.hbyx.gov.cn/xxgkxi/zc/zfwj/202109/_self" </w:instrText>
            </w:r>
            <w:r>
              <w:rPr>
                <w:rFonts w:hint="eastAsia" w:ascii="宋体" w:hAnsi="宋体" w:eastAsia="宋体" w:cs="宋体"/>
                <w:sz w:val="18"/>
                <w:szCs w:val="18"/>
                <w:bdr w:val="none" w:color="auto" w:sz="0" w:space="0"/>
              </w:rPr>
              <w:fldChar w:fldCharType="separate"/>
            </w:r>
            <w:bookmarkEnd w:id="0"/>
            <w:r>
              <w:rPr>
                <w:rFonts w:hint="eastAsia" w:ascii="宋体" w:hAnsi="宋体" w:eastAsia="宋体" w:cs="宋体"/>
                <w:sz w:val="18"/>
                <w:szCs w:val="18"/>
                <w:bdr w:val="none" w:color="auto" w:sz="0" w:space="0"/>
              </w:rPr>
              <w:fldChar w:fldCharType="end"/>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区公共检验检测中心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16</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积极推广农业节水技术试验示范工作</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利用自然、人工铺设等集雨产流面，推广利用水池、水窖调蓄雨水技术，解决人畜饮水和农业灌溉用水。建立节水型的农业结构，改善品种结构，扩大红薯、马铃薯等耐旱作物种植面积。</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区农业农村局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区水利和湖泊局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17</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（六）提升生态系统质量和稳定性</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ind w:left="-105" w:right="-105"/>
            </w:pPr>
            <w:r>
              <w:rPr>
                <w:rFonts w:hint="eastAsia" w:ascii="宋体" w:hAnsi="宋体" w:eastAsia="宋体" w:cs="宋体"/>
                <w:sz w:val="18"/>
                <w:szCs w:val="18"/>
              </w:rPr>
              <w:t>启动水环境生态调查</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开展重点入库支流水生态调查工作，对重点水体流域生态环境现状开展全面排查，全面掌握重点水体流域生态系统健康状况，推动实施水生态修复治理工程。加强对汉江、重点入库河流等饮用水源地藻类的监测和水华预警、预报，根据需要及时采取防控措施。</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区生态环境局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区水利和湖泊局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18</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ind w:left="-45" w:right="-45"/>
            </w:pPr>
            <w:r>
              <w:rPr>
                <w:rFonts w:hint="eastAsia" w:ascii="宋体" w:hAnsi="宋体" w:eastAsia="宋体" w:cs="宋体"/>
                <w:spacing w:val="-15"/>
                <w:sz w:val="18"/>
                <w:szCs w:val="18"/>
              </w:rPr>
              <w:t>加强生态用水保障</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认真学习贯彻《长江保护法》，完成汉江段和支流生态流量管控指标核定工作，加强对水电站、水库等水利工程水量的动态调度，督促其按要求下泄生态流量，保证下游河道水生态环境需水量。</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ind w:left="-105" w:right="-105"/>
              <w:jc w:val="center"/>
            </w:pPr>
            <w:r>
              <w:rPr>
                <w:rFonts w:hint="eastAsia" w:ascii="宋体" w:hAnsi="宋体" w:eastAsia="宋体" w:cs="宋体"/>
                <w:sz w:val="18"/>
                <w:szCs w:val="18"/>
              </w:rPr>
              <w:t>区水利和湖泊局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19</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（六）提升生态系统质量和稳定性</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加快岸线整治修复</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对汉江管理和保护区开展全面排查，禁止在保护区范围内从事围垦、填库、造地、造田、筑坝拦汊、分割水面等侵占水域的活动，已经侵占的，制定退出计划，逐步退出侵占的库容和水域面积。开展汉江沿线岸线资源全面排查，对非法占用岸线资源的设施进行彻底清理；坚持宜林则林、宜草则草，全面推进岸线整治修复，恢复和增加两岸绿色覆盖，稳定自然生态系统；推进汉江干流两岸城市规划范围内滨水绿地等生态缓冲带建设。</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区自然资源和规划局</w:t>
            </w:r>
          </w:p>
          <w:p>
            <w:pPr>
              <w:pStyle w:val="2"/>
              <w:keepNext w:val="0"/>
              <w:keepLines w:val="0"/>
              <w:widowControl/>
              <w:suppressLineNumbers w:val="0"/>
              <w:autoSpaceDE w:val="0"/>
              <w:autoSpaceDN/>
              <w:spacing w:line="315" w:lineRule="atLeast"/>
              <w:jc w:val="center"/>
            </w:pPr>
            <w:r>
              <w:rPr>
                <w:rFonts w:hint="eastAsia" w:ascii="宋体" w:hAnsi="宋体" w:eastAsia="宋体" w:cs="宋体"/>
                <w:spacing w:val="-15"/>
                <w:sz w:val="18"/>
                <w:szCs w:val="18"/>
                <w:bdr w:val="none" w:color="auto" w:sz="0" w:space="0"/>
              </w:rPr>
              <w:t>区水利和湖泊局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20</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ind w:left="-60" w:right="-60"/>
            </w:pPr>
            <w:r>
              <w:rPr>
                <w:rFonts w:hint="eastAsia" w:ascii="宋体" w:hAnsi="宋体" w:eastAsia="宋体" w:cs="宋体"/>
                <w:sz w:val="18"/>
                <w:szCs w:val="18"/>
              </w:rPr>
              <w:t>开</w:t>
            </w:r>
            <w:r>
              <w:rPr>
                <w:rFonts w:hint="eastAsia" w:ascii="宋体" w:hAnsi="宋体" w:eastAsia="宋体" w:cs="宋体"/>
                <w:spacing w:val="-15"/>
                <w:sz w:val="18"/>
                <w:szCs w:val="18"/>
              </w:rPr>
              <w:t>展河湖与湿地保护恢复工程</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加强全域湿地保护，积极争取退耕还湿项目支持，推进湿地生态修复，提升湿地生态系统功能。</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区自然资源和规划局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21</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严禁非法采砂</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严格落实禁采区、可采区、保留区和禁采期管理措施，加强对非法采砂行为的监督执法。扎实开展涉砂船舶清理整治工作，全面清除“三无”船舶。</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ind w:left="-105" w:right="-105"/>
              <w:jc w:val="center"/>
            </w:pPr>
            <w:r>
              <w:rPr>
                <w:rFonts w:hint="eastAsia" w:ascii="宋体" w:hAnsi="宋体" w:eastAsia="宋体" w:cs="宋体"/>
                <w:sz w:val="18"/>
                <w:szCs w:val="18"/>
              </w:rPr>
              <w:t>区水利和湖泊局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22</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强化水土流失综合治理</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推进坡耕地治理和石漠化综合治理工程，保护和合理利用水土资源，逐步减少入库泥沙量，遏制水土流失。</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ind w:left="-105" w:right="-105"/>
              <w:jc w:val="center"/>
            </w:pPr>
            <w:r>
              <w:rPr>
                <w:rFonts w:hint="eastAsia" w:ascii="宋体" w:hAnsi="宋体" w:eastAsia="宋体" w:cs="宋体"/>
                <w:sz w:val="18"/>
                <w:szCs w:val="18"/>
              </w:rPr>
              <w:t>区水利和湖泊局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23</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（七）持续强化水环境管理</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严格落实河湖长制</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以保护水资源、防治水污染、改善水环境、修复水生态为主要任务，建立以河湖长制为核心的长效管护机制，压实各级河长责任。</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ind w:left="-105" w:right="-105"/>
              <w:jc w:val="center"/>
            </w:pPr>
            <w:r>
              <w:rPr>
                <w:rFonts w:hint="eastAsia" w:ascii="宋体" w:hAnsi="宋体" w:eastAsia="宋体" w:cs="宋体"/>
                <w:sz w:val="18"/>
                <w:szCs w:val="18"/>
              </w:rPr>
              <w:t>区水利和湖泊局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24</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ind w:left="-105" w:right="-105"/>
            </w:pPr>
            <w:r>
              <w:rPr>
                <w:rFonts w:hint="eastAsia" w:ascii="宋体" w:hAnsi="宋体" w:eastAsia="宋体" w:cs="宋体"/>
                <w:sz w:val="18"/>
                <w:szCs w:val="18"/>
              </w:rPr>
              <w:t>推进水环境质量达标</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定期向社会公布考核断面的水质状况。加强对水质恶化以及有超标风险重点断面预警预测；根据《十堰市水环境质量横向生态补偿实施办法》要求，落实水环境质量横向生态补偿机制和地表水环境保护管理机制，将水环境质量改善纳入到“党政同责 一岗双责”责任制考核，与党政领导班子和各级领导干部政绩考核挂钩。</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区水利和湖泊局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25</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（七）持续强化水环境管理</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加强污染物排放总量控制</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以水环境质量改善为目标，落实化学需氧量、氨氮等主要水污染物总量减排任务。</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区水利和湖泊局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区农业农村局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区发改局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区科技经信局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26</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ind w:left="-60" w:right="-60"/>
            </w:pPr>
            <w:r>
              <w:rPr>
                <w:rFonts w:hint="eastAsia" w:ascii="宋体" w:hAnsi="宋体" w:eastAsia="宋体" w:cs="宋体"/>
                <w:spacing w:val="-15"/>
                <w:sz w:val="18"/>
                <w:szCs w:val="18"/>
              </w:rPr>
              <w:t>严格排污许可证管理</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严格落实《排污许可管理条例》，进一步规范排污许可证申请与审批，强化排污单位主体责任，加强排污许可事中事后监管。</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27</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（八）强化水环境监测监管</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开展禁磷专项行动</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开展全域禁磷专项行动，禁止在汉江流域生产、销售、使用含磷洗衣粉、洗涤剂、清洁剂等洗涤用品。</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区市场监管局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28</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推进企业达标整治</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加大执法力度，开展重点行业专项执法行动，对于非法排污等行为，综合运用按日计罚、查封扣押、限产停产等手段依法从严查处。强化与司法程序衔接、企业环境信用评价等多种手段督促企业依法治污、排污。</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区科技经信局</w:t>
            </w:r>
            <w:bookmarkStart w:id="1" w:name="_Hlk66456646"/>
            <w:r>
              <w:rPr>
                <w:rFonts w:hint="eastAsia" w:ascii="宋体" w:hAnsi="宋体" w:eastAsia="宋体" w:cs="宋体"/>
                <w:sz w:val="18"/>
                <w:szCs w:val="18"/>
                <w:bdr w:val="none" w:color="auto" w:sz="0" w:space="0"/>
              </w:rPr>
              <w:fldChar w:fldCharType="begin"/>
            </w:r>
            <w:r>
              <w:rPr>
                <w:rFonts w:hint="eastAsia" w:ascii="宋体" w:hAnsi="宋体" w:eastAsia="宋体" w:cs="宋体"/>
                <w:sz w:val="18"/>
                <w:szCs w:val="18"/>
                <w:bdr w:val="none" w:color="auto" w:sz="0" w:space="0"/>
              </w:rPr>
              <w:instrText xml:space="preserve"> HYPERLINK "http://www.hbyx.gov.cn/xxgkxi/zc/zfwj/202109/javascript:void(0);" \t "http://www.hbyx.gov.cn/xxgkxi/zc/zfwj/202109/_self" </w:instrText>
            </w:r>
            <w:r>
              <w:rPr>
                <w:rFonts w:hint="eastAsia" w:ascii="宋体" w:hAnsi="宋体" w:eastAsia="宋体" w:cs="宋体"/>
                <w:sz w:val="18"/>
                <w:szCs w:val="18"/>
                <w:bdr w:val="none" w:color="auto" w:sz="0" w:space="0"/>
              </w:rPr>
              <w:fldChar w:fldCharType="separate"/>
            </w:r>
            <w:bookmarkEnd w:id="1"/>
            <w:r>
              <w:rPr>
                <w:rFonts w:hint="eastAsia" w:ascii="宋体" w:hAnsi="宋体" w:eastAsia="宋体" w:cs="宋体"/>
                <w:sz w:val="18"/>
                <w:szCs w:val="18"/>
                <w:bdr w:val="none" w:color="auto" w:sz="0" w:space="0"/>
              </w:rPr>
              <w:fldChar w:fldCharType="end"/>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郧阳银保监组</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人行郧阳支行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29</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加强新型冠状病毒防控期间废水监管</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加强对医院废水和城镇生活污水处理设施的环境监管，全力做好定点医疗机构、新建临时医疗机构和集中隔离点的废水处置，采取针对性措施，严禁未经消毒处理和处理未达标的医疗废水排放。强化接纳医疗废水和集中隔离点排放废水的城镇污水处理厂出水的消毒工作，确保出水水质满足相关要求。做好疫情期间地表水环境质量和定点医院废水、城镇生活污水处理厂排水达标情况等应急监测工作，加强饮用水水源地水质预警监测，切实保障人民群众饮水安全。</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区卫健局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区住建局</w:t>
            </w:r>
          </w:p>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0"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30</w:t>
            </w: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（九）明确和落实保障措施</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强化组织领导</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地表水环境保护管理实行生态环境保护“党政同责、一岗双责”责任制。各乡镇党委和政府对本区域水生态环境质量负总责，党委和政府主要领导承担主要责任，其他有关领导在职责范围内承担具体责任。各乡镇要对本辖区内存在不稳定的风险断面编制达标方案，并抓好组织实施。</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jc w:val="center"/>
            </w:pPr>
            <w:r>
              <w:rPr>
                <w:rFonts w:hint="eastAsia" w:ascii="宋体" w:hAnsi="宋体" w:eastAsia="宋体" w:cs="宋体"/>
                <w:sz w:val="18"/>
                <w:szCs w:val="18"/>
                <w:bdr w:val="none" w:color="auto" w:sz="0" w:space="0"/>
              </w:rPr>
              <w:t>生态环境分局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ind w:left="-105" w:right="-105"/>
              <w:jc w:val="center"/>
            </w:pPr>
            <w:r>
              <w:rPr>
                <w:rFonts w:hint="eastAsia" w:ascii="宋体" w:hAnsi="宋体" w:eastAsia="宋体" w:cs="宋体"/>
                <w:sz w:val="18"/>
                <w:szCs w:val="18"/>
              </w:rPr>
              <w:t>区财政局</w:t>
            </w:r>
          </w:p>
          <w:p>
            <w:pPr>
              <w:pStyle w:val="2"/>
              <w:keepNext w:val="0"/>
              <w:keepLines w:val="0"/>
              <w:widowControl/>
              <w:suppressLineNumbers w:val="0"/>
              <w:autoSpaceDE w:val="0"/>
              <w:autoSpaceDN/>
              <w:spacing w:line="345" w:lineRule="atLeast"/>
              <w:ind w:left="-105" w:right="-105"/>
              <w:jc w:val="center"/>
            </w:pPr>
            <w:r>
              <w:rPr>
                <w:rFonts w:hint="eastAsia" w:ascii="宋体" w:hAnsi="宋体" w:eastAsia="宋体" w:cs="宋体"/>
                <w:sz w:val="18"/>
                <w:szCs w:val="18"/>
              </w:rPr>
              <w:t>区发改局</w:t>
            </w:r>
          </w:p>
          <w:p>
            <w:pPr>
              <w:pStyle w:val="2"/>
              <w:keepNext w:val="0"/>
              <w:keepLines w:val="0"/>
              <w:widowControl/>
              <w:suppressLineNumbers w:val="0"/>
              <w:autoSpaceDE w:val="0"/>
              <w:autoSpaceDN/>
              <w:spacing w:line="345" w:lineRule="atLeast"/>
              <w:ind w:left="-105" w:right="-105"/>
              <w:jc w:val="center"/>
            </w:pPr>
            <w:r>
              <w:rPr>
                <w:rFonts w:hint="eastAsia" w:ascii="宋体" w:hAnsi="宋体" w:eastAsia="宋体" w:cs="宋体"/>
                <w:sz w:val="18"/>
                <w:szCs w:val="18"/>
              </w:rPr>
              <w:t>区科技经信局</w:t>
            </w:r>
          </w:p>
          <w:p>
            <w:pPr>
              <w:pStyle w:val="2"/>
              <w:keepNext w:val="0"/>
              <w:keepLines w:val="0"/>
              <w:widowControl/>
              <w:suppressLineNumbers w:val="0"/>
              <w:autoSpaceDE w:val="0"/>
              <w:autoSpaceDN/>
              <w:spacing w:line="345" w:lineRule="atLeast"/>
              <w:ind w:left="-105" w:right="-105"/>
              <w:jc w:val="center"/>
            </w:pPr>
            <w:r>
              <w:rPr>
                <w:rFonts w:hint="eastAsia" w:ascii="宋体" w:hAnsi="宋体" w:eastAsia="宋体" w:cs="宋体"/>
                <w:sz w:val="18"/>
                <w:szCs w:val="18"/>
              </w:rPr>
              <w:t>区住建局</w:t>
            </w:r>
          </w:p>
          <w:p>
            <w:pPr>
              <w:pStyle w:val="2"/>
              <w:keepNext w:val="0"/>
              <w:keepLines w:val="0"/>
              <w:widowControl/>
              <w:suppressLineNumbers w:val="0"/>
              <w:autoSpaceDE w:val="0"/>
              <w:autoSpaceDN/>
              <w:spacing w:line="345" w:lineRule="atLeast"/>
              <w:ind w:left="-105" w:right="-105"/>
              <w:jc w:val="center"/>
            </w:pPr>
            <w:r>
              <w:rPr>
                <w:rFonts w:hint="eastAsia" w:ascii="宋体" w:hAnsi="宋体" w:eastAsia="宋体" w:cs="宋体"/>
                <w:sz w:val="18"/>
                <w:szCs w:val="18"/>
              </w:rPr>
              <w:t>区水利和湖泊局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31</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加强协调联动</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要进一步做实做强我区生态环境保护委员会办公室力量，充分发挥环委会办公室统筹协调调度作用，建立各成员单位各尽其责、分工协作、互联互动工作机制，调动各成员单位保水护水工作积极性。</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jc w:val="center"/>
            </w:pPr>
            <w:r>
              <w:rPr>
                <w:rFonts w:hint="eastAsia" w:ascii="宋体" w:hAnsi="宋体" w:eastAsia="宋体" w:cs="宋体"/>
                <w:sz w:val="18"/>
                <w:szCs w:val="18"/>
                <w:bdr w:val="none" w:color="auto" w:sz="0" w:space="0"/>
              </w:rPr>
              <w:t>生态环境分局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ind w:left="-105" w:right="-105"/>
              <w:jc w:val="center"/>
            </w:pPr>
            <w:r>
              <w:rPr>
                <w:rFonts w:hint="eastAsia" w:ascii="宋体" w:hAnsi="宋体" w:eastAsia="宋体" w:cs="宋体"/>
                <w:sz w:val="18"/>
                <w:szCs w:val="18"/>
              </w:rPr>
              <w:t>区财政局</w:t>
            </w:r>
          </w:p>
          <w:p>
            <w:pPr>
              <w:pStyle w:val="2"/>
              <w:keepNext w:val="0"/>
              <w:keepLines w:val="0"/>
              <w:widowControl/>
              <w:suppressLineNumbers w:val="0"/>
              <w:autoSpaceDE w:val="0"/>
              <w:autoSpaceDN/>
              <w:spacing w:line="345" w:lineRule="atLeast"/>
              <w:ind w:left="-105" w:right="-105"/>
              <w:jc w:val="center"/>
            </w:pPr>
            <w:r>
              <w:rPr>
                <w:rFonts w:hint="eastAsia" w:ascii="宋体" w:hAnsi="宋体" w:eastAsia="宋体" w:cs="宋体"/>
                <w:sz w:val="18"/>
                <w:szCs w:val="18"/>
              </w:rPr>
              <w:t>区发改局</w:t>
            </w:r>
          </w:p>
          <w:p>
            <w:pPr>
              <w:pStyle w:val="2"/>
              <w:keepNext w:val="0"/>
              <w:keepLines w:val="0"/>
              <w:widowControl/>
              <w:suppressLineNumbers w:val="0"/>
              <w:autoSpaceDE w:val="0"/>
              <w:autoSpaceDN/>
              <w:spacing w:line="345" w:lineRule="atLeast"/>
              <w:ind w:left="-105" w:right="-105"/>
              <w:jc w:val="center"/>
            </w:pPr>
            <w:r>
              <w:rPr>
                <w:rFonts w:hint="eastAsia" w:ascii="宋体" w:hAnsi="宋体" w:eastAsia="宋体" w:cs="宋体"/>
                <w:sz w:val="18"/>
                <w:szCs w:val="18"/>
              </w:rPr>
              <w:t>区科技经信局</w:t>
            </w:r>
          </w:p>
          <w:p>
            <w:pPr>
              <w:pStyle w:val="2"/>
              <w:keepNext w:val="0"/>
              <w:keepLines w:val="0"/>
              <w:widowControl/>
              <w:suppressLineNumbers w:val="0"/>
              <w:autoSpaceDE w:val="0"/>
              <w:autoSpaceDN/>
              <w:spacing w:line="345" w:lineRule="atLeast"/>
              <w:ind w:left="-105" w:right="-105"/>
              <w:jc w:val="center"/>
            </w:pPr>
            <w:r>
              <w:rPr>
                <w:rFonts w:hint="eastAsia" w:ascii="宋体" w:hAnsi="宋体" w:eastAsia="宋体" w:cs="宋体"/>
                <w:sz w:val="18"/>
                <w:szCs w:val="18"/>
              </w:rPr>
              <w:t>区住建局</w:t>
            </w:r>
          </w:p>
          <w:p>
            <w:pPr>
              <w:pStyle w:val="2"/>
              <w:keepNext w:val="0"/>
              <w:keepLines w:val="0"/>
              <w:widowControl/>
              <w:suppressLineNumbers w:val="0"/>
              <w:autoSpaceDE w:val="0"/>
              <w:autoSpaceDN/>
              <w:spacing w:line="345" w:lineRule="atLeast"/>
              <w:ind w:left="-105" w:right="-105"/>
              <w:jc w:val="center"/>
            </w:pPr>
            <w:r>
              <w:rPr>
                <w:rFonts w:hint="eastAsia" w:ascii="宋体" w:hAnsi="宋体" w:eastAsia="宋体" w:cs="宋体"/>
                <w:sz w:val="18"/>
                <w:szCs w:val="18"/>
              </w:rPr>
              <w:t>区水利和湖泊局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7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32</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落实排污单位主体责任</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各乡镇和区直各相关部门要督促各类排污单位严格执行环保法律法规和制度，建立完善环境保护各项制度，切实加强污染治理设施建设和运行管理，确保污染防治设施正常运行和污染物排放稳定达标。</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jc w:val="center"/>
            </w:pPr>
            <w:r>
              <w:rPr>
                <w:rFonts w:hint="eastAsia" w:ascii="宋体" w:hAnsi="宋体" w:eastAsia="宋体" w:cs="宋体"/>
                <w:sz w:val="18"/>
                <w:szCs w:val="18"/>
                <w:bdr w:val="none" w:color="auto" w:sz="0" w:space="0"/>
              </w:rPr>
              <w:t>生态环境分局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jc w:val="center"/>
            </w:pPr>
            <w:r>
              <w:rPr>
                <w:rFonts w:hint="eastAsia" w:ascii="宋体" w:hAnsi="宋体" w:eastAsia="宋体" w:cs="宋体"/>
                <w:sz w:val="18"/>
                <w:szCs w:val="18"/>
                <w:bdr w:val="none" w:color="auto" w:sz="0" w:space="0"/>
              </w:rPr>
              <w:t>区科技经信局</w:t>
            </w:r>
            <w:bookmarkStart w:id="2" w:name="_Hlk66456673"/>
            <w:r>
              <w:rPr>
                <w:rFonts w:hint="eastAsia" w:ascii="宋体" w:hAnsi="宋体" w:eastAsia="宋体" w:cs="宋体"/>
                <w:sz w:val="18"/>
                <w:szCs w:val="18"/>
                <w:bdr w:val="none" w:color="auto" w:sz="0" w:space="0"/>
              </w:rPr>
              <w:fldChar w:fldCharType="begin"/>
            </w:r>
            <w:r>
              <w:rPr>
                <w:rFonts w:hint="eastAsia" w:ascii="宋体" w:hAnsi="宋体" w:eastAsia="宋体" w:cs="宋体"/>
                <w:sz w:val="18"/>
                <w:szCs w:val="18"/>
                <w:bdr w:val="none" w:color="auto" w:sz="0" w:space="0"/>
              </w:rPr>
              <w:instrText xml:space="preserve"> HYPERLINK "http://www.hbyx.gov.cn/xxgkxi/zc/zfwj/202109/javascript:void(0);" \t "http://www.hbyx.gov.cn/xxgkxi/zc/zfwj/202109/_self" </w:instrText>
            </w:r>
            <w:r>
              <w:rPr>
                <w:rFonts w:hint="eastAsia" w:ascii="宋体" w:hAnsi="宋体" w:eastAsia="宋体" w:cs="宋体"/>
                <w:sz w:val="18"/>
                <w:szCs w:val="18"/>
                <w:bdr w:val="none" w:color="auto" w:sz="0" w:space="0"/>
              </w:rPr>
              <w:fldChar w:fldCharType="separate"/>
            </w:r>
            <w:bookmarkEnd w:id="2"/>
            <w:r>
              <w:rPr>
                <w:rFonts w:hint="eastAsia" w:ascii="宋体" w:hAnsi="宋体" w:eastAsia="宋体" w:cs="宋体"/>
                <w:sz w:val="18"/>
                <w:szCs w:val="18"/>
                <w:bdr w:val="none" w:color="auto" w:sz="0" w:space="0"/>
              </w:rPr>
              <w:fldChar w:fldCharType="end"/>
            </w:r>
          </w:p>
          <w:p>
            <w:pPr>
              <w:pStyle w:val="2"/>
              <w:keepNext w:val="0"/>
              <w:keepLines w:val="0"/>
              <w:widowControl/>
              <w:suppressLineNumbers w:val="0"/>
              <w:autoSpaceDE w:val="0"/>
              <w:autoSpaceDN/>
              <w:spacing w:line="345" w:lineRule="atLeast"/>
              <w:jc w:val="center"/>
            </w:pPr>
            <w:r>
              <w:rPr>
                <w:rFonts w:hint="eastAsia" w:ascii="宋体" w:hAnsi="宋体" w:eastAsia="宋体" w:cs="宋体"/>
                <w:sz w:val="18"/>
                <w:szCs w:val="18"/>
                <w:bdr w:val="none" w:color="auto" w:sz="0" w:space="0"/>
              </w:rPr>
              <w:t>区国资局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05" w:hRule="atLeast"/>
          <w:tblCellSpacing w:w="0" w:type="dxa"/>
        </w:trPr>
        <w:tc>
          <w:tcPr>
            <w:tcW w:w="4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jc w:val="center"/>
            </w:pPr>
            <w:r>
              <w:rPr>
                <w:rFonts w:hint="eastAsia" w:ascii="宋体" w:hAnsi="宋体" w:eastAsia="宋体" w:cs="宋体"/>
                <w:sz w:val="18"/>
                <w:szCs w:val="18"/>
                <w:bdr w:val="none" w:color="auto" w:sz="0" w:space="0"/>
              </w:rPr>
              <w:t>33</w:t>
            </w: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15" w:lineRule="atLeast"/>
            </w:pPr>
            <w:r>
              <w:rPr>
                <w:rFonts w:hint="eastAsia" w:ascii="宋体" w:hAnsi="宋体" w:eastAsia="宋体" w:cs="宋体"/>
                <w:sz w:val="18"/>
                <w:szCs w:val="18"/>
                <w:bdr w:val="none" w:color="auto" w:sz="0" w:space="0"/>
              </w:rPr>
              <w:t>加强资金保障</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pPr>
            <w:r>
              <w:rPr>
                <w:rFonts w:hint="eastAsia" w:ascii="宋体" w:hAnsi="宋体" w:eastAsia="宋体" w:cs="宋体"/>
                <w:sz w:val="18"/>
                <w:szCs w:val="18"/>
                <w:bdr w:val="none" w:color="auto" w:sz="0" w:space="0"/>
              </w:rPr>
              <w:t>加大政府投入和争取国家资金支持。积极争取国家水污染防治专项资金、中央预算内基本建设资金、中央环保专项资金、农村环境整治专项资金等，不断加大对我区水污染治理项目的投资支持力度。</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jc w:val="center"/>
            </w:pPr>
            <w:r>
              <w:rPr>
                <w:rFonts w:hint="eastAsia" w:ascii="宋体" w:hAnsi="宋体" w:eastAsia="宋体" w:cs="宋体"/>
                <w:sz w:val="18"/>
                <w:szCs w:val="18"/>
                <w:bdr w:val="none" w:color="auto" w:sz="0" w:space="0"/>
              </w:rPr>
              <w:t>区财政局</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345" w:lineRule="atLeast"/>
              <w:jc w:val="center"/>
            </w:pPr>
            <w:r>
              <w:rPr>
                <w:rFonts w:hint="eastAsia" w:ascii="宋体" w:hAnsi="宋体" w:eastAsia="宋体" w:cs="宋体"/>
                <w:sz w:val="18"/>
                <w:szCs w:val="18"/>
                <w:bdr w:val="none" w:color="auto" w:sz="0" w:space="0"/>
              </w:rPr>
              <w:t>区发改局</w:t>
            </w:r>
          </w:p>
          <w:p>
            <w:pPr>
              <w:pStyle w:val="2"/>
              <w:keepNext w:val="0"/>
              <w:keepLines w:val="0"/>
              <w:widowControl/>
              <w:suppressLineNumbers w:val="0"/>
              <w:autoSpaceDE w:val="0"/>
              <w:autoSpaceDN/>
              <w:spacing w:line="345" w:lineRule="atLeast"/>
              <w:jc w:val="center"/>
            </w:pPr>
            <w:r>
              <w:rPr>
                <w:rFonts w:hint="eastAsia" w:ascii="宋体" w:hAnsi="宋体" w:eastAsia="宋体" w:cs="宋体"/>
                <w:sz w:val="18"/>
                <w:szCs w:val="18"/>
                <w:bdr w:val="none" w:color="auto" w:sz="0" w:space="0"/>
              </w:rPr>
              <w:t>生态环境分局</w:t>
            </w:r>
          </w:p>
          <w:p>
            <w:pPr>
              <w:pStyle w:val="2"/>
              <w:keepNext w:val="0"/>
              <w:keepLines w:val="0"/>
              <w:widowControl/>
              <w:suppressLineNumbers w:val="0"/>
              <w:autoSpaceDE w:val="0"/>
              <w:autoSpaceDN/>
              <w:spacing w:line="345" w:lineRule="atLeast"/>
              <w:jc w:val="center"/>
            </w:pPr>
            <w:r>
              <w:rPr>
                <w:rFonts w:hint="eastAsia" w:ascii="宋体" w:hAnsi="宋体" w:eastAsia="宋体" w:cs="宋体"/>
                <w:sz w:val="18"/>
                <w:szCs w:val="18"/>
                <w:bdr w:val="none" w:color="auto" w:sz="0" w:space="0"/>
              </w:rPr>
              <w:t>区住建局</w:t>
            </w:r>
          </w:p>
          <w:p>
            <w:pPr>
              <w:pStyle w:val="2"/>
              <w:keepNext w:val="0"/>
              <w:keepLines w:val="0"/>
              <w:widowControl/>
              <w:suppressLineNumbers w:val="0"/>
              <w:autoSpaceDE w:val="0"/>
              <w:autoSpaceDN/>
              <w:spacing w:line="345" w:lineRule="atLeast"/>
              <w:jc w:val="center"/>
            </w:pPr>
            <w:r>
              <w:rPr>
                <w:rFonts w:hint="eastAsia" w:ascii="宋体" w:hAnsi="宋体" w:eastAsia="宋体" w:cs="宋体"/>
                <w:sz w:val="18"/>
                <w:szCs w:val="18"/>
                <w:bdr w:val="none" w:color="auto" w:sz="0" w:space="0"/>
              </w:rPr>
              <w:t>区自然资源和规划局（林业局）</w:t>
            </w:r>
          </w:p>
          <w:p>
            <w:pPr>
              <w:pStyle w:val="2"/>
              <w:keepNext w:val="0"/>
              <w:keepLines w:val="0"/>
              <w:widowControl/>
              <w:suppressLineNumbers w:val="0"/>
              <w:autoSpaceDE w:val="0"/>
              <w:autoSpaceDN/>
              <w:spacing w:line="345" w:lineRule="atLeast"/>
              <w:jc w:val="center"/>
            </w:pPr>
            <w:r>
              <w:rPr>
                <w:rFonts w:hint="eastAsia" w:ascii="宋体" w:hAnsi="宋体" w:eastAsia="宋体" w:cs="宋体"/>
                <w:sz w:val="18"/>
                <w:szCs w:val="18"/>
                <w:bdr w:val="none" w:color="auto" w:sz="0" w:space="0"/>
              </w:rPr>
              <w:t>区农业农村局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C4CD8"/>
    <w:rsid w:val="7D3C4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2021-09-06T01:48:00Z</dcterms:created>
  <dc:creator>愿化身石桥</dc:creator>
  <cp:lastModifiedBy>愿化身石桥</cp:lastModifiedBy>
  <dcterms:modified xsi:type="dcterms:W3CDTF">2021-09-06T01:49:19Z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242A97D807634AD78A0006BB6959D6B1</vt:lpwstr>
  </property>
</Properties>
</file>