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供应链金融截屏及相关凭证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color w:val="22222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华文仿宋" w:hAnsi="华文仿宋" w:eastAsia="华文仿宋" w:cs="华文仿宋"/>
          <w:color w:val="222222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222222"/>
          <w:kern w:val="2"/>
          <w:sz w:val="32"/>
          <w:szCs w:val="32"/>
          <w:lang w:val="en-US" w:eastAsia="zh-CN" w:bidi="ar-SA"/>
        </w:rPr>
        <w:t>总行批复</w:t>
      </w:r>
    </w:p>
    <w:p>
      <w:pPr>
        <w:adjustRightInd w:val="0"/>
        <w:snapToGrid w:val="0"/>
        <w:spacing w:line="240" w:lineRule="auto"/>
        <w:rPr>
          <w:rFonts w:hint="eastAsia" w:ascii="华文仿宋" w:hAnsi="华文仿宋" w:eastAsia="华文仿宋" w:cs="华文仿宋"/>
          <w:color w:val="222222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uto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222222"/>
          <w:sz w:val="32"/>
          <w:szCs w:val="32"/>
          <w:lang w:eastAsia="zh-CN"/>
        </w:rPr>
        <w:drawing>
          <wp:inline distT="0" distB="0" distL="114300" distR="114300">
            <wp:extent cx="5267325" cy="2911475"/>
            <wp:effectExtent l="0" t="0" r="3175" b="9525"/>
            <wp:docPr id="2" name="图片 2" descr="微信图片_2024101311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13115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ind w:left="0" w:leftChars="0" w:firstLine="0" w:firstLineChars="0"/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  <w:t>放款凭证</w:t>
      </w:r>
    </w:p>
    <w:p>
      <w:pPr>
        <w:numPr>
          <w:numId w:val="0"/>
        </w:numPr>
        <w:adjustRightInd w:val="0"/>
        <w:snapToGrid w:val="0"/>
        <w:spacing w:line="240" w:lineRule="auto"/>
        <w:ind w:leftChars="0"/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  <w:drawing>
          <wp:inline distT="0" distB="0" distL="114300" distR="114300">
            <wp:extent cx="5267325" cy="3887470"/>
            <wp:effectExtent l="0" t="0" r="3175" b="11430"/>
            <wp:docPr id="3" name="图片 3" descr="微信图片_2024101311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13115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adjustRightInd w:val="0"/>
        <w:snapToGrid w:val="0"/>
        <w:spacing w:line="240" w:lineRule="auto"/>
        <w:ind w:leftChars="0"/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  <w:drawing>
          <wp:inline distT="0" distB="0" distL="114300" distR="114300">
            <wp:extent cx="5266055" cy="3873500"/>
            <wp:effectExtent l="0" t="0" r="4445" b="0"/>
            <wp:docPr id="4" name="图片 4" descr="微信图片_2024101311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131156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2"/>
        </w:numPr>
        <w:adjustRightInd w:val="0"/>
        <w:snapToGrid w:val="0"/>
        <w:spacing w:line="240" w:lineRule="auto"/>
        <w:jc w:val="both"/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222222"/>
          <w:sz w:val="32"/>
          <w:szCs w:val="32"/>
          <w:lang w:val="en-US" w:eastAsia="zh-CN"/>
        </w:rPr>
        <w:t>供应链上报方案</w:t>
      </w: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hAnsi="宋体"/>
          <w:sz w:val="24"/>
          <w:lang w:val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978535</wp:posOffset>
            </wp:positionH>
            <wp:positionV relativeFrom="page">
              <wp:posOffset>956310</wp:posOffset>
            </wp:positionV>
            <wp:extent cx="2271395" cy="611505"/>
            <wp:effectExtent l="0" t="0" r="1905" b="10795"/>
            <wp:wrapNone/>
            <wp:docPr id="6" name="Picture 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QQ截图未命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/>
          <w:b/>
          <w:bCs/>
          <w:sz w:val="84"/>
        </w:rPr>
        <w:t xml:space="preserve">                </w:t>
      </w:r>
      <w:r>
        <w:rPr>
          <w:rFonts w:hint="eastAsia" w:ascii="宋体" w:hAnsi="宋体"/>
          <w:sz w:val="24"/>
          <w:lang w:val="zh-CN"/>
        </w:rPr>
        <w:t>内部资料</w:t>
      </w:r>
    </w:p>
    <w:p>
      <w:pPr>
        <w:jc w:val="right"/>
        <w:rPr>
          <w:rFonts w:hint="eastAsia" w:ascii="楷体_GB2312" w:hAnsi="楷体_GB2312" w:eastAsia="楷体_GB2312"/>
          <w:b/>
          <w:bCs/>
          <w:sz w:val="84"/>
        </w:rPr>
      </w:pPr>
      <w:r>
        <w:rPr>
          <w:rFonts w:hint="eastAsia" w:ascii="宋体" w:hAnsi="宋体"/>
          <w:sz w:val="24"/>
          <w:lang w:val="zh-CN"/>
        </w:rPr>
        <w:t>注意保密</w:t>
      </w:r>
      <w:r>
        <w:rPr>
          <w:rFonts w:hint="eastAsia" w:ascii="楷体_GB2312" w:hAnsi="楷体_GB2312" w:eastAsia="楷体_GB2312"/>
          <w:b/>
          <w:bCs/>
          <w:sz w:val="84"/>
        </w:rPr>
        <w:t xml:space="preserve">          </w:t>
      </w:r>
    </w:p>
    <w:p>
      <w:pPr>
        <w:pStyle w:val="14"/>
        <w:jc w:val="center"/>
        <w:rPr>
          <w:rFonts w:hint="eastAsia" w:ascii="楷体_GB2312" w:eastAsia="楷体_GB2312"/>
          <w:sz w:val="44"/>
          <w:szCs w:val="44"/>
        </w:rPr>
      </w:pPr>
    </w:p>
    <w:p>
      <w:pPr>
        <w:pStyle w:val="3"/>
        <w:spacing w:before="212" w:beforeLines="0"/>
        <w:ind w:left="98"/>
        <w:rPr>
          <w:rFonts w:hint="eastAsia" w:ascii="仿宋_GB2312" w:eastAsia="仿宋_GB2312"/>
          <w:b w:val="0"/>
          <w:bCs w:val="0"/>
          <w:sz w:val="86"/>
          <w:szCs w:val="86"/>
          <w:lang w:val="en-US" w:eastAsia="zh-CN"/>
        </w:rPr>
      </w:pPr>
      <w:r>
        <w:t>武汉农村商业银行供应链融资服务方案</w:t>
      </w:r>
    </w:p>
    <w:p>
      <w:pPr>
        <w:pStyle w:val="14"/>
        <w:jc w:val="center"/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</w:pPr>
    </w:p>
    <w:p>
      <w:pPr>
        <w:pStyle w:val="14"/>
        <w:jc w:val="center"/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</w:pPr>
      <w:r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  <w:t>沥</w:t>
      </w:r>
    </w:p>
    <w:p>
      <w:pPr>
        <w:pStyle w:val="14"/>
        <w:jc w:val="center"/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</w:pPr>
      <w:r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  <w:t>青</w:t>
      </w:r>
    </w:p>
    <w:p>
      <w:pPr>
        <w:pStyle w:val="14"/>
        <w:jc w:val="center"/>
        <w:rPr>
          <w:rFonts w:hint="default" w:ascii="仿宋_GB2312" w:eastAsia="仿宋_GB2312"/>
          <w:b/>
          <w:bCs/>
          <w:sz w:val="86"/>
          <w:szCs w:val="86"/>
          <w:lang w:val="en-US" w:eastAsia="zh-CN"/>
        </w:rPr>
      </w:pPr>
      <w:r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  <w:t>供</w:t>
      </w:r>
    </w:p>
    <w:p>
      <w:pPr>
        <w:pStyle w:val="14"/>
        <w:jc w:val="center"/>
        <w:rPr>
          <w:rFonts w:hint="default" w:ascii="仿宋_GB2312" w:eastAsia="仿宋_GB2312"/>
          <w:b/>
          <w:bCs/>
          <w:sz w:val="86"/>
          <w:szCs w:val="86"/>
          <w:lang w:val="en-US" w:eastAsia="zh-CN"/>
        </w:rPr>
      </w:pPr>
      <w:r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  <w:t>应</w:t>
      </w:r>
    </w:p>
    <w:p>
      <w:pPr>
        <w:pStyle w:val="14"/>
        <w:jc w:val="center"/>
        <w:rPr>
          <w:rFonts w:hint="eastAsia" w:ascii="仿宋_GB2312" w:eastAsia="仿宋_GB2312"/>
          <w:b/>
          <w:bCs/>
          <w:sz w:val="86"/>
          <w:szCs w:val="86"/>
          <w:lang w:eastAsia="zh-CN"/>
        </w:rPr>
      </w:pPr>
      <w:r>
        <w:rPr>
          <w:rFonts w:hint="eastAsia" w:ascii="仿宋_GB2312" w:eastAsia="仿宋_GB2312"/>
          <w:b/>
          <w:bCs/>
          <w:sz w:val="86"/>
          <w:szCs w:val="86"/>
          <w:lang w:val="en-US" w:eastAsia="zh-CN"/>
        </w:rPr>
        <w:t>链</w:t>
      </w:r>
    </w:p>
    <w:p>
      <w:pPr>
        <w:pStyle w:val="14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</w:p>
    <w:p>
      <w:pPr>
        <w:pStyle w:val="14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</w:p>
    <w:p>
      <w:pPr>
        <w:pStyle w:val="14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</w:p>
    <w:p>
      <w:pPr>
        <w:pStyle w:val="14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</w:p>
    <w:p>
      <w:pPr>
        <w:pStyle w:val="14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武汉农村商业银行咸宁分行通山支行</w:t>
      </w:r>
    </w:p>
    <w:p>
      <w:pPr>
        <w:pStyle w:val="14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二〇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二四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年五月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44"/>
          <w:szCs w:val="44"/>
        </w:rPr>
        <w:t>目   录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一、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企业需求分析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1.1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行业分析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经营目标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1.3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财务目标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1.4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供应链上游融资需求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1.5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供应链下游融资需求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1.6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企业自身融资需求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二、服务方案简介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供应链融资方案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1融资主体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授信主体条件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融资方案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风险控制措施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白名单确定方式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四、服务定价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</w:p>
    <w:p>
      <w:pPr>
        <w:spacing w:line="240" w:lineRule="auto"/>
        <w:jc w:val="distribut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成本收益测算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</w:p>
    <w:p>
      <w:pPr>
        <w:spacing w:line="240" w:lineRule="auto"/>
        <w:jc w:val="distribute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企业配合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</w:p>
    <w:p>
      <w:pPr>
        <w:spacing w:line="240" w:lineRule="auto"/>
        <w:jc w:val="distribute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服务承诺</w:t>
      </w:r>
      <w:r>
        <w:rPr>
          <w:rFonts w:hint="eastAsia" w:ascii="仿宋_GB2312" w:eastAsia="仿宋_GB2312"/>
          <w:sz w:val="28"/>
          <w:szCs w:val="28"/>
        </w:rPr>
        <w:t>…………………………………………………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</w:p>
    <w:p>
      <w:pPr>
        <w:jc w:val="distribute"/>
        <w:rPr>
          <w:rFonts w:hint="eastAsia" w:ascii="仿宋_GB2312" w:eastAsia="仿宋_GB2312"/>
          <w:sz w:val="28"/>
          <w:szCs w:val="28"/>
        </w:rPr>
      </w:pPr>
    </w:p>
    <w:p>
      <w:pPr>
        <w:jc w:val="distribute"/>
        <w:rPr>
          <w:rFonts w:hint="eastAsia" w:ascii="仿宋_GB2312" w:eastAsia="仿宋_GB2312"/>
          <w:sz w:val="28"/>
          <w:szCs w:val="28"/>
        </w:rPr>
      </w:pPr>
    </w:p>
    <w:p>
      <w:pPr>
        <w:pStyle w:val="3"/>
        <w:spacing w:before="212" w:beforeLines="0"/>
        <w:ind w:left="98"/>
        <w:rPr>
          <w:rFonts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-SA"/>
        </w:rPr>
        <w:t>武汉农村商业银行供应链融资服务方案</w:t>
      </w:r>
    </w:p>
    <w:p>
      <w:pPr>
        <w:ind w:firstLine="414" w:firstLineChars="150"/>
        <w:jc w:val="right"/>
        <w:rPr>
          <w:rFonts w:hint="default" w:ascii="仿宋_GB2312" w:hAnsi="宋体" w:eastAsia="仿宋_GB2312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2"/>
          <w:kern w:val="10"/>
          <w:position w:val="2"/>
          <w:sz w:val="28"/>
          <w:szCs w:val="28"/>
          <w:lang w:val="en-US" w:eastAsia="zh-CN"/>
        </w:rPr>
        <w:t>——咸宁分行通山支行沥青供应服务方案</w:t>
      </w:r>
    </w:p>
    <w:p>
      <w:pPr>
        <w:ind w:firstLine="474" w:firstLineChars="150"/>
        <w:rPr>
          <w:rFonts w:hint="eastAsia" w:ascii="仿宋_GB2312" w:hAnsi="宋体" w:eastAsia="仿宋_GB2312" w:cs="Times New Roman"/>
          <w:spacing w:val="-2"/>
          <w:kern w:val="10"/>
          <w:positio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793" w:firstLineChars="250"/>
        <w:textAlignment w:val="auto"/>
        <w:rPr>
          <w:rFonts w:hint="eastAsia" w:ascii="仿宋" w:hAnsi="仿宋" w:eastAsia="仿宋" w:cs="仿宋"/>
          <w:b/>
          <w:bCs/>
          <w:spacing w:val="-2"/>
          <w:kern w:val="10"/>
          <w:positio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kern w:val="10"/>
          <w:position w:val="2"/>
          <w:sz w:val="32"/>
          <w:szCs w:val="32"/>
          <w:lang w:val="en-US" w:eastAsia="zh-CN"/>
        </w:rPr>
        <w:t>服务对象：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通山县交通资源开发有限公司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pacing w:val="-2"/>
          <w:kern w:val="10"/>
          <w:positio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一、企业需求分析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1、行业分析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（以下简称“该公司”）成立于2020年6月19日，在通山县市场监督管理局注册登记，统一社会信用代码：91421224MA49GYNL0F。该公司注册地址：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通山县通羊镇九宫大道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313号（通山县交通运输局9楼）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。法定代表人：张彪。该公司注册资本为人民币5000万元，系有限责任公司。该公司经营范围：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一般项目：砼水泥制品、商品砼生产、加工、销售；沥青拌合、水稳料拌合、公路桥梁梁板预制；矿山砂石料开采、加工、销售；机制砂石料生产、加工、销售；交通应急物资、设备仓储服务（不含危险品）；普通货物道路运输；现代物流；钢材、水泥、五金、石材、建筑材料、装饰材料销售；交通应急工程项目建设；授权内的公路沿线综合服务项目的开发、经营和管理；停车场服务；站场、码头、公路服务区、充电站、广告传媒及配套项目的投资、建设、开发、经营及管理；广告设计、制作、代理、发布房地产开发经营；道路救援服务（除依法须经批准的项目外，凭营业执照依法自主开展经营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_GB2312" w:hAnsi="宋体" w:eastAsia="仿宋_GB2312" w:cs="Times New Roman"/>
          <w:spacing w:val="-2"/>
          <w:kern w:val="10"/>
          <w:positio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该公司是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县交通投资（集团）有限公司旗下的全资子公司，主要经营项目为生产沥青拌合料、水稳拌合料、乳化沥青料等，为全县交通运输行业企业供应沥青、水稳等拌合料，保障全县公路、市政等交通及市政项目建设的材料供应，因其行业的特殊性，加上全县交通资源整合因素，该公司生产销售收入稳定，并呈逐年上升趋势。</w:t>
      </w:r>
      <w:r>
        <w:rPr>
          <w:rFonts w:hint="eastAsia" w:ascii="仿宋_GB2312" w:hAnsi="宋体" w:eastAsia="仿宋_GB2312" w:cs="Times New Roman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供应链行业一直以来都是一个十分特殊的行业，因为它是几乎所有其它行业的基础，无论工业、农业、建筑业、零售业等等，都需要深度依赖物流和其背后的供应链体系。数字经济时代的到来，供应链管理升级成为几乎所有行业的共识，传统供应链管理的升级与优化成为必然的趋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经营目标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该公司作为一家主营生产加工沥青的贸易公司，2024年计划目标生产销售总值5000万元，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2023年产品主要用于106国道大修、大幕山旅游公路、南岸公路及市政的老旧小区改造、城区道路改造等，在通山县委县政府的大力支持下，将全县交通、市政等重点民生建设项目的材料供应全部交由借款人承接，基本属于通山县沥青等材料供应的资源垄断行业，发展前景良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通过整合优化本地资源，推进本地交通运输行业高速发展。服务本地优势行业，可切入营销接受沥青供应的各大下游公路管理与养护公司，形成围绕沥青供应链的供应链条，链条一头链接企业一头链接银行等金融机构，一方面降低金融机构回款风险，一方面解决企业的融资难题，同时起到整合本地资源作用，亦可防止垄断现象，实现城市发展的降本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3、财务目标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该公司截止2023年12月，资产总额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39155.4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万元，其中货币资金39.3万元，预付账款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706.8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万元；负债合计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24339.9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万元，主要为在农发行办理的项目融资贷款2亿元以及应付账款719.2万元，资产负债率62.1%。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2023年实际产量145780吨，其中：沥青拌合料88204吨；水稳料57430吨；乳化沥青料146吨。实际年产值4000万元。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收入来源主要为下游客户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湖北省通山县建筑公司、通山宏达路桥有限公司、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通山县路路通养护工程有限责任公司、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通山县长兴公路养护工程有限公司的材料结算款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default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4、供应链上游融资需求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的经营情况，本次“沥青供应链”金融涉及供应链客户将主要包括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湖北屹拓贸易有限公司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湖北炜坤能源有限公司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通山永光材料科技有限公司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等上游客户，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主要融资需求为解决日常经营的流动资金需求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5、供应链下游融资需求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的经营情况，本次“沥青供应链”金融涉及供应链客户将主要包括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通山宏达路桥有限公司、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通山县路路通养护工程有限责任公司、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通山县长兴公路养护工程有限公司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等下游客户，主要融资需求为解决日常经营的流动资金需求。其中下游客户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通山宏达路桥有限公司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于2023年9月在我行办理了流动资金贷款500万元，用于采购沥青等建筑材料。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6、企业自身融资需求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由于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的经营</w:t>
      </w:r>
      <w:r>
        <w:rPr>
          <w:rFonts w:hint="eastAsia" w:ascii="仿宋_GB2312" w:hAnsi="宋体" w:eastAsia="仿宋_GB2312" w:cs="Times New Roman"/>
          <w:b w:val="0"/>
          <w:bCs w:val="0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需求，已于2024年5月15日已在我行办理了流动资金贷款800万元，当前授信余额800万元，用于采购原材料，随着企业后期投资发展规模，后期存在一定阶段性融资需求，我行将结合客户需求变化，不断调整和丰富我行的金融服务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43" w:firstLineChars="196"/>
        <w:textAlignment w:val="auto"/>
        <w:rPr>
          <w:rFonts w:hint="eastAsia" w:ascii="仿宋_GB2312" w:hAnsi="宋体" w:eastAsia="仿宋_GB2312"/>
          <w:b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二、服务方案简介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1、服务方案目标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的经营情况，本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“沥青供应链”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金融涉及供应链客户将主要包括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通山宏达路桥有限公司、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通山县路路通养护工程有限责任公司、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通山县长兴公路养护工程有限公司、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湖北屹拓贸易有限公司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湖北炜坤能源有限公司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通山永光材料科技有限公司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等上下游客户。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2、实现路径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采取以保证担保、专业担保公司担保等多种方式，解决供应链客户在按账期付款和结算期间的流动资金需求问题，在合规合法的操作中推进各个项目的进程，“供应链”合作整体授信总额控制在</w:t>
      </w:r>
      <w:r>
        <w:rPr>
          <w:rFonts w:hint="eastAsia" w:ascii="仿宋_GB2312" w:hAnsi="宋体" w:eastAsia="仿宋_GB2312"/>
          <w:b w:val="0"/>
          <w:bCs w:val="0"/>
          <w:color w:val="auto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_GB2312" w:hAnsi="宋体" w:eastAsia="仿宋_GB2312"/>
          <w:color w:val="auto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以内。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default" w:ascii="黑体" w:hAnsi="黑体" w:eastAsia="黑体" w:cs="黑体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三、供应链融资方案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“沥青供应链”金融主要是针对供应链上下游融资，单户授信额在100-1000万元，采取不超过2年的一般流动资金贷款授信模式，由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提供白名单进行推荐，对供应链客户进行单一授信，除集团关联企业外均不纳入集团统一授信额度内。客户采取单一授信方式，融资主体可选择以保证担保、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专业担保公司担保等方式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进行融资。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1、融资主体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提供经销商的企业，合同执行后产生的经营收入作为还款来源。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此类客户的痛点：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主要是采购资金的需求，业务关系稳定，回款较有保障，但合同签订与收款进度有一定的时差，都需要一定垫款。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2、授信主体条件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414" w:firstLineChars="150"/>
        <w:textAlignment w:val="auto"/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（1）在我行开立结算账户并且达到有效客户标准，符合我行流贷的授信准入条件，供应链试运行阶段以咸宁市企业为主。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414" w:firstLineChars="150"/>
        <w:textAlignment w:val="auto"/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（2）对下游客户建立名单式管理。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414" w:firstLineChars="15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对于暂无符合要求的抵押、质押的情况，由有经济实力的企业或专业担保公司提供保证担保。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3、融资方案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default" w:ascii="仿宋_GB2312" w:hAnsi="宋体" w:eastAsia="仿宋_GB2312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总体设想：</w:t>
      </w:r>
      <w:r>
        <w:rPr>
          <w:rFonts w:hint="eastAsia" w:ascii="仿宋_GB2312" w:hAnsi="宋体" w:eastAsia="仿宋_GB2312"/>
          <w:spacing w:val="-2"/>
          <w:kern w:val="10"/>
          <w:position w:val="2"/>
          <w:sz w:val="28"/>
          <w:szCs w:val="28"/>
          <w:highlight w:val="none"/>
          <w:lang w:val="en-US" w:eastAsia="zh-CN"/>
        </w:rPr>
        <w:t>拟采取按合同融资模式，采用宽进严用的授信模式。对已正式签订合同的小微企业采取合同融资模式。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具体授信方案：</w:t>
      </w:r>
      <w:r>
        <w:rPr>
          <w:rFonts w:hint="eastAsia" w:ascii="仿宋_GB2312" w:hAnsi="宋体" w:eastAsia="仿宋_GB2312" w:cs="Times New Roman"/>
          <w:spacing w:val="-2"/>
          <w:kern w:val="10"/>
          <w:position w:val="2"/>
          <w:sz w:val="28"/>
          <w:szCs w:val="28"/>
          <w:lang w:val="en-US" w:eastAsia="zh-CN"/>
        </w:rPr>
        <w:t>根据每家企业的经营能力和资金需求，按企业与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宋体" w:eastAsia="仿宋_GB2312" w:cs="Times New Roman"/>
          <w:spacing w:val="-2"/>
          <w:kern w:val="10"/>
          <w:position w:val="2"/>
          <w:sz w:val="28"/>
          <w:szCs w:val="28"/>
          <w:lang w:val="en-US" w:eastAsia="zh-CN"/>
        </w:rPr>
        <w:t>签订的合同需要垫付的资金核定授信总额，拟采用合同执行期限办理流动资金贷款的方式先进行整体授信。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具体用信方案：</w:t>
      </w: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核实</w:t>
      </w:r>
      <w:r>
        <w:rPr>
          <w:rFonts w:hint="eastAsia" w:ascii="仿宋_GB2312" w:hAnsi="宋体" w:eastAsia="仿宋_GB2312" w:cs="Times New Roman"/>
          <w:spacing w:val="-2"/>
          <w:kern w:val="10"/>
          <w:position w:val="2"/>
          <w:sz w:val="28"/>
          <w:szCs w:val="28"/>
          <w:lang w:val="en-US" w:eastAsia="zh-CN"/>
        </w:rPr>
        <w:t>企业与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垫款情况后用信。用信的资金只能受托支付到与合同执行内容相关的真实交易对手，用于建材采购等。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具体的贷后管理方案：</w:t>
      </w: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信贷资金使用后，本行可以联合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宋体" w:eastAsia="仿宋_GB2312"/>
          <w:b w:val="0"/>
          <w:bCs w:val="0"/>
          <w:spacing w:val="-2"/>
          <w:kern w:val="10"/>
          <w:position w:val="2"/>
          <w:sz w:val="28"/>
          <w:szCs w:val="28"/>
          <w:lang w:val="en-US" w:eastAsia="zh-CN"/>
        </w:rPr>
        <w:t>及监测系统实时查询该合同的执行进度、结算进度等环节，根据合同约定的时间监测其款项是否收回，并通过收集售后发票等收据核实交易真实性。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/>
          <w:b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pacing w:val="-2"/>
          <w:kern w:val="10"/>
          <w:position w:val="2"/>
          <w:sz w:val="28"/>
          <w:szCs w:val="28"/>
          <w:lang w:val="en-US" w:eastAsia="zh-CN"/>
        </w:rPr>
        <w:t xml:space="preserve">    4、风险控制措施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一是融资主体必须符合我行授信准入的要求，担保公司符合我行准入，资产优良且具有一定变现能力。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二是在整个供应链融资中，通过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对合同、进度、应收账款、资金支付情况进行核对监管。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三是信贷资金用于“沥青供应链”项目下的所有下游，实现资金封闭管理，合同资金回笼后优先归还贷款本息，在合同额度内和授信总额项下实现循环用信。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四是“沥青供应链”项下合同必须明确指定回款账号为本行开立的借款人户名、账号，在本行融资的主体签订合同的结算资金要求全额归行。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五是供应链项下的供应商在本行融资，均需要由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进行担保，同时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需要配合对结算款进行对账管理，归避供应商融资后的纠纷及结算方面的问题。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default" w:ascii="仿宋_GB2312" w:hAnsi="宋体" w:eastAsia="仿宋_GB2312" w:cs="Times New Roman"/>
          <w:b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pacing w:val="-2"/>
          <w:kern w:val="10"/>
          <w:position w:val="2"/>
          <w:sz w:val="28"/>
          <w:szCs w:val="28"/>
          <w:lang w:val="en-US" w:eastAsia="zh-CN"/>
        </w:rPr>
        <w:t>5、白名单确定方式，集团对白名单的权利和义务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提供“沥青供应链”白名单进行推荐，“沥青供应链”白名单的入围是由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提供合同交易承接方的名单，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根据合同的具体实施情况及融资方提出的融资需求，针对交易承接方等情况进行一一核对，明确供应链客户担保白名单推荐给银行，银行根据客户的经营情况、合同情况进行单一授信。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spacing w:val="-2"/>
          <w:kern w:val="10"/>
          <w:position w:val="2"/>
          <w:sz w:val="28"/>
          <w:szCs w:val="28"/>
          <w:lang w:val="en-US" w:eastAsia="zh-CN"/>
        </w:rPr>
        <w:t>四、服务定价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740"/>
        </w:tabs>
        <w:kinsoku/>
        <w:overflowPunct/>
        <w:topLinePunct w:val="0"/>
        <w:bidi w:val="0"/>
        <w:adjustRightInd/>
        <w:snapToGrid/>
        <w:spacing w:line="360" w:lineRule="auto"/>
        <w:ind w:left="0" w:leftChars="0" w:firstLine="552" w:firstLineChars="200"/>
        <w:textAlignment w:val="auto"/>
        <w:rPr>
          <w:rFonts w:hint="default" w:ascii="仿宋_GB2312" w:hAnsi="宋体" w:eastAsia="仿宋_GB2312" w:cs="Times New Roman"/>
          <w:b w:val="0"/>
          <w:bCs/>
          <w:spacing w:val="-2"/>
          <w:kern w:val="1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/>
          <w:spacing w:val="-2"/>
          <w:kern w:val="10"/>
          <w:position w:val="2"/>
          <w:sz w:val="28"/>
          <w:szCs w:val="28"/>
          <w:lang w:val="en-US" w:eastAsia="zh-CN" w:bidi="ar-SA"/>
        </w:rPr>
        <w:t>由于本行对白名单提供的融资大部分都是小微普惠贷款，根据小微普惠贷款当前的市场竞争定价情况，本行拟采取的定价标准为最低利率水平不低于4.8%。具体根据客户市场竞争情况、综合贡献度进行定价。可以根据工资代发、资金归行、存款引入等情况，适当给予利率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 w:cs="Times New Roman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  <w:t>五、成本收益测算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（一）社会效益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 w:bidi="ar-SA"/>
        </w:rPr>
        <w:t>一是在国企改革的大前提下，城投平台近年逐渐“去平台化“，城投公司从政府融资平台的角色向市场化主体转变，大力发展实体产业，注重企业效益，对平台公司自身造血、盈利能力要求更高。国内政府平台公司通过成立供应链公司提升自身市场竞争力、加强自身盈利能力的案例较多。成立供应链公司，服务本地优势行业，可切入本地优势行业的贸易环节，形成围绕尚融供应链的供应链条，链条一头链接企业一头链接银行等金融机构，一方面降低金融机构回款风险，一方面解决企业的融资难题，同时起到整合本地资源作用，整合优化本地资源，推进本地不同行业融合发展，实现城市发展的降本增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二是有利于我行在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eastAsia="zh-CN"/>
        </w:rPr>
        <w:t>通山县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树立良好社会的形象，通过该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eastAsia="zh-CN"/>
        </w:rPr>
        <w:t>沥青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供应链金融的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eastAsia="zh-CN"/>
        </w:rPr>
        <w:t>国营及民营企业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融资创新，不仅可以促进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eastAsia="zh-CN"/>
        </w:rPr>
        <w:t>通山县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本地的经济、税收、中小企业的发展，而且在风险可控的同时可扩大我行的社会影响力。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360" w:lineRule="auto"/>
        <w:ind w:firstLine="544"/>
        <w:textAlignment w:val="auto"/>
        <w:rPr>
          <w:rFonts w:hint="eastAsia" w:ascii="仿宋" w:hAnsi="仿宋" w:eastAsia="仿宋" w:cs="仿宋"/>
          <w:b/>
          <w:bCs/>
          <w:spacing w:val="-2"/>
          <w:kern w:val="10"/>
          <w:positio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（二）经济效益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 xml:space="preserve">    一是支持该企业不仅可以增加稳定的利息收入来源，在真实的交易背景下可以提供延伸的资金结算及中间业务，可以带来大量的延伸产品多样性的运用，拓宽我行的获利能力。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 xml:space="preserve">    二是作为支持地方经济发展的本地银行，做好本次沥青供应链金融，也是在支持通山县地方经济发展，为实体经济助力。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2"/>
          <w:kern w:val="10"/>
          <w:position w:val="2"/>
          <w:sz w:val="28"/>
          <w:szCs w:val="28"/>
          <w:lang w:val="en-US" w:eastAsia="zh-CN"/>
        </w:rPr>
        <w:t>（三）业务拉动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 xml:space="preserve">    一是该产业链的融资可以扩大我行中小企业市场份额，根据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当前的发展趋势，未来的合作每年至少可以带来上亿的现金流。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4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二是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</w:rPr>
        <w:t>支持该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供应链金融，有利于我行的零售业务的发展，随着与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供应链的深度合作，对银行储蓄存款、新增代发工资、个人理财、新客户数、交叉销售户数、信用卡开卡数等零售指标都有显著提升。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" w:hAnsi="仿宋" w:eastAsia="仿宋" w:cs="仿宋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  <w:t>六、企业配合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（一）需要提供的贷前授信资料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提供2024年《供应链融资白名单客户清单》。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（二）白名单融资放款资料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根据批复条件落实相应的用信条件即可，无其他特殊的放款资料要求。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4" w:firstLineChars="200"/>
        <w:textAlignment w:val="auto"/>
        <w:rPr>
          <w:rFonts w:hint="eastAsia" w:ascii="仿宋" w:hAnsi="仿宋" w:eastAsia="仿宋" w:cs="仿宋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2"/>
          <w:kern w:val="10"/>
          <w:position w:val="2"/>
          <w:sz w:val="28"/>
          <w:szCs w:val="28"/>
          <w:lang w:val="en-US" w:eastAsia="zh-CN"/>
        </w:rPr>
        <w:t>七、服务承诺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（一）授信时效承诺。15个工作日的限时授信承诺。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（二）放款时效承诺。3个工作日的限时放款承诺。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（三）保密承诺。对供应链融资名单内部控制措施进行保密，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通山县交通资源开发有限公司</w:t>
      </w:r>
      <w:r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  <w:t>不对外提供内部对账依据。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pacing w:val="-2"/>
          <w:kern w:val="10"/>
          <w:positio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60" w:lineRule="auto"/>
        <w:ind w:firstLine="544"/>
        <w:jc w:val="right"/>
        <w:textAlignment w:val="auto"/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武汉农村商业银行咸宁分行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360" w:lineRule="auto"/>
        <w:ind w:firstLine="544"/>
        <w:jc w:val="right"/>
        <w:textAlignment w:val="auto"/>
        <w:rPr>
          <w:rFonts w:hint="default" w:ascii="仿宋_GB2312" w:hAnsi="宋体" w:eastAsia="仿宋_GB2312"/>
          <w:spacing w:val="-2"/>
          <w:kern w:val="10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kern w:val="10"/>
          <w:position w:val="2"/>
          <w:sz w:val="28"/>
          <w:szCs w:val="28"/>
          <w:lang w:val="en-US" w:eastAsia="zh-CN"/>
        </w:rPr>
        <w:t>2024年5月15</w:t>
      </w:r>
      <w:r>
        <w:rPr>
          <w:rFonts w:hint="eastAsia" w:ascii="仿宋_GB2312" w:hAnsi="宋体" w:eastAsia="仿宋_GB2312"/>
          <w:spacing w:val="-2"/>
          <w:kern w:val="10"/>
          <w:position w:val="2"/>
          <w:sz w:val="28"/>
          <w:szCs w:val="28"/>
          <w:lang w:val="en-US" w:eastAsia="zh-CN"/>
        </w:rPr>
        <w:t>日</w:t>
      </w:r>
    </w:p>
    <w:p>
      <w:pPr>
        <w:widowControl w:val="0"/>
        <w:numPr>
          <w:numId w:val="0"/>
        </w:numPr>
        <w:adjustRightInd w:val="0"/>
        <w:snapToGrid w:val="0"/>
        <w:spacing w:line="240" w:lineRule="auto"/>
        <w:jc w:val="both"/>
        <w:rPr>
          <w:rFonts w:hint="default" w:ascii="华文仿宋" w:hAnsi="华文仿宋" w:eastAsia="华文仿宋" w:cs="华文仿宋"/>
          <w:color w:val="22222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8C103"/>
    <w:multiLevelType w:val="singleLevel"/>
    <w:tmpl w:val="B098C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EDBDF6"/>
    <w:multiLevelType w:val="singleLevel"/>
    <w:tmpl w:val="0CEDBDF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43A6393"/>
    <w:multiLevelType w:val="singleLevel"/>
    <w:tmpl w:val="643A63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mNhOThjZTExYjE0YThjOGQ2Mjg1OTdlOTczMjUifQ=="/>
  </w:docVars>
  <w:rsids>
    <w:rsidRoot w:val="00172A27"/>
    <w:rsid w:val="00145879"/>
    <w:rsid w:val="00364DC0"/>
    <w:rsid w:val="0036684D"/>
    <w:rsid w:val="00400999"/>
    <w:rsid w:val="004428FA"/>
    <w:rsid w:val="00567C0E"/>
    <w:rsid w:val="006D37F4"/>
    <w:rsid w:val="007338EB"/>
    <w:rsid w:val="0079588B"/>
    <w:rsid w:val="007A66C7"/>
    <w:rsid w:val="00A05E9E"/>
    <w:rsid w:val="00BE7C1E"/>
    <w:rsid w:val="00C22CA9"/>
    <w:rsid w:val="00D978F7"/>
    <w:rsid w:val="00E23A16"/>
    <w:rsid w:val="133E099F"/>
    <w:rsid w:val="13935EAB"/>
    <w:rsid w:val="20746819"/>
    <w:rsid w:val="30831648"/>
    <w:rsid w:val="45FC4CE4"/>
    <w:rsid w:val="4F0D2B54"/>
    <w:rsid w:val="5C835314"/>
    <w:rsid w:val="679253F7"/>
    <w:rsid w:val="744C3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autoSpaceDE w:val="0"/>
      <w:autoSpaceDN w:val="0"/>
      <w:spacing w:before="80" w:beforeLines="0"/>
      <w:ind w:left="99"/>
      <w:jc w:val="center"/>
      <w:outlineLvl w:val="0"/>
    </w:pPr>
    <w:rPr>
      <w:rFonts w:ascii="黑体" w:hAnsi="黑体" w:eastAsia="黑体" w:cs="黑体"/>
      <w:b/>
      <w:bCs/>
      <w:kern w:val="0"/>
      <w:sz w:val="44"/>
      <w:szCs w:val="44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qFormat/>
    <w:uiPriority w:val="0"/>
    <w:pPr>
      <w:spacing w:line="500" w:lineRule="atLeast"/>
    </w:pPr>
    <w:rPr>
      <w:rFonts w:eastAsia="仿宋_GB2312"/>
      <w:b/>
      <w:bCs/>
      <w:sz w:val="32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1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kern w:val="0"/>
      <w:szCs w:val="21"/>
    </w:rPr>
  </w:style>
  <w:style w:type="paragraph" w:customStyle="1" w:styleId="12">
    <w:name w:val="信贷报告表格"/>
    <w:basedOn w:val="13"/>
    <w:qFormat/>
    <w:uiPriority w:val="0"/>
    <w:pPr>
      <w:spacing w:before="0" w:beforeLines="0" w:line="240" w:lineRule="auto"/>
      <w:ind w:firstLine="0" w:firstLineChars="0"/>
      <w:jc w:val="center"/>
    </w:pPr>
    <w:rPr>
      <w:rFonts w:eastAsia="宋体"/>
      <w:sz w:val="22"/>
    </w:rPr>
  </w:style>
  <w:style w:type="paragraph" w:customStyle="1" w:styleId="13">
    <w:name w:val="信贷报告正文"/>
    <w:basedOn w:val="1"/>
    <w:qFormat/>
    <w:uiPriority w:val="0"/>
    <w:pPr>
      <w:spacing w:line="500" w:lineRule="exact"/>
      <w:ind w:firstLine="720" w:firstLineChars="200"/>
    </w:pPr>
    <w:rPr>
      <w:rFonts w:ascii="Times New Roman" w:hAnsi="Times New Roman" w:eastAsia="仿宋"/>
      <w:sz w:val="28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  <w:spacing w:before="100" w:after="100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3</Pages>
  <Words>1466</Words>
  <Characters>1511</Characters>
  <Lines>10</Lines>
  <Paragraphs>3</Paragraphs>
  <TotalTime>1</TotalTime>
  <ScaleCrop>false</ScaleCrop>
  <LinksUpToDate>false</LinksUpToDate>
  <CharactersWithSpaces>1515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2022-12-12T08:01:00Z</dcterms:created>
  <dc:creator>张晓辉2(营业部客户部)</dc:creator>
  <cp:lastModifiedBy>焦永良</cp:lastModifiedBy>
  <dcterms:modified xsi:type="dcterms:W3CDTF">2024-10-13T04:02:31Z</dcterms:modified>
  <dc:title>河北建设数据网贷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F56F848167EC4AE380529582A8ACD11E_13</vt:lpwstr>
  </property>
</Properties>
</file>