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hint="default" w:ascii="仿宋_GB2312" w:hAnsi="Times New Roman" w:eastAsia="黑体"/>
          <w:sz w:val="28"/>
          <w:szCs w:val="28"/>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3648075</wp:posOffset>
                </wp:positionH>
                <wp:positionV relativeFrom="paragraph">
                  <wp:posOffset>-225425</wp:posOffset>
                </wp:positionV>
                <wp:extent cx="2517775" cy="469265"/>
                <wp:effectExtent l="0" t="0" r="9525" b="635"/>
                <wp:wrapNone/>
                <wp:docPr id="5" name="文本框 5"/>
                <wp:cNvGraphicFramePr/>
                <a:graphic xmlns:a="http://schemas.openxmlformats.org/drawingml/2006/main">
                  <a:graphicData uri="http://schemas.microsoft.com/office/word/2010/wordprocessingShape">
                    <wps:wsp>
                      <wps:cNvSpPr txBox="1"/>
                      <wps:spPr>
                        <a:xfrm>
                          <a:off x="0" y="0"/>
                          <a:ext cx="2517775" cy="469265"/>
                        </a:xfrm>
                        <a:prstGeom prst="rect">
                          <a:avLst/>
                        </a:prstGeom>
                        <a:solidFill>
                          <a:srgbClr val="FFFFFF"/>
                        </a:solidFill>
                        <a:ln w="6350">
                          <a:noFill/>
                        </a:ln>
                        <a:effectLst/>
                      </wps:spPr>
                      <wps:txbx>
                        <w:txbxContent>
                          <w:p>
                            <w:pPr>
                              <w:spacing w:line="300" w:lineRule="exact"/>
                              <w:jc w:val="center"/>
                              <w:rPr>
                                <w:rFonts w:ascii="华文中宋" w:hAnsi="华文中宋" w:eastAsia="华文中宋" w:cs="华文中宋"/>
                                <w:b/>
                                <w:bCs/>
                                <w:sz w:val="22"/>
                                <w:szCs w:val="22"/>
                              </w:rPr>
                            </w:pPr>
                            <w:r>
                              <w:rPr>
                                <w:rFonts w:hint="eastAsia" w:ascii="华文中宋" w:hAnsi="华文中宋" w:eastAsia="华文中宋" w:cs="华文中宋"/>
                                <w:b/>
                                <w:bCs/>
                                <w:sz w:val="22"/>
                                <w:szCs w:val="22"/>
                              </w:rPr>
                              <w:t>湖北省分行普惠金融事业部</w:t>
                            </w:r>
                          </w:p>
                          <w:p>
                            <w:pPr>
                              <w:spacing w:line="300" w:lineRule="exact"/>
                              <w:jc w:val="center"/>
                              <w:rPr>
                                <w:rFonts w:ascii="华文中宋" w:hAnsi="华文中宋" w:eastAsia="华文中宋" w:cs="华文中宋"/>
                                <w:b/>
                                <w:bCs/>
                                <w:sz w:val="22"/>
                                <w:szCs w:val="22"/>
                              </w:rPr>
                            </w:pPr>
                            <w:r>
                              <w:rPr>
                                <w:rFonts w:hint="eastAsia" w:ascii="华文中宋" w:hAnsi="华文中宋" w:eastAsia="华文中宋" w:cs="华文中宋"/>
                                <w:b/>
                                <w:bCs/>
                                <w:sz w:val="22"/>
                                <w:szCs w:val="22"/>
                              </w:rPr>
                              <w:t>（乡村振兴金融部）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7.75pt;height:36.95pt;width:198.25pt;z-index:251661312;mso-width-relative:page;mso-height-relative:page;" fillcolor="#FFFFFF" filled="t" stroked="f" coordsize="21600,21600" o:gfxdata="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A0iJbWAAAA&#10;CgEAAA8AAAAAAAAAAQAgAAAAIgAAAGRycy9kb3ducmV2LnhtbFBLAQIUABQAAAAIAIdO4kApnnew&#10;WAIAAJ0EAAAOAAAAAAAAAAEAIAAAACUBAABkcnMvZTJvRG9jLnhtbFBLBQYAAAAABgAGAFkBAADv&#10;BQAAAAA=&#10;">
                <v:fill on="t" focussize="0,0"/>
                <v:stroke on="f" weight="0.5pt"/>
                <v:imagedata o:title=""/>
                <o:lock v:ext="edit" aspectratio="f"/>
                <v:textbox>
                  <w:txbxContent>
                    <w:p>
                      <w:pPr>
                        <w:spacing w:line="300" w:lineRule="exact"/>
                        <w:jc w:val="center"/>
                        <w:rPr>
                          <w:rFonts w:ascii="华文中宋" w:hAnsi="华文中宋" w:eastAsia="华文中宋" w:cs="华文中宋"/>
                          <w:b/>
                          <w:bCs/>
                          <w:sz w:val="22"/>
                          <w:szCs w:val="22"/>
                        </w:rPr>
                      </w:pPr>
                      <w:r>
                        <w:rPr>
                          <w:rFonts w:hint="eastAsia" w:ascii="华文中宋" w:hAnsi="华文中宋" w:eastAsia="华文中宋" w:cs="华文中宋"/>
                          <w:b/>
                          <w:bCs/>
                          <w:sz w:val="22"/>
                          <w:szCs w:val="22"/>
                        </w:rPr>
                        <w:t>湖北省分行普惠金融事业部</w:t>
                      </w:r>
                    </w:p>
                    <w:p>
                      <w:pPr>
                        <w:spacing w:line="300" w:lineRule="exact"/>
                        <w:jc w:val="center"/>
                        <w:rPr>
                          <w:rFonts w:ascii="华文中宋" w:hAnsi="华文中宋" w:eastAsia="华文中宋" w:cs="华文中宋"/>
                          <w:b/>
                          <w:bCs/>
                          <w:sz w:val="22"/>
                          <w:szCs w:val="22"/>
                        </w:rPr>
                      </w:pPr>
                      <w:r>
                        <w:rPr>
                          <w:rFonts w:hint="eastAsia" w:ascii="华文中宋" w:hAnsi="华文中宋" w:eastAsia="华文中宋" w:cs="华文中宋"/>
                          <w:b/>
                          <w:bCs/>
                          <w:sz w:val="22"/>
                          <w:szCs w:val="22"/>
                        </w:rPr>
                        <w:t>（乡村振兴金融部）</w:t>
                      </w:r>
                    </w:p>
                  </w:txbxContent>
                </v:textbox>
              </v:shape>
            </w:pict>
          </mc:Fallback>
        </mc:AlternateContent>
      </w:r>
      <w:r>
        <w:rPr>
          <w:rFonts w:ascii="黑体" w:hAnsi="Times New Roman" w:eastAsia="黑体"/>
          <w:sz w:val="28"/>
          <w:szCs w:val="28"/>
        </w:rPr>
        <w:drawing>
          <wp:anchor distT="0" distB="0" distL="114300" distR="114300" simplePos="0" relativeHeight="251660288" behindDoc="0" locked="0" layoutInCell="1" allowOverlap="1">
            <wp:simplePos x="0" y="0"/>
            <wp:positionH relativeFrom="column">
              <wp:posOffset>226695</wp:posOffset>
            </wp:positionH>
            <wp:positionV relativeFrom="paragraph">
              <wp:posOffset>-212725</wp:posOffset>
            </wp:positionV>
            <wp:extent cx="2125980" cy="516890"/>
            <wp:effectExtent l="0" t="0" r="7620" b="3810"/>
            <wp:wrapTopAndBottom/>
            <wp:docPr id="2" name="图片 4" descr="中行标志(中文-横-带层)--便函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中行标志(中文-横-带层)--便函使用--"/>
                    <pic:cNvPicPr>
                      <a:picLocks noChangeAspect="1"/>
                    </pic:cNvPicPr>
                  </pic:nvPicPr>
                  <pic:blipFill>
                    <a:blip r:embed="rId4"/>
                    <a:stretch>
                      <a:fillRect/>
                    </a:stretch>
                  </pic:blipFill>
                  <pic:spPr>
                    <a:xfrm>
                      <a:off x="0" y="0"/>
                      <a:ext cx="2125980" cy="516890"/>
                    </a:xfrm>
                    <a:prstGeom prst="rect">
                      <a:avLst/>
                    </a:prstGeom>
                    <a:noFill/>
                    <a:ln>
                      <a:noFill/>
                    </a:ln>
                  </pic:spPr>
                </pic:pic>
              </a:graphicData>
            </a:graphic>
          </wp:anchor>
        </w:drawing>
      </w:r>
      <w:r>
        <w:rPr>
          <w:rFonts w:ascii="黑体" w:hAnsi="Times New Roman" w:eastAsia="黑体"/>
          <w:sz w:val="32"/>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693420</wp:posOffset>
                </wp:positionV>
                <wp:extent cx="5835015" cy="0"/>
                <wp:effectExtent l="0" t="0" r="0" b="0"/>
                <wp:wrapNone/>
                <wp:docPr id="1" name="直线 3"/>
                <wp:cNvGraphicFramePr/>
                <a:graphic xmlns:a="http://schemas.openxmlformats.org/drawingml/2006/main">
                  <a:graphicData uri="http://schemas.microsoft.com/office/word/2010/wordprocessingShape">
                    <wps:wsp>
                      <wps:cNvCnPr/>
                      <wps:spPr>
                        <a:xfrm>
                          <a:off x="0" y="0"/>
                          <a:ext cx="583501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3" o:spid="_x0000_s1026" o:spt="32" type="#_x0000_t32" style="position:absolute;left:0pt;margin-left:-9pt;margin-top:54.6pt;height:0pt;width:459.45pt;z-index:251659264;mso-width-relative:page;mso-height-relative:page;" filled="f" stroked="t" coordsize="21600,21600" o:gfxdata="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hMJr9cAAAALAQAADwAAAAAAAAABACAAAAAiAAAAZHJzL2Rvd25yZXYueG1sUEsBAhQAFAAAAAgA&#10;h07iQK60VR/tAQAA5wMAAA4AAAAAAAAAAQAgAAAAJgEAAGRycy9lMm9Eb2MueG1sUEsFBgAAAAAG&#10;AAYAWQEAAIUFAAAAAA==&#10;">
                <v:fill on="f" focussize="0,0"/>
                <v:stroke color="#000000" joinstyle="round"/>
                <v:imagedata o:title=""/>
                <o:lock v:ext="edit" aspectratio="f"/>
              </v:shape>
            </w:pict>
          </mc:Fallback>
        </mc:AlternateContent>
      </w:r>
      <w:r>
        <w:rPr>
          <w:rFonts w:hint="eastAsia" w:ascii="黑体" w:hAnsi="Times New Roman" w:eastAsia="黑体"/>
          <w:sz w:val="28"/>
          <w:szCs w:val="28"/>
        </w:rPr>
        <w:t>鄂中银普惠函[202</w:t>
      </w:r>
      <w:r>
        <w:rPr>
          <w:rFonts w:hint="eastAsia" w:ascii="黑体" w:hAnsi="Times New Roman" w:eastAsia="黑体"/>
          <w:sz w:val="28"/>
          <w:szCs w:val="28"/>
          <w:lang w:val="en-US" w:eastAsia="zh-CN"/>
        </w:rPr>
        <w:t>2</w:t>
      </w:r>
      <w:r>
        <w:rPr>
          <w:rFonts w:hint="eastAsia" w:ascii="黑体" w:hAnsi="Times New Roman" w:eastAsia="黑体"/>
          <w:sz w:val="28"/>
          <w:szCs w:val="28"/>
        </w:rPr>
        <w:t>]</w:t>
      </w:r>
      <w:r>
        <w:rPr>
          <w:rFonts w:hint="eastAsia" w:ascii="黑体" w:hAnsi="Times New Roman" w:eastAsia="黑体"/>
          <w:sz w:val="28"/>
          <w:szCs w:val="28"/>
          <w:lang w:val="en-US" w:eastAsia="zh-CN"/>
        </w:rPr>
        <w:t>137</w:t>
      </w:r>
      <w:r>
        <w:rPr>
          <w:rFonts w:hint="eastAsia" w:ascii="黑体" w:hAnsi="Times New Roman" w:eastAsia="黑体"/>
          <w:sz w:val="28"/>
          <w:szCs w:val="28"/>
        </w:rPr>
        <w:t>号                   签发人：</w:t>
      </w:r>
      <w:r>
        <w:rPr>
          <w:rFonts w:hint="eastAsia" w:ascii="黑体" w:hAnsi="Times New Roman" w:eastAsia="黑体"/>
          <w:sz w:val="28"/>
          <w:szCs w:val="28"/>
          <w:lang w:val="en-US" w:eastAsia="zh-CN"/>
        </w:rPr>
        <w:t xml:space="preserve">余丹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6"/>
          <w:szCs w:val="36"/>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关于发送开放式核心企业供应链模式标准的通知</w:t>
      </w:r>
      <w:bookmarkStart w:id="0" w:name="_GoBack"/>
      <w:bookmarkEnd w:id="0"/>
    </w:p>
    <w:p>
      <w:pPr>
        <w:jc w:val="center"/>
        <w:rPr>
          <w:rFonts w:hint="eastAsia" w:ascii="仿宋" w:hAnsi="仿宋" w:eastAsia="仿宋" w:cs="仿宋"/>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各市州分支行、武汉市各分支行，省分行营业部：</w:t>
      </w:r>
    </w:p>
    <w:p>
      <w:pPr>
        <w:ind w:firstLine="56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坚持核心客户供应链批量拓客模式，是普惠金融坚守“风控第一，质量第一”原则，实现健康可持续发展的基石。继续围绕“五大系˙十大户˙百家链式惠贷”展业主线，科学优选实力核心企业，拓宽思路优化合作模式，拓宽链式惠贷合作面，点面结合做大上下游客群项目储备，是普惠金融批量拓客的倍增器，稳定信贷资产质量的压舱石。为解放思想、积极扩面，帮助全辖优选重点核心企业，形成“一个优质的‘三位一体’授信客户即作为一户核心企业”的发展理念，打造“一链一策”“一企一策”差异化模式，紧贴市场、不拘一格、夯实储备、优化结构，省行制定了《开放式核心企业供应链模式标准》（详见附件1），具体要求如下：</w:t>
      </w:r>
    </w:p>
    <w:p>
      <w:pPr>
        <w:ind w:firstLine="56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1、适用规则</w:t>
      </w:r>
    </w:p>
    <w:p>
      <w:pPr>
        <w:ind w:firstLine="56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在无法</w:t>
      </w:r>
      <w:r>
        <w:rPr>
          <w:rFonts w:hint="eastAsia" w:ascii="仿宋" w:hAnsi="仿宋" w:eastAsia="仿宋" w:cs="仿宋"/>
          <w:sz w:val="28"/>
          <w:szCs w:val="28"/>
          <w:lang w:val="en-US" w:eastAsia="zh-CN"/>
        </w:rPr>
        <w:t>通过“应收账款确认、应收账款质押对账、提供连带责任担保、签署差额补足协议”等捆</w:t>
      </w:r>
      <w:r>
        <w:rPr>
          <w:rFonts w:hint="default" w:ascii="仿宋" w:hAnsi="仿宋" w:eastAsia="仿宋" w:cs="仿宋"/>
          <w:sz w:val="28"/>
          <w:szCs w:val="28"/>
          <w:lang w:val="en-US" w:eastAsia="zh-CN"/>
        </w:rPr>
        <w:t>绑核心企业信用或锁定第一还款来源方式叙做传统核心企业供应链模式业务时，</w:t>
      </w:r>
      <w:r>
        <w:rPr>
          <w:rFonts w:hint="eastAsia" w:ascii="仿宋" w:hAnsi="仿宋" w:eastAsia="仿宋" w:cs="仿宋"/>
          <w:sz w:val="28"/>
          <w:szCs w:val="28"/>
          <w:lang w:val="en-US" w:eastAsia="zh-CN"/>
        </w:rPr>
        <w:t>可</w:t>
      </w:r>
      <w:r>
        <w:rPr>
          <w:rFonts w:hint="default" w:ascii="仿宋" w:hAnsi="仿宋" w:eastAsia="仿宋" w:cs="仿宋"/>
          <w:sz w:val="28"/>
          <w:szCs w:val="28"/>
          <w:lang w:val="en-US" w:eastAsia="zh-CN"/>
        </w:rPr>
        <w:t>按照“开放式核心企业供应链模式标准”进行批量拓客。</w:t>
      </w:r>
    </w:p>
    <w:p>
      <w:pPr>
        <w:ind w:firstLine="56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2、申报流程</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各行先进行核心客户供应链模式申报，再进行单户项目申报。我部已于2022年5月24日下发通知，取消各行以行发文向省行上报供应链模式的审批流程，各行不需要撰写大量文字，仅需填写《五大系•十大户•百家链式惠贷模式简化审批表》（详见附件2），向省行提交模式申报单即可发起简化审批。</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请各行组织学习，贯彻落实到四季度储备项目拓客过程中。如有问题可联系授信审批团队，</w:t>
      </w:r>
      <w:r>
        <w:rPr>
          <w:rFonts w:hint="eastAsia" w:ascii="仿宋" w:hAnsi="仿宋" w:eastAsia="仿宋" w:cs="仿宋"/>
          <w:sz w:val="28"/>
          <w:szCs w:val="28"/>
          <w:lang w:val="en-US" w:eastAsia="zh-CN"/>
        </w:rPr>
        <w:t>联系人：吴念婷，电话：027-85519963。</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特此通知</w:t>
      </w:r>
    </w:p>
    <w:p>
      <w:pPr>
        <w:ind w:firstLine="560"/>
        <w:jc w:val="both"/>
        <w:rPr>
          <w:rFonts w:hint="eastAsia" w:ascii="仿宋" w:hAnsi="仿宋" w:eastAsia="仿宋" w:cs="仿宋"/>
          <w:sz w:val="28"/>
          <w:szCs w:val="28"/>
          <w:lang w:val="en-US" w:eastAsia="zh-CN"/>
        </w:rPr>
      </w:pP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1、开放式核心企业供应链模式标准</w:t>
      </w:r>
    </w:p>
    <w:p>
      <w:pPr>
        <w:ind w:firstLine="56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2、五大系•十大户•百家链式惠贷模式简化审批表</w:t>
      </w:r>
    </w:p>
    <w:p>
      <w:pPr>
        <w:ind w:firstLine="560"/>
        <w:jc w:val="both"/>
        <w:rPr>
          <w:rFonts w:hint="eastAsia" w:ascii="仿宋" w:hAnsi="仿宋" w:eastAsia="仿宋" w:cs="仿宋"/>
          <w:sz w:val="28"/>
          <w:szCs w:val="28"/>
          <w:lang w:val="en-US" w:eastAsia="zh-CN"/>
        </w:rPr>
      </w:pPr>
    </w:p>
    <w:p>
      <w:pPr>
        <w:ind w:firstLine="560"/>
        <w:jc w:val="both"/>
        <w:rPr>
          <w:rFonts w:hint="eastAsia" w:ascii="仿宋" w:hAnsi="仿宋" w:eastAsia="仿宋" w:cs="仿宋"/>
          <w:sz w:val="28"/>
          <w:szCs w:val="28"/>
          <w:lang w:val="en-US" w:eastAsia="zh-CN"/>
        </w:rPr>
      </w:pPr>
    </w:p>
    <w:p>
      <w:pPr>
        <w:ind w:firstLine="560"/>
        <w:jc w:val="both"/>
        <w:rPr>
          <w:rFonts w:hint="eastAsia" w:ascii="仿宋" w:hAnsi="仿宋" w:eastAsia="仿宋" w:cs="仿宋"/>
          <w:sz w:val="28"/>
          <w:szCs w:val="28"/>
          <w:lang w:val="en-US" w:eastAsia="zh-CN"/>
        </w:rPr>
      </w:pPr>
    </w:p>
    <w:p>
      <w:pPr>
        <w:ind w:firstLine="560"/>
        <w:jc w:val="both"/>
        <w:rPr>
          <w:rFonts w:hint="eastAsia" w:ascii="仿宋" w:hAnsi="仿宋" w:eastAsia="仿宋" w:cs="仿宋"/>
          <w:sz w:val="28"/>
          <w:szCs w:val="28"/>
          <w:lang w:val="en-US" w:eastAsia="zh-CN"/>
        </w:rPr>
      </w:pPr>
    </w:p>
    <w:p>
      <w:pPr>
        <w:ind w:firstLine="56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湖北省分行普惠金融事业部（乡村振兴金融部）</w:t>
      </w:r>
    </w:p>
    <w:p>
      <w:pPr>
        <w:ind w:firstLine="56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2022年10月21日</w:t>
      </w:r>
    </w:p>
    <w:p>
      <w:pPr>
        <w:keepNext w:val="0"/>
        <w:keepLines w:val="0"/>
        <w:pageBreakBefore w:val="0"/>
        <w:widowControl w:val="0"/>
        <w:kinsoku/>
        <w:wordWrap/>
        <w:overflowPunct/>
        <w:topLinePunct w:val="0"/>
        <w:autoSpaceDE/>
        <w:autoSpaceDN/>
        <w:bidi w:val="0"/>
        <w:spacing w:line="520" w:lineRule="exact"/>
        <w:ind w:left="0" w:leftChars="0" w:firstLine="600" w:firstLineChars="200"/>
        <w:jc w:val="left"/>
        <w:textAlignment w:val="auto"/>
        <w:rPr>
          <w:rFonts w:hint="eastAsia" w:ascii="仿宋" w:hAnsi="仿宋" w:eastAsia="仿宋" w:cs="仿宋"/>
          <w:kern w:val="2"/>
          <w:sz w:val="30"/>
          <w:szCs w:val="30"/>
          <w:lang w:val="en-US" w:eastAsia="zh-CN" w:bidi="ar"/>
        </w:rPr>
      </w:pPr>
    </w:p>
    <w:p>
      <w:pPr>
        <w:keepNext w:val="0"/>
        <w:keepLines w:val="0"/>
        <w:pageBreakBefore w:val="0"/>
        <w:widowControl w:val="0"/>
        <w:kinsoku/>
        <w:wordWrap/>
        <w:overflowPunct/>
        <w:topLinePunct w:val="0"/>
        <w:autoSpaceDE/>
        <w:autoSpaceDN/>
        <w:bidi w:val="0"/>
        <w:spacing w:line="520" w:lineRule="exact"/>
        <w:ind w:left="0" w:leftChars="0" w:firstLine="600" w:firstLineChars="200"/>
        <w:jc w:val="left"/>
        <w:textAlignment w:val="auto"/>
        <w:rPr>
          <w:rFonts w:hint="eastAsia" w:ascii="仿宋" w:hAnsi="仿宋" w:eastAsia="仿宋" w:cs="仿宋"/>
          <w:kern w:val="2"/>
          <w:sz w:val="30"/>
          <w:szCs w:val="30"/>
          <w:lang w:val="en-US" w:eastAsia="zh-CN" w:bidi="ar"/>
        </w:rPr>
      </w:pPr>
    </w:p>
    <w:p>
      <w:pPr>
        <w:keepNext w:val="0"/>
        <w:keepLines w:val="0"/>
        <w:pageBreakBefore w:val="0"/>
        <w:widowControl w:val="0"/>
        <w:kinsoku/>
        <w:wordWrap/>
        <w:overflowPunct/>
        <w:topLinePunct w:val="0"/>
        <w:autoSpaceDE/>
        <w:autoSpaceDN/>
        <w:bidi w:val="0"/>
        <w:spacing w:line="520" w:lineRule="exact"/>
        <w:jc w:val="both"/>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spacing w:line="520" w:lineRule="exact"/>
        <w:ind w:firstLine="5400" w:firstLineChars="1800"/>
        <w:jc w:val="both"/>
        <w:textAlignment w:val="auto"/>
        <w:rPr>
          <w:rFonts w:hint="eastAsia" w:ascii="仿宋" w:hAnsi="仿宋" w:eastAsia="仿宋" w:cs="仿宋"/>
          <w:sz w:val="30"/>
          <w:szCs w:val="3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6B"/>
    <w:rsid w:val="003E1894"/>
    <w:rsid w:val="00631E6B"/>
    <w:rsid w:val="00906A86"/>
    <w:rsid w:val="00B96B6B"/>
    <w:rsid w:val="00C85938"/>
    <w:rsid w:val="01991758"/>
    <w:rsid w:val="060E63FC"/>
    <w:rsid w:val="06CF19BA"/>
    <w:rsid w:val="0C25798E"/>
    <w:rsid w:val="0C4B7201"/>
    <w:rsid w:val="0C8E781E"/>
    <w:rsid w:val="13D979A6"/>
    <w:rsid w:val="14D63F3C"/>
    <w:rsid w:val="164E2547"/>
    <w:rsid w:val="18094A37"/>
    <w:rsid w:val="1AFC7D77"/>
    <w:rsid w:val="212B1803"/>
    <w:rsid w:val="25061949"/>
    <w:rsid w:val="2701248A"/>
    <w:rsid w:val="296C7081"/>
    <w:rsid w:val="2E455BCB"/>
    <w:rsid w:val="2E826A4C"/>
    <w:rsid w:val="30E32A7C"/>
    <w:rsid w:val="346B2228"/>
    <w:rsid w:val="35A34C73"/>
    <w:rsid w:val="36381812"/>
    <w:rsid w:val="38D470BC"/>
    <w:rsid w:val="3B763098"/>
    <w:rsid w:val="3C756ADE"/>
    <w:rsid w:val="41827290"/>
    <w:rsid w:val="4992760D"/>
    <w:rsid w:val="4AAB0E6B"/>
    <w:rsid w:val="4DB85D23"/>
    <w:rsid w:val="4E8B0F89"/>
    <w:rsid w:val="4EBA0905"/>
    <w:rsid w:val="4EED2299"/>
    <w:rsid w:val="501A2F44"/>
    <w:rsid w:val="55507E46"/>
    <w:rsid w:val="5D731DA1"/>
    <w:rsid w:val="5E173615"/>
    <w:rsid w:val="62DC26BD"/>
    <w:rsid w:val="66D96576"/>
    <w:rsid w:val="67076684"/>
    <w:rsid w:val="69AF172F"/>
    <w:rsid w:val="69B86773"/>
    <w:rsid w:val="6A106094"/>
    <w:rsid w:val="6BDF5FFA"/>
    <w:rsid w:val="71AC6EC5"/>
    <w:rsid w:val="72B27216"/>
    <w:rsid w:val="758E6892"/>
    <w:rsid w:val="7D720B96"/>
    <w:rsid w:val="7F7C4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页眉 Char"/>
    <w:basedOn w:val="6"/>
    <w:link w:val="4"/>
    <w:uiPriority w:val="0"/>
    <w:rPr>
      <w:kern w:val="2"/>
      <w:sz w:val="18"/>
      <w:szCs w:val="18"/>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411</Characters>
  <Lines>3</Lines>
  <Paragraphs>1</Paragraphs>
  <TotalTime>24</TotalTime>
  <ScaleCrop>false</ScaleCrop>
  <LinksUpToDate>false</LinksUpToDate>
  <CharactersWithSpaces>481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2022-02-26T06:18:00Z</dcterms:created>
  <dc:creator>8749903</dc:creator>
  <cp:lastModifiedBy>0671835</cp:lastModifiedBy>
  <cp:lastPrinted>2022-10-21T09:22:29Z</cp:lastPrinted>
  <dcterms:modified xsi:type="dcterms:W3CDTF">2022-10-21T09:52:24Z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A3CB61609F5F44BBB6F64261F5616478</vt:lpwstr>
  </property>
</Properties>
</file>