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306CCF">
      <w:pPr>
        <w:spacing w:before="179" w:line="219" w:lineRule="auto"/>
        <w:ind w:left="246"/>
        <w:rPr>
          <w:rFonts w:ascii="宋体" w:hAnsi="宋体" w:eastAsia="宋体" w:cs="宋体"/>
          <w:sz w:val="45"/>
          <w:szCs w:val="45"/>
        </w:rPr>
      </w:pPr>
      <w:r>
        <w:rPr>
          <w:rFonts w:ascii="宋体" w:hAnsi="宋体" w:eastAsia="宋体" w:cs="宋体"/>
          <w:b/>
          <w:bCs/>
          <w:spacing w:val="-17"/>
          <w:sz w:val="45"/>
          <w:szCs w:val="45"/>
        </w:rPr>
        <w:t>关于转发《咸宁市自然资源和规划局贯彻落</w:t>
      </w:r>
    </w:p>
    <w:p w14:paraId="75C42B41">
      <w:pPr>
        <w:spacing w:before="13" w:line="219" w:lineRule="auto"/>
        <w:ind w:left="426"/>
        <w:rPr>
          <w:rFonts w:ascii="宋体" w:hAnsi="宋体" w:eastAsia="宋体" w:cs="宋体"/>
          <w:sz w:val="45"/>
          <w:szCs w:val="45"/>
        </w:rPr>
      </w:pPr>
      <w:r>
        <w:rPr>
          <w:rFonts w:ascii="宋体" w:hAnsi="宋体" w:eastAsia="宋体" w:cs="宋体"/>
          <w:b/>
          <w:bCs/>
          <w:spacing w:val="-12"/>
          <w:sz w:val="45"/>
          <w:szCs w:val="45"/>
        </w:rPr>
        <w:t>实以控制成本为核心优化营商环境若干措</w:t>
      </w:r>
    </w:p>
    <w:p w14:paraId="36E889D7">
      <w:pPr>
        <w:spacing w:before="20" w:line="220" w:lineRule="auto"/>
        <w:ind w:left="2406"/>
        <w:rPr>
          <w:rFonts w:ascii="宋体" w:hAnsi="宋体" w:eastAsia="宋体" w:cs="宋体"/>
          <w:sz w:val="45"/>
          <w:szCs w:val="45"/>
        </w:rPr>
      </w:pPr>
      <w:r>
        <w:rPr>
          <w:rFonts w:ascii="宋体" w:hAnsi="宋体" w:eastAsia="宋体" w:cs="宋体"/>
          <w:b/>
          <w:bCs/>
          <w:spacing w:val="-11"/>
          <w:sz w:val="45"/>
          <w:szCs w:val="45"/>
        </w:rPr>
        <w:t>施实施方案》的通知</w:t>
      </w:r>
    </w:p>
    <w:p w14:paraId="7EC15113">
      <w:pPr>
        <w:spacing w:line="290" w:lineRule="auto"/>
        <w:rPr>
          <w:rFonts w:ascii="Arial"/>
          <w:sz w:val="21"/>
        </w:rPr>
      </w:pPr>
    </w:p>
    <w:p w14:paraId="7E453EB4">
      <w:pPr>
        <w:spacing w:line="291" w:lineRule="auto"/>
        <w:rPr>
          <w:rFonts w:ascii="Arial"/>
          <w:sz w:val="21"/>
        </w:rPr>
      </w:pPr>
    </w:p>
    <w:p w14:paraId="0752D9C2">
      <w:pPr>
        <w:spacing w:before="114" w:line="221" w:lineRule="auto"/>
        <w:ind w:left="240"/>
        <w:rPr>
          <w:rFonts w:ascii="仿宋" w:hAnsi="仿宋" w:eastAsia="仿宋" w:cs="仿宋"/>
          <w:sz w:val="35"/>
          <w:szCs w:val="35"/>
        </w:rPr>
      </w:pPr>
      <w:r>
        <w:rPr>
          <w:rFonts w:ascii="仿宋" w:hAnsi="仿宋" w:eastAsia="仿宋" w:cs="仿宋"/>
          <w:spacing w:val="-33"/>
          <w:sz w:val="35"/>
          <w:szCs w:val="35"/>
        </w:rPr>
        <w:t>局属各单位：</w:t>
      </w:r>
    </w:p>
    <w:p w14:paraId="7F85AEEB">
      <w:pPr>
        <w:spacing w:before="142" w:line="286" w:lineRule="auto"/>
        <w:ind w:left="240" w:right="120" w:firstLine="630"/>
        <w:jc w:val="both"/>
        <w:rPr>
          <w:rFonts w:ascii="仿宋" w:hAnsi="仿宋" w:eastAsia="仿宋" w:cs="仿宋"/>
          <w:sz w:val="35"/>
          <w:szCs w:val="35"/>
        </w:rPr>
      </w:pPr>
      <w:r>
        <w:rPr>
          <w:rFonts w:ascii="仿宋" w:hAnsi="仿宋" w:eastAsia="仿宋" w:cs="仿宋"/>
          <w:spacing w:val="-30"/>
          <w:sz w:val="35"/>
          <w:szCs w:val="35"/>
        </w:rPr>
        <w:t>现将《咸宁市自然资源和规划局贯彻落实以控制成本为</w:t>
      </w:r>
      <w:r>
        <w:rPr>
          <w:rFonts w:ascii="仿宋" w:hAnsi="仿宋" w:eastAsia="仿宋" w:cs="仿宋"/>
          <w:spacing w:val="6"/>
          <w:sz w:val="35"/>
          <w:szCs w:val="35"/>
        </w:rPr>
        <w:t xml:space="preserve"> </w:t>
      </w:r>
      <w:r>
        <w:rPr>
          <w:rFonts w:ascii="仿宋" w:hAnsi="仿宋" w:eastAsia="仿宋" w:cs="仿宋"/>
          <w:spacing w:val="-30"/>
          <w:sz w:val="35"/>
          <w:szCs w:val="35"/>
        </w:rPr>
        <w:t>核心优化营商环境若干措施实施方案》转发给你们，请认真</w:t>
      </w:r>
      <w:r>
        <w:rPr>
          <w:rFonts w:ascii="仿宋" w:hAnsi="仿宋" w:eastAsia="仿宋" w:cs="仿宋"/>
          <w:spacing w:val="8"/>
          <w:sz w:val="35"/>
          <w:szCs w:val="35"/>
        </w:rPr>
        <w:t xml:space="preserve"> </w:t>
      </w:r>
      <w:r>
        <w:rPr>
          <w:rFonts w:ascii="仿宋" w:hAnsi="仿宋" w:eastAsia="仿宋" w:cs="仿宋"/>
          <w:spacing w:val="-32"/>
          <w:sz w:val="35"/>
          <w:szCs w:val="35"/>
        </w:rPr>
        <w:t>学习，抓好贯彻落实。</w:t>
      </w:r>
    </w:p>
    <w:p w14:paraId="26FCBBB8">
      <w:pPr>
        <w:spacing w:line="261" w:lineRule="auto"/>
        <w:rPr>
          <w:rFonts w:ascii="Arial"/>
          <w:sz w:val="21"/>
        </w:rPr>
      </w:pPr>
    </w:p>
    <w:p w14:paraId="5D38DF3C">
      <w:pPr>
        <w:spacing w:line="261" w:lineRule="auto"/>
        <w:rPr>
          <w:rFonts w:ascii="Arial"/>
          <w:sz w:val="21"/>
        </w:rPr>
      </w:pPr>
    </w:p>
    <w:p w14:paraId="0AD4B273">
      <w:pPr>
        <w:spacing w:line="261" w:lineRule="auto"/>
        <w:rPr>
          <w:rFonts w:ascii="Arial"/>
          <w:sz w:val="21"/>
        </w:rPr>
      </w:pPr>
    </w:p>
    <w:p w14:paraId="2F904663">
      <w:pPr>
        <w:spacing w:line="261" w:lineRule="auto"/>
        <w:rPr>
          <w:rFonts w:ascii="Arial"/>
          <w:sz w:val="21"/>
        </w:rPr>
      </w:pPr>
    </w:p>
    <w:p w14:paraId="08B61F66">
      <w:pPr>
        <w:spacing w:before="114" w:line="312" w:lineRule="auto"/>
        <w:ind w:left="4700" w:right="1057" w:hanging="650"/>
        <w:jc w:val="right"/>
        <w:rPr>
          <w:rFonts w:ascii="仿宋" w:hAnsi="仿宋" w:eastAsia="仿宋" w:cs="仿宋"/>
          <w:sz w:val="35"/>
          <w:szCs w:val="35"/>
        </w:rPr>
      </w:pPr>
      <w:r>
        <w:rPr>
          <w:rFonts w:ascii="仿宋" w:hAnsi="仿宋" w:eastAsia="仿宋" w:cs="仿宋"/>
          <w:spacing w:val="-25"/>
          <w:sz w:val="35"/>
          <w:szCs w:val="35"/>
        </w:rPr>
        <w:t>通山县自然资源和规划局</w:t>
      </w:r>
      <w:r>
        <w:rPr>
          <w:rFonts w:ascii="仿宋" w:hAnsi="仿宋" w:eastAsia="仿宋" w:cs="仿宋"/>
          <w:spacing w:val="6"/>
          <w:sz w:val="35"/>
          <w:szCs w:val="35"/>
        </w:rPr>
        <w:t xml:space="preserve"> </w:t>
      </w:r>
      <w:r>
        <w:rPr>
          <w:rFonts w:ascii="仿宋" w:hAnsi="仿宋" w:eastAsia="仿宋" w:cs="仿宋"/>
          <w:spacing w:val="25"/>
          <w:sz w:val="35"/>
          <w:szCs w:val="35"/>
        </w:rPr>
        <w:t>2023年4月27日</w:t>
      </w:r>
    </w:p>
    <w:p w14:paraId="6F8330D6">
      <w:pPr>
        <w:spacing w:line="312" w:lineRule="auto"/>
        <w:jc w:val="right"/>
        <w:rPr>
          <w:rFonts w:ascii="仿宋" w:hAnsi="仿宋" w:eastAsia="仿宋" w:cs="仿宋"/>
          <w:sz w:val="35"/>
          <w:szCs w:val="35"/>
        </w:rPr>
        <w:sectPr>
          <w:footerReference r:id="rId5" w:type="default"/>
          <w:pgSz w:w="11870" w:h="16930"/>
          <w:pgMar w:top="1439" w:right="1629" w:bottom="1409" w:left="1549" w:header="0" w:footer="1349" w:gutter="0"/>
          <w:pgNumType w:fmt="decimal"/>
          <w:cols w:space="720" w:num="1"/>
        </w:sectPr>
      </w:pPr>
    </w:p>
    <w:p w14:paraId="7BFF7F9A">
      <w:pPr>
        <w:spacing w:line="294" w:lineRule="auto"/>
        <w:rPr>
          <w:rFonts w:ascii="Arial"/>
          <w:sz w:val="21"/>
        </w:rPr>
      </w:pPr>
    </w:p>
    <w:p w14:paraId="784C4EA0">
      <w:pPr>
        <w:spacing w:line="295" w:lineRule="auto"/>
        <w:rPr>
          <w:rFonts w:ascii="Arial"/>
          <w:sz w:val="21"/>
        </w:rPr>
      </w:pPr>
    </w:p>
    <w:p w14:paraId="486A9EF4">
      <w:pPr>
        <w:spacing w:before="159" w:line="207" w:lineRule="auto"/>
        <w:ind w:left="1816"/>
        <w:rPr>
          <w:rFonts w:ascii="宋体" w:hAnsi="宋体" w:eastAsia="宋体" w:cs="宋体"/>
          <w:sz w:val="49"/>
          <w:szCs w:val="49"/>
        </w:rPr>
      </w:pPr>
      <w:r>
        <w:rPr>
          <w:rFonts w:ascii="宋体" w:hAnsi="宋体" w:eastAsia="宋体" w:cs="宋体"/>
          <w:b/>
          <w:bCs/>
          <w:spacing w:val="-60"/>
          <w:sz w:val="49"/>
          <w:szCs w:val="49"/>
        </w:rPr>
        <w:t>市自然资源和规划局关于印发</w:t>
      </w:r>
    </w:p>
    <w:p w14:paraId="38C87557">
      <w:pPr>
        <w:spacing w:line="192" w:lineRule="auto"/>
        <w:ind w:left="746"/>
        <w:rPr>
          <w:rFonts w:ascii="宋体" w:hAnsi="宋体" w:eastAsia="宋体" w:cs="宋体"/>
          <w:sz w:val="50"/>
          <w:szCs w:val="50"/>
        </w:rPr>
      </w:pPr>
      <w:r>
        <w:rPr>
          <w:rFonts w:ascii="宋体" w:hAnsi="宋体" w:eastAsia="宋体" w:cs="宋体"/>
          <w:b/>
          <w:bCs/>
          <w:spacing w:val="-46"/>
          <w:w w:val="95"/>
          <w:sz w:val="50"/>
          <w:szCs w:val="50"/>
        </w:rPr>
        <w:t>贯彻落实以控制成本为核心优化营商环境</w:t>
      </w:r>
    </w:p>
    <w:p w14:paraId="3732FD22">
      <w:pPr>
        <w:spacing w:before="1" w:line="218" w:lineRule="auto"/>
        <w:ind w:left="2246"/>
        <w:rPr>
          <w:rFonts w:ascii="宋体" w:hAnsi="宋体" w:eastAsia="宋体" w:cs="宋体"/>
          <w:sz w:val="50"/>
          <w:szCs w:val="50"/>
        </w:rPr>
      </w:pPr>
      <w:r>
        <w:rPr>
          <w:rFonts w:ascii="宋体" w:hAnsi="宋体" w:eastAsia="宋体" w:cs="宋体"/>
          <w:b/>
          <w:bCs/>
          <w:spacing w:val="-41"/>
          <w:w w:val="94"/>
          <w:sz w:val="50"/>
          <w:szCs w:val="50"/>
        </w:rPr>
        <w:t>若干措施实施方案的通知</w:t>
      </w:r>
    </w:p>
    <w:p w14:paraId="47091041">
      <w:pPr>
        <w:spacing w:line="256" w:lineRule="auto"/>
        <w:rPr>
          <w:rFonts w:ascii="Arial"/>
          <w:sz w:val="21"/>
        </w:rPr>
      </w:pPr>
    </w:p>
    <w:p w14:paraId="3E34ACB6">
      <w:pPr>
        <w:spacing w:line="256" w:lineRule="auto"/>
        <w:rPr>
          <w:rFonts w:ascii="Arial"/>
          <w:sz w:val="21"/>
        </w:rPr>
      </w:pPr>
    </w:p>
    <w:p w14:paraId="474BD16E">
      <w:pPr>
        <w:pStyle w:val="2"/>
        <w:spacing w:before="120" w:line="221" w:lineRule="auto"/>
        <w:ind w:left="259"/>
        <w:rPr>
          <w:sz w:val="37"/>
          <w:szCs w:val="37"/>
        </w:rPr>
      </w:pPr>
      <w:r>
        <w:rPr>
          <w:spacing w:val="-42"/>
          <w:sz w:val="37"/>
          <w:szCs w:val="37"/>
        </w:rPr>
        <w:t>各县(市、区)局，局机关各科室、局属各单位：</w:t>
      </w:r>
    </w:p>
    <w:p w14:paraId="20245D9E">
      <w:pPr>
        <w:pStyle w:val="2"/>
        <w:spacing w:before="140" w:line="258" w:lineRule="auto"/>
        <w:ind w:left="259" w:right="265" w:firstLine="595"/>
        <w:jc w:val="both"/>
        <w:rPr>
          <w:sz w:val="37"/>
          <w:szCs w:val="37"/>
        </w:rPr>
      </w:pPr>
      <w:r>
        <w:rPr>
          <w:spacing w:val="-48"/>
          <w:sz w:val="37"/>
          <w:szCs w:val="37"/>
        </w:rPr>
        <w:t>《咸宁市自然资源和规划局贯彻落实以控制</w:t>
      </w:r>
      <w:r>
        <w:rPr>
          <w:spacing w:val="-49"/>
          <w:sz w:val="37"/>
          <w:szCs w:val="37"/>
        </w:rPr>
        <w:t>成本为核心优</w:t>
      </w:r>
      <w:r>
        <w:rPr>
          <w:sz w:val="37"/>
          <w:szCs w:val="37"/>
        </w:rPr>
        <w:t xml:space="preserve"> </w:t>
      </w:r>
      <w:r>
        <w:rPr>
          <w:spacing w:val="-58"/>
          <w:w w:val="97"/>
          <w:sz w:val="37"/>
          <w:szCs w:val="37"/>
        </w:rPr>
        <w:t>化营商环境若干措施实施方案》已经局领导同意，现印发给你们，</w:t>
      </w:r>
      <w:r>
        <w:rPr>
          <w:spacing w:val="47"/>
          <w:sz w:val="37"/>
          <w:szCs w:val="37"/>
        </w:rPr>
        <w:t xml:space="preserve"> </w:t>
      </w:r>
      <w:r>
        <w:rPr>
          <w:spacing w:val="-51"/>
          <w:sz w:val="37"/>
          <w:szCs w:val="37"/>
        </w:rPr>
        <w:t>请认真贯彻执行。</w:t>
      </w:r>
    </w:p>
    <w:p w14:paraId="5695197C">
      <w:pPr>
        <w:spacing w:line="296" w:lineRule="auto"/>
        <w:rPr>
          <w:rFonts w:ascii="Arial"/>
          <w:sz w:val="21"/>
        </w:rPr>
      </w:pPr>
    </w:p>
    <w:p w14:paraId="2CEEFDF3">
      <w:pPr>
        <w:spacing w:line="296" w:lineRule="auto"/>
        <w:rPr>
          <w:rFonts w:ascii="Arial"/>
          <w:sz w:val="21"/>
        </w:rPr>
      </w:pPr>
    </w:p>
    <w:p w14:paraId="795BC3B1">
      <w:pPr>
        <w:spacing w:line="297" w:lineRule="auto"/>
        <w:rPr>
          <w:rFonts w:ascii="Arial"/>
          <w:sz w:val="21"/>
        </w:rPr>
      </w:pPr>
    </w:p>
    <w:p w14:paraId="177D304F">
      <w:pPr>
        <w:spacing w:before="114" w:line="312" w:lineRule="auto"/>
        <w:ind w:left="4700" w:right="1057" w:hanging="650"/>
        <w:jc w:val="right"/>
        <w:rPr>
          <w:rFonts w:ascii="仿宋" w:hAnsi="仿宋" w:eastAsia="仿宋" w:cs="仿宋"/>
          <w:sz w:val="35"/>
          <w:szCs w:val="35"/>
        </w:rPr>
      </w:pPr>
      <w:r>
        <w:rPr>
          <w:rFonts w:hint="eastAsia" w:ascii="仿宋" w:hAnsi="仿宋" w:eastAsia="仿宋" w:cs="仿宋"/>
          <w:spacing w:val="-25"/>
          <w:sz w:val="35"/>
          <w:szCs w:val="35"/>
          <w:lang w:eastAsia="zh-CN"/>
        </w:rPr>
        <w:t>咸宁市</w:t>
      </w:r>
      <w:r>
        <w:rPr>
          <w:rFonts w:ascii="仿宋" w:hAnsi="仿宋" w:eastAsia="仿宋" w:cs="仿宋"/>
          <w:spacing w:val="-25"/>
          <w:sz w:val="35"/>
          <w:szCs w:val="35"/>
        </w:rPr>
        <w:t>自然资源和规划局</w:t>
      </w:r>
      <w:r>
        <w:rPr>
          <w:rFonts w:ascii="仿宋" w:hAnsi="仿宋" w:eastAsia="仿宋" w:cs="仿宋"/>
          <w:spacing w:val="6"/>
          <w:sz w:val="35"/>
          <w:szCs w:val="35"/>
        </w:rPr>
        <w:t xml:space="preserve"> </w:t>
      </w:r>
      <w:r>
        <w:rPr>
          <w:rFonts w:ascii="仿宋" w:hAnsi="仿宋" w:eastAsia="仿宋" w:cs="仿宋"/>
          <w:spacing w:val="25"/>
          <w:sz w:val="35"/>
          <w:szCs w:val="35"/>
        </w:rPr>
        <w:t>2023年</w:t>
      </w:r>
      <w:r>
        <w:rPr>
          <w:rFonts w:hint="eastAsia" w:ascii="仿宋" w:hAnsi="仿宋" w:eastAsia="仿宋" w:cs="仿宋"/>
          <w:spacing w:val="25"/>
          <w:sz w:val="35"/>
          <w:szCs w:val="35"/>
          <w:lang w:val="en-US" w:eastAsia="zh-CN"/>
        </w:rPr>
        <w:t>3</w:t>
      </w:r>
      <w:r>
        <w:rPr>
          <w:rFonts w:ascii="仿宋" w:hAnsi="仿宋" w:eastAsia="仿宋" w:cs="仿宋"/>
          <w:spacing w:val="25"/>
          <w:sz w:val="35"/>
          <w:szCs w:val="35"/>
        </w:rPr>
        <w:t>月</w:t>
      </w:r>
      <w:r>
        <w:rPr>
          <w:rFonts w:hint="eastAsia" w:ascii="仿宋" w:hAnsi="仿宋" w:eastAsia="仿宋" w:cs="仿宋"/>
          <w:spacing w:val="25"/>
          <w:sz w:val="35"/>
          <w:szCs w:val="35"/>
          <w:lang w:val="en-US" w:eastAsia="zh-CN"/>
        </w:rPr>
        <w:t>28</w:t>
      </w:r>
      <w:r>
        <w:rPr>
          <w:rFonts w:ascii="仿宋" w:hAnsi="仿宋" w:eastAsia="仿宋" w:cs="仿宋"/>
          <w:spacing w:val="25"/>
          <w:sz w:val="35"/>
          <w:szCs w:val="35"/>
        </w:rPr>
        <w:t>日</w:t>
      </w:r>
    </w:p>
    <w:p w14:paraId="5B2C8B1C">
      <w:pPr>
        <w:spacing w:line="312" w:lineRule="auto"/>
        <w:jc w:val="right"/>
        <w:rPr>
          <w:rFonts w:ascii="仿宋" w:hAnsi="仿宋" w:eastAsia="仿宋" w:cs="仿宋"/>
          <w:sz w:val="35"/>
          <w:szCs w:val="35"/>
        </w:rPr>
        <w:sectPr>
          <w:footerReference r:id="rId6" w:type="default"/>
          <w:pgSz w:w="11870" w:h="16930"/>
          <w:pgMar w:top="1439" w:right="1629" w:bottom="1409" w:left="1549" w:header="0" w:footer="1349" w:gutter="0"/>
          <w:pgNumType w:fmt="decimal"/>
          <w:cols w:space="720" w:num="1"/>
        </w:sectPr>
      </w:pPr>
    </w:p>
    <w:p w14:paraId="44A3FB95">
      <w:pPr>
        <w:spacing w:before="159" w:line="207" w:lineRule="auto"/>
        <w:jc w:val="center"/>
        <w:rPr>
          <w:rFonts w:hint="eastAsia" w:ascii="宋体" w:hAnsi="宋体" w:eastAsia="宋体" w:cs="宋体"/>
          <w:b/>
          <w:bCs/>
          <w:spacing w:val="-60"/>
          <w:sz w:val="49"/>
          <w:szCs w:val="49"/>
          <w:lang w:val="en-US" w:eastAsia="en-US"/>
        </w:rPr>
      </w:pPr>
      <w:r>
        <w:rPr>
          <w:rFonts w:hint="eastAsia" w:ascii="宋体" w:hAnsi="宋体" w:eastAsia="宋体" w:cs="宋体"/>
          <w:b/>
          <w:bCs/>
          <w:spacing w:val="-60"/>
          <w:sz w:val="49"/>
          <w:szCs w:val="49"/>
          <w:lang w:val="en-US" w:eastAsia="en-US"/>
        </w:rPr>
        <w:t>咸宁市自然资源和规划局</w:t>
      </w:r>
    </w:p>
    <w:p w14:paraId="74506907">
      <w:pPr>
        <w:spacing w:before="159" w:line="207" w:lineRule="auto"/>
        <w:jc w:val="center"/>
        <w:rPr>
          <w:rFonts w:hint="eastAsia" w:ascii="宋体" w:hAnsi="宋体" w:eastAsia="宋体" w:cs="宋体"/>
          <w:b/>
          <w:bCs/>
          <w:spacing w:val="-60"/>
          <w:sz w:val="49"/>
          <w:szCs w:val="49"/>
          <w:lang w:val="en-US" w:eastAsia="en-US"/>
        </w:rPr>
      </w:pPr>
      <w:r>
        <w:rPr>
          <w:rFonts w:hint="eastAsia" w:ascii="宋体" w:hAnsi="宋体" w:eastAsia="宋体" w:cs="宋体"/>
          <w:b/>
          <w:bCs/>
          <w:spacing w:val="-60"/>
          <w:sz w:val="49"/>
          <w:szCs w:val="49"/>
          <w:lang w:val="en-US" w:eastAsia="en-US"/>
        </w:rPr>
        <w:t>贯彻落实以控制成本为核心优化营商环境</w:t>
      </w:r>
    </w:p>
    <w:p w14:paraId="0C8E33D7">
      <w:pPr>
        <w:spacing w:before="159" w:line="207" w:lineRule="auto"/>
        <w:jc w:val="center"/>
        <w:rPr>
          <w:rFonts w:hint="eastAsia" w:ascii="宋体" w:hAnsi="宋体" w:eastAsia="宋体" w:cs="宋体"/>
          <w:b/>
          <w:bCs/>
          <w:spacing w:val="-60"/>
          <w:sz w:val="49"/>
          <w:szCs w:val="49"/>
          <w:lang w:val="en-US" w:eastAsia="en-US"/>
        </w:rPr>
      </w:pPr>
      <w:r>
        <w:rPr>
          <w:rFonts w:hint="eastAsia" w:ascii="宋体" w:hAnsi="宋体" w:eastAsia="宋体" w:cs="宋体"/>
          <w:b/>
          <w:bCs/>
          <w:spacing w:val="-60"/>
          <w:sz w:val="49"/>
          <w:szCs w:val="49"/>
          <w:lang w:val="en-US" w:eastAsia="en-US"/>
        </w:rPr>
        <w:t>若干措施实施方案</w:t>
      </w:r>
    </w:p>
    <w:p w14:paraId="2857EA1F">
      <w:pPr>
        <w:spacing w:line="315" w:lineRule="auto"/>
        <w:ind w:firstLine="596" w:firstLineChars="200"/>
        <w:rPr>
          <w:rFonts w:hint="eastAsia" w:ascii="仿宋" w:hAnsi="仿宋" w:eastAsia="仿宋" w:cs="仿宋"/>
          <w:snapToGrid w:val="0"/>
          <w:color w:val="000000"/>
          <w:spacing w:val="-11"/>
          <w:kern w:val="0"/>
          <w:sz w:val="32"/>
          <w:szCs w:val="32"/>
          <w:lang w:val="en-US" w:eastAsia="en-US" w:bidi="ar-SA"/>
        </w:rPr>
      </w:pPr>
    </w:p>
    <w:p w14:paraId="63736CF7">
      <w:pPr>
        <w:spacing w:line="315" w:lineRule="auto"/>
        <w:ind w:firstLine="596" w:firstLineChars="200"/>
        <w:rPr>
          <w:rFonts w:hint="eastAsia" w:ascii="仿宋" w:hAnsi="仿宋" w:eastAsia="仿宋" w:cs="仿宋"/>
          <w:snapToGrid w:val="0"/>
          <w:color w:val="000000"/>
          <w:spacing w:val="-11"/>
          <w:kern w:val="0"/>
          <w:sz w:val="32"/>
          <w:szCs w:val="32"/>
          <w:lang w:val="en-US" w:eastAsia="en-US" w:bidi="ar-SA"/>
        </w:rPr>
      </w:pPr>
    </w:p>
    <w:p w14:paraId="21DBF4FE">
      <w:pPr>
        <w:spacing w:line="315" w:lineRule="auto"/>
        <w:ind w:firstLine="596" w:firstLineChars="200"/>
        <w:rPr>
          <w:rFonts w:hint="eastAsia" w:ascii="仿宋" w:hAnsi="仿宋" w:eastAsia="仿宋" w:cs="仿宋"/>
          <w:snapToGrid w:val="0"/>
          <w:color w:val="000000"/>
          <w:spacing w:val="-11"/>
          <w:kern w:val="0"/>
          <w:sz w:val="32"/>
          <w:szCs w:val="32"/>
          <w:lang w:val="en-US" w:eastAsia="en-US" w:bidi="ar-SA"/>
        </w:rPr>
      </w:pPr>
      <w:r>
        <w:rPr>
          <w:rFonts w:hint="eastAsia" w:ascii="仿宋" w:hAnsi="仿宋" w:eastAsia="仿宋" w:cs="仿宋"/>
          <w:snapToGrid w:val="0"/>
          <w:color w:val="000000"/>
          <w:spacing w:val="-11"/>
          <w:kern w:val="0"/>
          <w:sz w:val="32"/>
          <w:szCs w:val="32"/>
          <w:lang w:val="en-US" w:eastAsia="en-US" w:bidi="ar-SA"/>
        </w:rPr>
        <w:t>为贯彻落实省、市优化营商环境工作部署，根据《省厅关于印发贯彻落实以控制成本为核心优化营商环境着干措施实施方案的通知》《市优化营商环境领导小组关于印发成宁市以控制成本为核心优化营商环境重点任务清单的通知》等精神，结合工作实箓呆馆虻癭赎蒿，特制定本方案。</w:t>
      </w:r>
    </w:p>
    <w:p w14:paraId="655C749F">
      <w:pPr>
        <w:spacing w:line="315" w:lineRule="auto"/>
        <w:rPr>
          <w:rFonts w:hint="eastAsia" w:ascii="仿宋" w:hAnsi="仿宋" w:eastAsia="仿宋" w:cs="仿宋"/>
          <w:snapToGrid w:val="0"/>
          <w:color w:val="000000"/>
          <w:spacing w:val="-11"/>
          <w:kern w:val="0"/>
          <w:sz w:val="32"/>
          <w:szCs w:val="32"/>
          <w:lang w:val="en-US" w:eastAsia="en-US" w:bidi="ar-SA"/>
        </w:rPr>
      </w:pPr>
      <w:r>
        <w:rPr>
          <w:rFonts w:hint="eastAsia" w:ascii="仿宋" w:hAnsi="仿宋" w:eastAsia="仿宋" w:cs="仿宋"/>
          <w:snapToGrid w:val="0"/>
          <w:color w:val="000000"/>
          <w:spacing w:val="-11"/>
          <w:kern w:val="0"/>
          <w:sz w:val="32"/>
          <w:szCs w:val="32"/>
          <w:lang w:val="en-US" w:eastAsia="en-US" w:bidi="ar-SA"/>
        </w:rPr>
        <w:t>一、工作目标</w:t>
      </w:r>
    </w:p>
    <w:p w14:paraId="2285C0B5">
      <w:pPr>
        <w:spacing w:line="315" w:lineRule="auto"/>
        <w:rPr>
          <w:rFonts w:hint="eastAsia" w:ascii="仿宋" w:hAnsi="仿宋" w:eastAsia="仿宋" w:cs="仿宋"/>
          <w:snapToGrid w:val="0"/>
          <w:color w:val="000000"/>
          <w:spacing w:val="-11"/>
          <w:kern w:val="0"/>
          <w:sz w:val="32"/>
          <w:szCs w:val="32"/>
          <w:lang w:val="en-US" w:eastAsia="en-US" w:bidi="ar-SA"/>
        </w:rPr>
      </w:pPr>
      <w:r>
        <w:rPr>
          <w:rFonts w:hint="eastAsia" w:ascii="仿宋" w:hAnsi="仿宋" w:eastAsia="仿宋" w:cs="仿宋"/>
          <w:snapToGrid w:val="0"/>
          <w:color w:val="000000"/>
          <w:spacing w:val="-11"/>
          <w:kern w:val="0"/>
          <w:sz w:val="32"/>
          <w:szCs w:val="32"/>
          <w:lang w:val="en-US" w:eastAsia="en-US" w:bidi="ar-SA"/>
        </w:rPr>
        <w:t>按照省、市优化营商环境工作的部署要求，以市场主体和社会公众的满意度、获得感为标准，坚持对标一流，以提升涉企服务质效、提高便民服务水平、推动服务创新发展、推进服务体系建设、聚焦群众急难愁盼、夯实履职尽责基础为重点，抓好优化服务环境各项工作，推进重点领球和关健环节改革取得新实效，为成宁经济社会高质量发展提供有力保障和支撑。</w:t>
      </w:r>
    </w:p>
    <w:p w14:paraId="1868C9D3">
      <w:pPr>
        <w:spacing w:line="315" w:lineRule="auto"/>
        <w:rPr>
          <w:rFonts w:hint="eastAsia" w:ascii="仿宋" w:hAnsi="仿宋" w:eastAsia="仿宋" w:cs="仿宋"/>
          <w:snapToGrid w:val="0"/>
          <w:color w:val="000000"/>
          <w:spacing w:val="-11"/>
          <w:kern w:val="0"/>
          <w:sz w:val="32"/>
          <w:szCs w:val="32"/>
          <w:lang w:val="en-US" w:eastAsia="en-US" w:bidi="ar-SA"/>
        </w:rPr>
      </w:pPr>
      <w:r>
        <w:rPr>
          <w:rFonts w:hint="eastAsia" w:ascii="仿宋" w:hAnsi="仿宋" w:eastAsia="仿宋" w:cs="仿宋"/>
          <w:snapToGrid w:val="0"/>
          <w:color w:val="000000"/>
          <w:spacing w:val="-11"/>
          <w:kern w:val="0"/>
          <w:sz w:val="32"/>
          <w:szCs w:val="32"/>
          <w:lang w:val="en-US" w:eastAsia="en-US" w:bidi="ar-SA"/>
        </w:rPr>
        <w:t>二、重点任务</w:t>
      </w:r>
    </w:p>
    <w:p w14:paraId="0A8FE2F0">
      <w:pPr>
        <w:spacing w:line="315" w:lineRule="auto"/>
        <w:rPr>
          <w:rFonts w:hint="eastAsia" w:ascii="仿宋" w:hAnsi="仿宋" w:eastAsia="仿宋" w:cs="仿宋"/>
          <w:snapToGrid w:val="0"/>
          <w:color w:val="000000"/>
          <w:spacing w:val="-11"/>
          <w:kern w:val="0"/>
          <w:sz w:val="32"/>
          <w:szCs w:val="32"/>
          <w:lang w:val="en-US" w:eastAsia="en-US" w:bidi="ar-SA"/>
        </w:rPr>
      </w:pPr>
      <w:r>
        <w:rPr>
          <w:rFonts w:hint="eastAsia" w:ascii="仿宋" w:hAnsi="仿宋" w:eastAsia="仿宋" w:cs="仿宋"/>
          <w:snapToGrid w:val="0"/>
          <w:color w:val="000000"/>
          <w:spacing w:val="-11"/>
          <w:kern w:val="0"/>
          <w:sz w:val="32"/>
          <w:szCs w:val="32"/>
          <w:lang w:val="en-US" w:eastAsia="en-US" w:bidi="ar-SA"/>
        </w:rPr>
        <w:t>(-)提升涉企服务质效，</w:t>
      </w:r>
    </w:p>
    <w:p w14:paraId="1FD44BC4">
      <w:pPr>
        <w:spacing w:line="315" w:lineRule="auto"/>
        <w:rPr>
          <w:rFonts w:ascii="Arial"/>
          <w:sz w:val="21"/>
        </w:rPr>
      </w:pPr>
      <w:r>
        <w:rPr>
          <w:rFonts w:hint="eastAsia" w:ascii="仿宋" w:hAnsi="仿宋" w:eastAsia="仿宋" w:cs="仿宋"/>
          <w:snapToGrid w:val="0"/>
          <w:color w:val="000000"/>
          <w:spacing w:val="-11"/>
          <w:kern w:val="0"/>
          <w:sz w:val="32"/>
          <w:szCs w:val="32"/>
          <w:lang w:val="en-US" w:eastAsia="en-US" w:bidi="ar-SA"/>
        </w:rPr>
        <w:t>1.改革土地使用权预告登记。对于因市场主体分期缴纳出让金或开发投资未达到转让条件无法提前办证问题，突破原预告登记范围，对供地时已签订出让合同、转让时已签订转让合同的，可依申请办理土地使用权预告登记，待交清出让会或达到转让条件时，再办理不动产首次或转移登记</w:t>
      </w:r>
      <w:r>
        <w:rPr>
          <w:rFonts w:hint="eastAsia" w:ascii="Arial"/>
          <w:sz w:val="21"/>
        </w:rPr>
        <w:t>。</w:t>
      </w:r>
    </w:p>
    <w:p w14:paraId="10D59308">
      <w:pPr>
        <w:spacing w:line="315" w:lineRule="auto"/>
        <w:rPr>
          <w:rFonts w:ascii="Arial"/>
          <w:sz w:val="21"/>
        </w:rPr>
      </w:pPr>
    </w:p>
    <w:p w14:paraId="5552DCF3">
      <w:pPr>
        <w:pStyle w:val="2"/>
        <w:spacing w:before="104" w:line="221" w:lineRule="auto"/>
        <w:ind w:left="684"/>
        <w:outlineLvl w:val="0"/>
        <w:rPr>
          <w:sz w:val="32"/>
          <w:szCs w:val="32"/>
        </w:rPr>
      </w:pPr>
      <w:r>
        <w:rPr>
          <w:b/>
          <w:bCs/>
          <w:spacing w:val="-21"/>
          <w:sz w:val="32"/>
          <w:szCs w:val="32"/>
        </w:rPr>
        <w:t>2.推动电子证照平台升级改造和“企心协力”服务平台建设。</w:t>
      </w:r>
    </w:p>
    <w:p w14:paraId="49E12BE2">
      <w:pPr>
        <w:pStyle w:val="2"/>
        <w:spacing w:before="172" w:line="297" w:lineRule="auto"/>
        <w:ind w:right="183"/>
        <w:rPr>
          <w:sz w:val="32"/>
          <w:szCs w:val="32"/>
        </w:rPr>
      </w:pPr>
      <w:r>
        <w:rPr>
          <w:spacing w:val="-11"/>
          <w:sz w:val="32"/>
          <w:szCs w:val="32"/>
        </w:rPr>
        <w:t>优化鄂汇办咸宁旗舰店“宁好办”平台功能，推进咸宁政务云与</w:t>
      </w:r>
      <w:r>
        <w:rPr>
          <w:spacing w:val="4"/>
          <w:sz w:val="32"/>
          <w:szCs w:val="32"/>
        </w:rPr>
        <w:t xml:space="preserve"> </w:t>
      </w:r>
      <w:r>
        <w:rPr>
          <w:spacing w:val="-17"/>
          <w:sz w:val="32"/>
          <w:szCs w:val="32"/>
        </w:rPr>
        <w:t>楚天云的互联互通，优化跨省跨市、跨部门、跨</w:t>
      </w:r>
      <w:r>
        <w:rPr>
          <w:spacing w:val="-18"/>
          <w:sz w:val="32"/>
          <w:szCs w:val="32"/>
        </w:rPr>
        <w:t>层级的业务流程。</w:t>
      </w:r>
    </w:p>
    <w:p w14:paraId="36DF5E51">
      <w:pPr>
        <w:pStyle w:val="2"/>
        <w:spacing w:before="64" w:line="311" w:lineRule="auto"/>
        <w:ind w:right="203" w:firstLine="684"/>
        <w:jc w:val="both"/>
        <w:rPr>
          <w:sz w:val="32"/>
          <w:szCs w:val="32"/>
        </w:rPr>
      </w:pPr>
      <w:r>
        <w:rPr>
          <w:b/>
          <w:bCs/>
          <w:spacing w:val="-13"/>
          <w:sz w:val="32"/>
          <w:szCs w:val="32"/>
        </w:rPr>
        <w:t>3.推行工业项目报建“零收费”服务。</w:t>
      </w:r>
      <w:r>
        <w:rPr>
          <w:spacing w:val="-13"/>
          <w:sz w:val="32"/>
          <w:szCs w:val="32"/>
        </w:rPr>
        <w:t>通过实行工业</w:t>
      </w:r>
      <w:r>
        <w:rPr>
          <w:spacing w:val="-14"/>
          <w:sz w:val="32"/>
          <w:szCs w:val="32"/>
        </w:rPr>
        <w:t>项目报</w:t>
      </w:r>
      <w:r>
        <w:rPr>
          <w:sz w:val="32"/>
          <w:szCs w:val="32"/>
        </w:rPr>
        <w:t xml:space="preserve"> </w:t>
      </w:r>
      <w:r>
        <w:rPr>
          <w:spacing w:val="-11"/>
          <w:sz w:val="32"/>
          <w:szCs w:val="32"/>
        </w:rPr>
        <w:t>建阶段经营服务性事项打包收费和政府购买中介服务的模式</w:t>
      </w:r>
      <w:r>
        <w:rPr>
          <w:spacing w:val="-12"/>
          <w:sz w:val="32"/>
          <w:szCs w:val="32"/>
        </w:rPr>
        <w:t>，切</w:t>
      </w:r>
      <w:r>
        <w:rPr>
          <w:sz w:val="32"/>
          <w:szCs w:val="32"/>
        </w:rPr>
        <w:t xml:space="preserve"> </w:t>
      </w:r>
      <w:r>
        <w:rPr>
          <w:spacing w:val="-11"/>
          <w:sz w:val="32"/>
          <w:szCs w:val="32"/>
        </w:rPr>
        <w:t>实减轻企业负担，提升审批效率，免去工业项目在报建审</w:t>
      </w:r>
      <w:r>
        <w:rPr>
          <w:spacing w:val="-12"/>
          <w:sz w:val="32"/>
          <w:szCs w:val="32"/>
        </w:rPr>
        <w:t>批环节</w:t>
      </w:r>
      <w:r>
        <w:rPr>
          <w:sz w:val="32"/>
          <w:szCs w:val="32"/>
        </w:rPr>
        <w:t xml:space="preserve"> </w:t>
      </w:r>
      <w:r>
        <w:rPr>
          <w:spacing w:val="-28"/>
          <w:sz w:val="32"/>
          <w:szCs w:val="32"/>
        </w:rPr>
        <w:t>中不必要的中间环节，节省大量报建组件时间，促进快开工快投</w:t>
      </w:r>
      <w:r>
        <w:rPr>
          <w:spacing w:val="-29"/>
          <w:sz w:val="32"/>
          <w:szCs w:val="32"/>
        </w:rPr>
        <w:t>产。</w:t>
      </w:r>
    </w:p>
    <w:p w14:paraId="71849A74">
      <w:pPr>
        <w:pStyle w:val="2"/>
        <w:spacing w:before="53" w:line="315" w:lineRule="auto"/>
        <w:ind w:right="241" w:firstLine="684"/>
        <w:jc w:val="both"/>
        <w:rPr>
          <w:sz w:val="32"/>
          <w:szCs w:val="32"/>
        </w:rPr>
      </w:pPr>
      <w:r>
        <w:rPr>
          <w:b/>
          <w:bCs/>
          <w:spacing w:val="-13"/>
          <w:sz w:val="32"/>
          <w:szCs w:val="32"/>
        </w:rPr>
        <w:t>4.“签约即供地、交地即交证”改革。</w:t>
      </w:r>
      <w:r>
        <w:rPr>
          <w:spacing w:val="-13"/>
          <w:sz w:val="32"/>
          <w:szCs w:val="32"/>
        </w:rPr>
        <w:t>对入驻园区的产业项</w:t>
      </w:r>
      <w:r>
        <w:rPr>
          <w:spacing w:val="1"/>
          <w:sz w:val="32"/>
          <w:szCs w:val="32"/>
        </w:rPr>
        <w:t xml:space="preserve"> </w:t>
      </w:r>
      <w:r>
        <w:rPr>
          <w:spacing w:val="-12"/>
          <w:sz w:val="32"/>
          <w:szCs w:val="32"/>
        </w:rPr>
        <w:t>目，主动提供预先服务，提前开展方案预研、用地报批，正式签</w:t>
      </w:r>
      <w:r>
        <w:rPr>
          <w:spacing w:val="15"/>
          <w:sz w:val="32"/>
          <w:szCs w:val="32"/>
        </w:rPr>
        <w:t xml:space="preserve"> </w:t>
      </w:r>
      <w:r>
        <w:rPr>
          <w:spacing w:val="-3"/>
          <w:sz w:val="32"/>
          <w:szCs w:val="32"/>
        </w:rPr>
        <w:t>约后；即进入绿色通道，实现“签约即供地”;企业拿地后，各</w:t>
      </w:r>
      <w:r>
        <w:rPr>
          <w:spacing w:val="5"/>
          <w:sz w:val="32"/>
          <w:szCs w:val="32"/>
        </w:rPr>
        <w:t xml:space="preserve"> </w:t>
      </w:r>
      <w:r>
        <w:rPr>
          <w:spacing w:val="-10"/>
          <w:sz w:val="32"/>
          <w:szCs w:val="32"/>
        </w:rPr>
        <w:t>协办部门意见不互为前置，预研方案直接作为正</w:t>
      </w:r>
      <w:r>
        <w:rPr>
          <w:spacing w:val="-11"/>
          <w:sz w:val="32"/>
          <w:szCs w:val="32"/>
        </w:rPr>
        <w:t>式方案，将原串</w:t>
      </w:r>
      <w:r>
        <w:rPr>
          <w:sz w:val="32"/>
          <w:szCs w:val="32"/>
        </w:rPr>
        <w:t xml:space="preserve"> </w:t>
      </w:r>
      <w:r>
        <w:rPr>
          <w:spacing w:val="-10"/>
          <w:sz w:val="32"/>
          <w:szCs w:val="32"/>
        </w:rPr>
        <w:t>联流程变成同步并行、原独立环节变为“一站式”办理，取消生</w:t>
      </w:r>
      <w:r>
        <w:rPr>
          <w:spacing w:val="4"/>
          <w:sz w:val="32"/>
          <w:szCs w:val="32"/>
        </w:rPr>
        <w:t xml:space="preserve"> </w:t>
      </w:r>
      <w:r>
        <w:rPr>
          <w:spacing w:val="-11"/>
          <w:sz w:val="32"/>
          <w:szCs w:val="32"/>
        </w:rPr>
        <w:t>产性厂房建筑指标核算和现场验线环节，把土地出让、交地、确</w:t>
      </w:r>
      <w:r>
        <w:rPr>
          <w:sz w:val="32"/>
          <w:szCs w:val="32"/>
        </w:rPr>
        <w:t xml:space="preserve"> </w:t>
      </w:r>
      <w:r>
        <w:rPr>
          <w:spacing w:val="-6"/>
          <w:sz w:val="32"/>
          <w:szCs w:val="32"/>
        </w:rPr>
        <w:t>权“三到场”合并为一次、在土地成交前提前完成，减少3个环</w:t>
      </w:r>
      <w:r>
        <w:rPr>
          <w:spacing w:val="16"/>
          <w:sz w:val="32"/>
          <w:szCs w:val="32"/>
        </w:rPr>
        <w:t xml:space="preserve"> </w:t>
      </w:r>
      <w:r>
        <w:rPr>
          <w:spacing w:val="-5"/>
          <w:sz w:val="32"/>
          <w:szCs w:val="32"/>
        </w:rPr>
        <w:t>节跑动和等候，让数据多跑路、快跑步，最快1</w:t>
      </w:r>
      <w:r>
        <w:rPr>
          <w:spacing w:val="-6"/>
          <w:sz w:val="32"/>
          <w:szCs w:val="32"/>
        </w:rPr>
        <w:t>个工作日可以完</w:t>
      </w:r>
      <w:r>
        <w:rPr>
          <w:sz w:val="32"/>
          <w:szCs w:val="32"/>
        </w:rPr>
        <w:t xml:space="preserve"> </w:t>
      </w:r>
      <w:r>
        <w:rPr>
          <w:spacing w:val="-25"/>
          <w:sz w:val="32"/>
          <w:szCs w:val="32"/>
        </w:rPr>
        <w:t>成交地即交“两证”(《建设用地规划许可证》《不动产权证书》),</w:t>
      </w:r>
      <w:r>
        <w:rPr>
          <w:spacing w:val="2"/>
          <w:sz w:val="32"/>
          <w:szCs w:val="32"/>
        </w:rPr>
        <w:t xml:space="preserve"> </w:t>
      </w:r>
      <w:r>
        <w:rPr>
          <w:spacing w:val="-11"/>
          <w:sz w:val="32"/>
          <w:szCs w:val="32"/>
        </w:rPr>
        <w:t>企业拿地拿证更省时、省心。</w:t>
      </w:r>
    </w:p>
    <w:p w14:paraId="7EB54BA1">
      <w:pPr>
        <w:pStyle w:val="2"/>
        <w:spacing w:before="117" w:line="307" w:lineRule="auto"/>
        <w:ind w:right="149" w:firstLine="674"/>
        <w:jc w:val="both"/>
        <w:rPr>
          <w:sz w:val="32"/>
          <w:szCs w:val="32"/>
        </w:rPr>
      </w:pPr>
      <w:r>
        <w:rPr>
          <w:rFonts w:ascii="宋体" w:hAnsi="宋体" w:eastAsia="宋体" w:cs="宋体"/>
          <w:b/>
          <w:bCs/>
          <w:spacing w:val="-9"/>
          <w:sz w:val="32"/>
          <w:szCs w:val="32"/>
        </w:rPr>
        <w:t>5.</w:t>
      </w:r>
      <w:r>
        <w:rPr>
          <w:b/>
          <w:bCs/>
          <w:spacing w:val="-9"/>
          <w:sz w:val="32"/>
          <w:szCs w:val="32"/>
        </w:rPr>
        <w:t>探索灵活多样的土地供应方式。</w:t>
      </w:r>
      <w:r>
        <w:rPr>
          <w:spacing w:val="-9"/>
          <w:sz w:val="32"/>
          <w:szCs w:val="32"/>
        </w:rPr>
        <w:t>鼓励通过实行长期租赁、</w:t>
      </w:r>
      <w:r>
        <w:rPr>
          <w:spacing w:val="7"/>
          <w:sz w:val="32"/>
          <w:szCs w:val="32"/>
        </w:rPr>
        <w:t xml:space="preserve"> </w:t>
      </w:r>
      <w:r>
        <w:rPr>
          <w:spacing w:val="-10"/>
          <w:sz w:val="32"/>
          <w:szCs w:val="32"/>
        </w:rPr>
        <w:t>先租后让、租让结合、弹性年期供应等灵活多样的方式，盘活土</w:t>
      </w:r>
      <w:r>
        <w:rPr>
          <w:sz w:val="32"/>
          <w:szCs w:val="32"/>
        </w:rPr>
        <w:t xml:space="preserve"> </w:t>
      </w:r>
      <w:r>
        <w:rPr>
          <w:spacing w:val="-4"/>
          <w:sz w:val="32"/>
          <w:szCs w:val="32"/>
        </w:rPr>
        <w:t>地资源，在全市试点工业用地“弹性出让”</w:t>
      </w:r>
      <w:r>
        <w:rPr>
          <w:spacing w:val="-5"/>
          <w:sz w:val="32"/>
          <w:szCs w:val="32"/>
        </w:rPr>
        <w:t>,探索文旅康养产业</w:t>
      </w:r>
      <w:r>
        <w:rPr>
          <w:sz w:val="32"/>
          <w:szCs w:val="32"/>
        </w:rPr>
        <w:t xml:space="preserve"> </w:t>
      </w:r>
      <w:r>
        <w:rPr>
          <w:spacing w:val="-26"/>
          <w:sz w:val="32"/>
          <w:szCs w:val="32"/>
        </w:rPr>
        <w:t>项目“点状供地”。</w:t>
      </w:r>
    </w:p>
    <w:p w14:paraId="015F775C">
      <w:pPr>
        <w:pStyle w:val="2"/>
        <w:spacing w:before="78" w:line="297" w:lineRule="auto"/>
        <w:ind w:firstLine="664"/>
        <w:rPr>
          <w:sz w:val="32"/>
          <w:szCs w:val="32"/>
        </w:rPr>
        <w:sectPr>
          <w:headerReference r:id="rId7" w:type="default"/>
          <w:footerReference r:id="rId8" w:type="default"/>
          <w:pgSz w:w="11870" w:h="16930"/>
          <w:pgMar w:top="1439" w:right="1286" w:bottom="1494" w:left="1620" w:header="0" w:footer="1176" w:gutter="0"/>
          <w:pgNumType w:fmt="decimal"/>
          <w:cols w:space="720" w:num="1"/>
        </w:sectPr>
      </w:pPr>
      <w:r>
        <w:rPr>
          <w:rFonts w:ascii="宋体" w:hAnsi="宋体" w:eastAsia="宋体" w:cs="宋体"/>
          <w:b/>
          <w:bCs/>
          <w:spacing w:val="-16"/>
          <w:sz w:val="32"/>
          <w:szCs w:val="32"/>
        </w:rPr>
        <w:t>6.</w:t>
      </w:r>
      <w:r>
        <w:rPr>
          <w:b/>
          <w:bCs/>
          <w:spacing w:val="-16"/>
          <w:sz w:val="32"/>
          <w:szCs w:val="32"/>
        </w:rPr>
        <w:t>推进工程建设项目全流程“多测合一”</w:t>
      </w:r>
      <w:r>
        <w:rPr>
          <w:spacing w:val="-16"/>
          <w:sz w:val="32"/>
          <w:szCs w:val="32"/>
        </w:rPr>
        <w:t>。完善“多测合一</w:t>
      </w:r>
      <w:r>
        <w:rPr>
          <w:spacing w:val="-118"/>
          <w:sz w:val="32"/>
          <w:szCs w:val="32"/>
        </w:rPr>
        <w:t xml:space="preserve"> </w:t>
      </w:r>
      <w:r>
        <w:rPr>
          <w:spacing w:val="-16"/>
          <w:sz w:val="32"/>
          <w:szCs w:val="32"/>
        </w:rPr>
        <w:t>”</w:t>
      </w:r>
      <w:r>
        <w:rPr>
          <w:sz w:val="32"/>
          <w:szCs w:val="32"/>
        </w:rPr>
        <w:t xml:space="preserve"> </w:t>
      </w:r>
      <w:r>
        <w:rPr>
          <w:spacing w:val="-10"/>
          <w:sz w:val="32"/>
          <w:szCs w:val="32"/>
        </w:rPr>
        <w:t>信息管理平台建设，实现“多测合一”信息管理平台和测绘成果</w:t>
      </w:r>
    </w:p>
    <w:p w14:paraId="75041CA7">
      <w:pPr>
        <w:pStyle w:val="2"/>
        <w:spacing w:before="104" w:line="311" w:lineRule="auto"/>
        <w:ind w:right="148"/>
        <w:jc w:val="both"/>
        <w:rPr>
          <w:sz w:val="32"/>
          <w:szCs w:val="32"/>
        </w:rPr>
      </w:pPr>
      <w:r>
        <w:rPr>
          <w:spacing w:val="-28"/>
          <w:sz w:val="32"/>
          <w:szCs w:val="32"/>
        </w:rPr>
        <w:t>数据库打通，确保数据成果“进的来、出的去</w:t>
      </w:r>
      <w:r>
        <w:rPr>
          <w:spacing w:val="-29"/>
          <w:sz w:val="32"/>
          <w:szCs w:val="32"/>
        </w:rPr>
        <w:t>、用得着、管得住”;</w:t>
      </w:r>
      <w:r>
        <w:rPr>
          <w:sz w:val="32"/>
          <w:szCs w:val="32"/>
        </w:rPr>
        <w:t xml:space="preserve"> </w:t>
      </w:r>
      <w:r>
        <w:rPr>
          <w:spacing w:val="-13"/>
          <w:sz w:val="32"/>
          <w:szCs w:val="32"/>
        </w:rPr>
        <w:t>“多测合一”信息管理平台与时空大数据平台</w:t>
      </w:r>
      <w:r>
        <w:rPr>
          <w:spacing w:val="-14"/>
          <w:sz w:val="32"/>
          <w:szCs w:val="32"/>
        </w:rPr>
        <w:t>、工改平台、不动</w:t>
      </w:r>
      <w:r>
        <w:rPr>
          <w:sz w:val="32"/>
          <w:szCs w:val="32"/>
        </w:rPr>
        <w:t xml:space="preserve"> </w:t>
      </w:r>
      <w:r>
        <w:rPr>
          <w:spacing w:val="-14"/>
          <w:sz w:val="32"/>
          <w:szCs w:val="32"/>
        </w:rPr>
        <w:t>产登记系统等深度对接，满足数据推送与共</w:t>
      </w:r>
      <w:r>
        <w:rPr>
          <w:spacing w:val="-15"/>
          <w:sz w:val="32"/>
          <w:szCs w:val="32"/>
        </w:rPr>
        <w:t>享功能，实现动态信</w:t>
      </w:r>
      <w:r>
        <w:rPr>
          <w:sz w:val="32"/>
          <w:szCs w:val="32"/>
        </w:rPr>
        <w:t xml:space="preserve"> </w:t>
      </w:r>
      <w:r>
        <w:rPr>
          <w:spacing w:val="-16"/>
          <w:sz w:val="32"/>
          <w:szCs w:val="32"/>
        </w:rPr>
        <w:t>息共享。</w:t>
      </w:r>
    </w:p>
    <w:p w14:paraId="370FECB6">
      <w:pPr>
        <w:pStyle w:val="2"/>
        <w:spacing w:before="35" w:line="222" w:lineRule="auto"/>
        <w:rPr>
          <w:sz w:val="32"/>
          <w:szCs w:val="32"/>
        </w:rPr>
      </w:pPr>
      <w:r>
        <w:rPr>
          <w:spacing w:val="2"/>
          <w:sz w:val="32"/>
          <w:szCs w:val="32"/>
        </w:rPr>
        <w:t>(二)提高便民服务水平。</w:t>
      </w:r>
    </w:p>
    <w:p w14:paraId="0BB4371D">
      <w:pPr>
        <w:pStyle w:val="2"/>
        <w:spacing w:before="173" w:line="318" w:lineRule="auto"/>
        <w:ind w:right="110" w:firstLine="886" w:firstLineChars="300"/>
        <w:rPr>
          <w:sz w:val="32"/>
          <w:szCs w:val="32"/>
        </w:rPr>
      </w:pPr>
      <w:r>
        <w:rPr>
          <w:b/>
          <w:bCs/>
          <w:spacing w:val="-13"/>
          <w:sz w:val="32"/>
          <w:szCs w:val="32"/>
        </w:rPr>
        <w:t>7.推行不动产登记“证缴分离”。</w:t>
      </w:r>
      <w:r>
        <w:rPr>
          <w:spacing w:val="-13"/>
          <w:sz w:val="32"/>
          <w:szCs w:val="32"/>
        </w:rPr>
        <w:t>聚焦房地产楼盘因涉税历</w:t>
      </w:r>
      <w:r>
        <w:rPr>
          <w:sz w:val="32"/>
          <w:szCs w:val="32"/>
        </w:rPr>
        <w:t xml:space="preserve"> </w:t>
      </w:r>
      <w:r>
        <w:rPr>
          <w:spacing w:val="-14"/>
          <w:sz w:val="32"/>
          <w:szCs w:val="32"/>
        </w:rPr>
        <w:t>史遗留问题“办证难”情况，以“小切口”谋突破，在不动产登</w:t>
      </w:r>
      <w:r>
        <w:rPr>
          <w:spacing w:val="10"/>
          <w:sz w:val="32"/>
          <w:szCs w:val="32"/>
        </w:rPr>
        <w:t xml:space="preserve"> </w:t>
      </w:r>
      <w:r>
        <w:rPr>
          <w:spacing w:val="-12"/>
          <w:sz w:val="32"/>
          <w:szCs w:val="32"/>
        </w:rPr>
        <w:t>记环节推行“证缴分离”改革，对符合特定情形的房地产项目，</w:t>
      </w:r>
      <w:r>
        <w:rPr>
          <w:spacing w:val="4"/>
          <w:sz w:val="32"/>
          <w:szCs w:val="32"/>
        </w:rPr>
        <w:t xml:space="preserve"> </w:t>
      </w:r>
      <w:r>
        <w:rPr>
          <w:spacing w:val="-8"/>
          <w:sz w:val="32"/>
          <w:szCs w:val="32"/>
        </w:rPr>
        <w:t>将购买方办证与销售方缴税相“分离”,并按规定对销售方应纳</w:t>
      </w:r>
      <w:r>
        <w:rPr>
          <w:spacing w:val="17"/>
          <w:sz w:val="32"/>
          <w:szCs w:val="32"/>
        </w:rPr>
        <w:t xml:space="preserve"> </w:t>
      </w:r>
      <w:r>
        <w:rPr>
          <w:spacing w:val="-8"/>
          <w:sz w:val="32"/>
          <w:szCs w:val="32"/>
        </w:rPr>
        <w:t>税费进行追缴。</w:t>
      </w:r>
    </w:p>
    <w:p w14:paraId="6EEDCCAA">
      <w:pPr>
        <w:pStyle w:val="2"/>
        <w:spacing w:before="37" w:line="221" w:lineRule="auto"/>
        <w:ind w:left="704"/>
        <w:outlineLvl w:val="0"/>
        <w:rPr>
          <w:sz w:val="32"/>
          <w:szCs w:val="32"/>
        </w:rPr>
      </w:pPr>
      <w:r>
        <w:rPr>
          <w:rFonts w:ascii="宋体" w:hAnsi="宋体" w:eastAsia="宋体" w:cs="宋体"/>
          <w:b/>
          <w:bCs/>
          <w:spacing w:val="-13"/>
          <w:sz w:val="32"/>
          <w:szCs w:val="32"/>
        </w:rPr>
        <w:t>8.</w:t>
      </w:r>
      <w:r>
        <w:rPr>
          <w:b/>
          <w:bCs/>
          <w:spacing w:val="-13"/>
          <w:sz w:val="32"/>
          <w:szCs w:val="32"/>
        </w:rPr>
        <w:t>实行“验收即登记+交房即交证”不动产交易登记模式。</w:t>
      </w:r>
    </w:p>
    <w:p w14:paraId="40512E8E">
      <w:pPr>
        <w:pStyle w:val="2"/>
        <w:spacing w:before="168" w:line="313" w:lineRule="auto"/>
        <w:ind w:right="40"/>
        <w:jc w:val="both"/>
        <w:rPr>
          <w:sz w:val="32"/>
          <w:szCs w:val="32"/>
        </w:rPr>
      </w:pPr>
      <w:r>
        <w:rPr>
          <w:spacing w:val="-10"/>
          <w:sz w:val="32"/>
          <w:szCs w:val="32"/>
        </w:rPr>
        <w:t>减流程，通过“多验合一”阶段，形成“一次测绘、一套成果、</w:t>
      </w:r>
      <w:r>
        <w:rPr>
          <w:spacing w:val="18"/>
          <w:sz w:val="32"/>
          <w:szCs w:val="32"/>
        </w:rPr>
        <w:t xml:space="preserve"> </w:t>
      </w:r>
      <w:r>
        <w:rPr>
          <w:spacing w:val="-14"/>
          <w:sz w:val="32"/>
          <w:szCs w:val="32"/>
        </w:rPr>
        <w:t>一测多用”的协同联办模式。实现项目从竣工验收到不动产登记</w:t>
      </w:r>
      <w:r>
        <w:rPr>
          <w:spacing w:val="9"/>
          <w:sz w:val="32"/>
          <w:szCs w:val="32"/>
        </w:rPr>
        <w:t xml:space="preserve"> </w:t>
      </w:r>
      <w:r>
        <w:rPr>
          <w:spacing w:val="-10"/>
          <w:sz w:val="32"/>
          <w:szCs w:val="32"/>
        </w:rPr>
        <w:t>的无缝对接；减环节，将竣工验收备案和不动产登记并联办理，</w:t>
      </w:r>
      <w:r>
        <w:rPr>
          <w:spacing w:val="18"/>
          <w:sz w:val="32"/>
          <w:szCs w:val="32"/>
        </w:rPr>
        <w:t xml:space="preserve"> </w:t>
      </w:r>
      <w:r>
        <w:rPr>
          <w:spacing w:val="-8"/>
          <w:sz w:val="32"/>
          <w:szCs w:val="32"/>
        </w:rPr>
        <w:t>实现成果应用“零跑动、零等候、零资料”;减时间，通过新模</w:t>
      </w:r>
      <w:r>
        <w:rPr>
          <w:spacing w:val="2"/>
          <w:sz w:val="32"/>
          <w:szCs w:val="32"/>
        </w:rPr>
        <w:t xml:space="preserve"> </w:t>
      </w:r>
      <w:r>
        <w:rPr>
          <w:spacing w:val="-8"/>
          <w:sz w:val="32"/>
          <w:szCs w:val="32"/>
        </w:rPr>
        <w:t>式的运行，力求实现在完成竣工验收备案后的1个工作日内核发</w:t>
      </w:r>
      <w:r>
        <w:rPr>
          <w:spacing w:val="7"/>
          <w:sz w:val="32"/>
          <w:szCs w:val="32"/>
        </w:rPr>
        <w:t xml:space="preserve"> </w:t>
      </w:r>
      <w:r>
        <w:rPr>
          <w:spacing w:val="-15"/>
          <w:sz w:val="32"/>
          <w:szCs w:val="32"/>
        </w:rPr>
        <w:t>不动产权证书。</w:t>
      </w:r>
    </w:p>
    <w:p w14:paraId="03A54C79">
      <w:pPr>
        <w:pStyle w:val="2"/>
        <w:spacing w:before="107" w:line="297" w:lineRule="auto"/>
        <w:ind w:right="109" w:firstLine="704"/>
        <w:jc w:val="both"/>
        <w:rPr>
          <w:sz w:val="32"/>
          <w:szCs w:val="32"/>
        </w:rPr>
      </w:pPr>
      <w:r>
        <w:rPr>
          <w:b/>
          <w:bCs/>
          <w:spacing w:val="-17"/>
          <w:sz w:val="32"/>
          <w:szCs w:val="32"/>
        </w:rPr>
        <w:t>9.实施不动产登记“票税分离”</w:t>
      </w:r>
      <w:r>
        <w:rPr>
          <w:spacing w:val="-17"/>
          <w:sz w:val="32"/>
          <w:szCs w:val="32"/>
        </w:rPr>
        <w:t>。全面梳理“不能办证”问</w:t>
      </w:r>
      <w:r>
        <w:rPr>
          <w:spacing w:val="13"/>
          <w:sz w:val="32"/>
          <w:szCs w:val="32"/>
        </w:rPr>
        <w:t xml:space="preserve"> </w:t>
      </w:r>
      <w:r>
        <w:rPr>
          <w:spacing w:val="-13"/>
          <w:sz w:val="32"/>
          <w:szCs w:val="32"/>
        </w:rPr>
        <w:t>题清单和“票税分离”任务清单，着力解决因问题楼盘不能开具</w:t>
      </w:r>
      <w:r>
        <w:rPr>
          <w:spacing w:val="3"/>
          <w:sz w:val="32"/>
          <w:szCs w:val="32"/>
        </w:rPr>
        <w:t xml:space="preserve"> </w:t>
      </w:r>
      <w:r>
        <w:rPr>
          <w:spacing w:val="-12"/>
          <w:sz w:val="32"/>
          <w:szCs w:val="32"/>
        </w:rPr>
        <w:t>购房发票、购房者无法取得房产证的难题。</w:t>
      </w:r>
    </w:p>
    <w:p w14:paraId="6D451A0F">
      <w:pPr>
        <w:pStyle w:val="2"/>
        <w:spacing w:before="32" w:line="311" w:lineRule="auto"/>
        <w:ind w:firstLine="704"/>
        <w:jc w:val="both"/>
        <w:rPr>
          <w:sz w:val="32"/>
          <w:szCs w:val="32"/>
        </w:rPr>
        <w:sectPr>
          <w:footerReference r:id="rId9" w:type="default"/>
          <w:pgSz w:w="11870" w:h="16930"/>
          <w:pgMar w:top="1439" w:right="1530" w:bottom="1484" w:left="1599" w:header="0" w:footer="1167" w:gutter="0"/>
          <w:pgNumType w:fmt="decimal"/>
          <w:cols w:space="720" w:num="1"/>
        </w:sectPr>
      </w:pPr>
      <w:r>
        <w:rPr>
          <w:rFonts w:ascii="宋体" w:hAnsi="宋体" w:eastAsia="宋体" w:cs="宋体"/>
          <w:b/>
          <w:bCs/>
          <w:spacing w:val="-8"/>
          <w:sz w:val="32"/>
          <w:szCs w:val="32"/>
        </w:rPr>
        <w:t>10.</w:t>
      </w:r>
      <w:r>
        <w:rPr>
          <w:b/>
          <w:bCs/>
          <w:spacing w:val="-8"/>
          <w:sz w:val="32"/>
          <w:szCs w:val="32"/>
        </w:rPr>
        <w:t>深化政务服务窗口改革。</w:t>
      </w:r>
      <w:r>
        <w:rPr>
          <w:spacing w:val="-8"/>
          <w:sz w:val="32"/>
          <w:szCs w:val="32"/>
        </w:rPr>
        <w:t>在不动产登记</w:t>
      </w:r>
      <w:r>
        <w:rPr>
          <w:spacing w:val="-9"/>
          <w:sz w:val="32"/>
          <w:szCs w:val="32"/>
        </w:rPr>
        <w:t>推行“首席服务</w:t>
      </w:r>
      <w:r>
        <w:rPr>
          <w:sz w:val="32"/>
          <w:szCs w:val="32"/>
        </w:rPr>
        <w:t xml:space="preserve"> </w:t>
      </w:r>
      <w:r>
        <w:rPr>
          <w:spacing w:val="-14"/>
          <w:sz w:val="32"/>
          <w:szCs w:val="32"/>
        </w:rPr>
        <w:t>员”工作经验的基础上，在市民之家自然资源和规划审批窗口推</w:t>
      </w:r>
      <w:r>
        <w:rPr>
          <w:spacing w:val="5"/>
          <w:sz w:val="32"/>
          <w:szCs w:val="32"/>
        </w:rPr>
        <w:t xml:space="preserve">  </w:t>
      </w:r>
      <w:r>
        <w:rPr>
          <w:spacing w:val="-29"/>
          <w:sz w:val="32"/>
          <w:szCs w:val="32"/>
        </w:rPr>
        <w:t>行“首席服务员制”改革，由“首席服务员”全程服务、一人通办</w:t>
      </w:r>
    </w:p>
    <w:p w14:paraId="72905A30">
      <w:pPr>
        <w:pStyle w:val="2"/>
        <w:spacing w:before="104" w:line="298" w:lineRule="auto"/>
        <w:ind w:right="220" w:firstLine="575" w:firstLineChars="200"/>
        <w:rPr>
          <w:sz w:val="32"/>
          <w:szCs w:val="32"/>
        </w:rPr>
      </w:pPr>
      <w:r>
        <w:rPr>
          <w:b/>
          <w:bCs/>
          <w:spacing w:val="-17"/>
          <w:sz w:val="32"/>
          <w:szCs w:val="32"/>
        </w:rPr>
        <w:t>11.开展建设项目用地涉及审批服务事项“集成改造”。</w:t>
      </w:r>
      <w:r>
        <w:rPr>
          <w:spacing w:val="-17"/>
          <w:sz w:val="32"/>
          <w:szCs w:val="32"/>
        </w:rPr>
        <w:t>对建</w:t>
      </w:r>
      <w:r>
        <w:rPr>
          <w:spacing w:val="13"/>
          <w:sz w:val="32"/>
          <w:szCs w:val="32"/>
        </w:rPr>
        <w:t xml:space="preserve"> </w:t>
      </w:r>
      <w:r>
        <w:rPr>
          <w:spacing w:val="-5"/>
          <w:sz w:val="32"/>
          <w:szCs w:val="32"/>
        </w:rPr>
        <w:t>设项目单位获取土地资源从立项到施工共涉及自然资源部门的9</w:t>
      </w:r>
      <w:r>
        <w:rPr>
          <w:spacing w:val="17"/>
          <w:sz w:val="32"/>
          <w:szCs w:val="32"/>
        </w:rPr>
        <w:t xml:space="preserve"> </w:t>
      </w:r>
      <w:r>
        <w:rPr>
          <w:spacing w:val="-10"/>
          <w:sz w:val="32"/>
          <w:szCs w:val="32"/>
        </w:rPr>
        <w:t>个审批事项进行全面梳理，全流程优化再造，实现全程无缝</w:t>
      </w:r>
      <w:r>
        <w:rPr>
          <w:spacing w:val="-11"/>
          <w:sz w:val="32"/>
          <w:szCs w:val="32"/>
        </w:rPr>
        <w:t>衔接</w:t>
      </w:r>
      <w:r>
        <w:rPr>
          <w:sz w:val="32"/>
          <w:szCs w:val="32"/>
        </w:rPr>
        <w:t xml:space="preserve"> </w:t>
      </w:r>
      <w:r>
        <w:rPr>
          <w:spacing w:val="-10"/>
          <w:sz w:val="32"/>
          <w:szCs w:val="32"/>
        </w:rPr>
        <w:t>审批减少挂起、停顿环节，确保总用时压缩。</w:t>
      </w:r>
    </w:p>
    <w:p w14:paraId="0E1B58F9">
      <w:pPr>
        <w:pStyle w:val="2"/>
        <w:spacing w:before="66" w:line="305" w:lineRule="auto"/>
        <w:ind w:firstLine="649"/>
        <w:rPr>
          <w:sz w:val="32"/>
          <w:szCs w:val="32"/>
        </w:rPr>
      </w:pPr>
      <w:r>
        <w:rPr>
          <w:b/>
          <w:bCs/>
          <w:spacing w:val="-16"/>
          <w:sz w:val="32"/>
          <w:szCs w:val="32"/>
        </w:rPr>
        <w:t>12.开展矿产资源涉及审批服务事项“集成改造”。</w:t>
      </w:r>
      <w:r>
        <w:rPr>
          <w:spacing w:val="-16"/>
          <w:sz w:val="32"/>
          <w:szCs w:val="32"/>
        </w:rPr>
        <w:t>对企业获</w:t>
      </w:r>
      <w:r>
        <w:rPr>
          <w:spacing w:val="1"/>
          <w:sz w:val="32"/>
          <w:szCs w:val="32"/>
        </w:rPr>
        <w:t xml:space="preserve">  </w:t>
      </w:r>
      <w:r>
        <w:rPr>
          <w:spacing w:val="-13"/>
          <w:sz w:val="32"/>
          <w:szCs w:val="32"/>
        </w:rPr>
        <w:t>取矿产资源各环节涉及自然资源部门的矿业权审批、矿</w:t>
      </w:r>
      <w:r>
        <w:rPr>
          <w:spacing w:val="-14"/>
          <w:sz w:val="32"/>
          <w:szCs w:val="32"/>
        </w:rPr>
        <w:t>业权评估、</w:t>
      </w:r>
      <w:r>
        <w:rPr>
          <w:sz w:val="32"/>
          <w:szCs w:val="32"/>
        </w:rPr>
        <w:t xml:space="preserve"> </w:t>
      </w:r>
      <w:r>
        <w:rPr>
          <w:spacing w:val="-10"/>
          <w:sz w:val="32"/>
          <w:szCs w:val="32"/>
        </w:rPr>
        <w:t>储量评审备案、矿产资源规划调整、矿山地质环境修复治理等审</w:t>
      </w:r>
      <w:r>
        <w:rPr>
          <w:spacing w:val="4"/>
          <w:sz w:val="32"/>
          <w:szCs w:val="32"/>
        </w:rPr>
        <w:t xml:space="preserve">  </w:t>
      </w:r>
      <w:r>
        <w:rPr>
          <w:spacing w:val="-13"/>
          <w:sz w:val="32"/>
          <w:szCs w:val="32"/>
        </w:rPr>
        <w:t>批服务事项全面梳理，全流程优化再造，实现全程无缝</w:t>
      </w:r>
      <w:r>
        <w:rPr>
          <w:spacing w:val="-14"/>
          <w:sz w:val="32"/>
          <w:szCs w:val="32"/>
        </w:rPr>
        <w:t>衔接审批，</w:t>
      </w:r>
      <w:r>
        <w:rPr>
          <w:sz w:val="32"/>
          <w:szCs w:val="32"/>
        </w:rPr>
        <w:t xml:space="preserve"> </w:t>
      </w:r>
      <w:r>
        <w:rPr>
          <w:spacing w:val="-9"/>
          <w:sz w:val="32"/>
          <w:szCs w:val="32"/>
        </w:rPr>
        <w:t>减少挂起、停顿环节，确保总用时压缩。</w:t>
      </w:r>
    </w:p>
    <w:p w14:paraId="33FAF6F6">
      <w:pPr>
        <w:pStyle w:val="2"/>
        <w:spacing w:before="46" w:line="302" w:lineRule="auto"/>
        <w:ind w:right="99" w:firstLine="549"/>
        <w:rPr>
          <w:sz w:val="32"/>
          <w:szCs w:val="32"/>
        </w:rPr>
      </w:pPr>
      <w:r>
        <w:rPr>
          <w:b/>
          <w:bCs/>
          <w:spacing w:val="-8"/>
          <w:sz w:val="32"/>
          <w:szCs w:val="32"/>
        </w:rPr>
        <w:t>13.推行建设项目智能化审批。</w:t>
      </w:r>
      <w:r>
        <w:rPr>
          <w:spacing w:val="-8"/>
          <w:sz w:val="32"/>
          <w:szCs w:val="32"/>
        </w:rPr>
        <w:t>深入推进互联网+政务服务，</w:t>
      </w:r>
      <w:r>
        <w:rPr>
          <w:spacing w:val="1"/>
          <w:sz w:val="32"/>
          <w:szCs w:val="32"/>
        </w:rPr>
        <w:t xml:space="preserve"> </w:t>
      </w:r>
      <w:r>
        <w:rPr>
          <w:spacing w:val="-10"/>
          <w:sz w:val="32"/>
          <w:szCs w:val="32"/>
        </w:rPr>
        <w:t>搭建建设项目规划方案智能化审查系统，推行建设项目智能化审</w:t>
      </w:r>
      <w:r>
        <w:rPr>
          <w:spacing w:val="8"/>
          <w:sz w:val="32"/>
          <w:szCs w:val="32"/>
        </w:rPr>
        <w:t xml:space="preserve"> </w:t>
      </w:r>
      <w:r>
        <w:rPr>
          <w:spacing w:val="-11"/>
          <w:sz w:val="32"/>
          <w:szCs w:val="32"/>
        </w:rPr>
        <w:t>批，提升审批质效。</w:t>
      </w:r>
    </w:p>
    <w:p w14:paraId="40F29D72">
      <w:pPr>
        <w:spacing w:before="35" w:line="224" w:lineRule="auto"/>
        <w:rPr>
          <w:rFonts w:ascii="楷体" w:hAnsi="楷体" w:eastAsia="楷体" w:cs="楷体"/>
          <w:sz w:val="32"/>
          <w:szCs w:val="32"/>
        </w:rPr>
      </w:pPr>
      <w:r>
        <w:rPr>
          <w:rFonts w:ascii="楷体" w:hAnsi="楷体" w:eastAsia="楷体" w:cs="楷体"/>
          <w:spacing w:val="5"/>
          <w:sz w:val="32"/>
          <w:szCs w:val="32"/>
        </w:rPr>
        <w:t>(三)推动服务创新发展。</w:t>
      </w:r>
    </w:p>
    <w:p w14:paraId="2D604425">
      <w:pPr>
        <w:pStyle w:val="2"/>
        <w:spacing w:before="149" w:line="301" w:lineRule="auto"/>
        <w:ind w:right="129" w:firstLine="649"/>
        <w:rPr>
          <w:sz w:val="32"/>
          <w:szCs w:val="32"/>
        </w:rPr>
      </w:pPr>
      <w:r>
        <w:rPr>
          <w:b/>
          <w:bCs/>
          <w:spacing w:val="-5"/>
          <w:sz w:val="32"/>
          <w:szCs w:val="32"/>
        </w:rPr>
        <w:t>14.探索开展不动产登记信息及地籍图可视化查询。</w:t>
      </w:r>
      <w:r>
        <w:rPr>
          <w:spacing w:val="-5"/>
          <w:sz w:val="32"/>
          <w:szCs w:val="32"/>
        </w:rPr>
        <w:t>开发可</w:t>
      </w:r>
      <w:r>
        <w:rPr>
          <w:spacing w:val="2"/>
          <w:sz w:val="32"/>
          <w:szCs w:val="32"/>
        </w:rPr>
        <w:t xml:space="preserve"> </w:t>
      </w:r>
      <w:r>
        <w:rPr>
          <w:spacing w:val="-18"/>
          <w:sz w:val="32"/>
          <w:szCs w:val="32"/>
        </w:rPr>
        <w:t>视化查询桌面端、移动端和建设三维模型，通过湖北政务服务网，</w:t>
      </w:r>
      <w:r>
        <w:rPr>
          <w:spacing w:val="11"/>
          <w:sz w:val="32"/>
          <w:szCs w:val="32"/>
        </w:rPr>
        <w:t xml:space="preserve"> </w:t>
      </w:r>
      <w:r>
        <w:rPr>
          <w:spacing w:val="-7"/>
          <w:sz w:val="32"/>
          <w:szCs w:val="32"/>
        </w:rPr>
        <w:t>实现可视化平台实名认证登录。提供基础信息查询、点选查询、</w:t>
      </w:r>
      <w:r>
        <w:rPr>
          <w:spacing w:val="5"/>
          <w:sz w:val="32"/>
          <w:szCs w:val="32"/>
        </w:rPr>
        <w:t xml:space="preserve"> </w:t>
      </w:r>
      <w:r>
        <w:rPr>
          <w:spacing w:val="-10"/>
          <w:sz w:val="32"/>
          <w:szCs w:val="32"/>
        </w:rPr>
        <w:t>详细信息查询、限制状态查询四种服务，提供二三维结合的展示</w:t>
      </w:r>
      <w:r>
        <w:rPr>
          <w:spacing w:val="1"/>
          <w:sz w:val="32"/>
          <w:szCs w:val="32"/>
        </w:rPr>
        <w:t xml:space="preserve"> </w:t>
      </w:r>
      <w:r>
        <w:rPr>
          <w:spacing w:val="-10"/>
          <w:sz w:val="32"/>
          <w:szCs w:val="32"/>
        </w:rPr>
        <w:t>方式，实现不动产自然状况、权利限制状况、房屋买卖状况、地</w:t>
      </w:r>
      <w:r>
        <w:rPr>
          <w:spacing w:val="3"/>
          <w:sz w:val="32"/>
          <w:szCs w:val="32"/>
        </w:rPr>
        <w:t xml:space="preserve"> </w:t>
      </w:r>
      <w:r>
        <w:rPr>
          <w:spacing w:val="-9"/>
          <w:sz w:val="32"/>
          <w:szCs w:val="32"/>
        </w:rPr>
        <w:t>籍图等信息互联网查询。</w:t>
      </w:r>
    </w:p>
    <w:p w14:paraId="2DECF706">
      <w:pPr>
        <w:pStyle w:val="2"/>
        <w:spacing w:before="108" w:line="294" w:lineRule="auto"/>
        <w:ind w:firstLine="649"/>
        <w:jc w:val="both"/>
        <w:rPr>
          <w:sz w:val="32"/>
          <w:szCs w:val="32"/>
        </w:rPr>
      </w:pPr>
      <w:r>
        <w:rPr>
          <w:b/>
          <w:bCs/>
          <w:spacing w:val="-4"/>
          <w:sz w:val="32"/>
          <w:szCs w:val="32"/>
        </w:rPr>
        <w:t>15.推进土地全生命周期“一码管地”改革。</w:t>
      </w:r>
      <w:r>
        <w:rPr>
          <w:spacing w:val="-4"/>
          <w:sz w:val="32"/>
          <w:szCs w:val="32"/>
        </w:rPr>
        <w:t>基于全省通用</w:t>
      </w:r>
      <w:r>
        <w:rPr>
          <w:spacing w:val="7"/>
          <w:sz w:val="32"/>
          <w:szCs w:val="32"/>
        </w:rPr>
        <w:t xml:space="preserve">  </w:t>
      </w:r>
      <w:r>
        <w:rPr>
          <w:spacing w:val="-13"/>
          <w:sz w:val="32"/>
          <w:szCs w:val="32"/>
        </w:rPr>
        <w:t>土地管理代码编制规则，结合自身业务类型对部分编码</w:t>
      </w:r>
      <w:r>
        <w:rPr>
          <w:spacing w:val="-14"/>
          <w:sz w:val="32"/>
          <w:szCs w:val="32"/>
        </w:rPr>
        <w:t>进行拓展，</w:t>
      </w:r>
      <w:r>
        <w:rPr>
          <w:sz w:val="32"/>
          <w:szCs w:val="32"/>
        </w:rPr>
        <w:t xml:space="preserve"> </w:t>
      </w:r>
      <w:r>
        <w:rPr>
          <w:spacing w:val="-10"/>
          <w:sz w:val="32"/>
          <w:szCs w:val="32"/>
        </w:rPr>
        <w:t>开展省级编码系统本地化适配部署。形成土地管理数据多部门共</w:t>
      </w:r>
      <w:r>
        <w:rPr>
          <w:sz w:val="32"/>
          <w:szCs w:val="32"/>
        </w:rPr>
        <w:t xml:space="preserve">  </w:t>
      </w:r>
      <w:r>
        <w:rPr>
          <w:spacing w:val="-11"/>
          <w:sz w:val="32"/>
          <w:szCs w:val="32"/>
        </w:rPr>
        <w:t>享复用的良好格局，为市场主体减负担，为营商环境创条件，为</w:t>
      </w:r>
      <w:r>
        <w:rPr>
          <w:spacing w:val="1"/>
          <w:sz w:val="32"/>
          <w:szCs w:val="32"/>
        </w:rPr>
        <w:t xml:space="preserve">  </w:t>
      </w:r>
      <w:r>
        <w:rPr>
          <w:spacing w:val="-9"/>
          <w:sz w:val="32"/>
          <w:szCs w:val="32"/>
        </w:rPr>
        <w:t>群众办事增便利，服务高质量发展。</w:t>
      </w:r>
    </w:p>
    <w:p w14:paraId="4819DCD3">
      <w:pPr>
        <w:spacing w:line="294" w:lineRule="auto"/>
        <w:rPr>
          <w:sz w:val="32"/>
          <w:szCs w:val="32"/>
        </w:rPr>
        <w:sectPr>
          <w:footerReference r:id="rId10" w:type="default"/>
          <w:pgSz w:w="12090" w:h="16970"/>
          <w:pgMar w:top="1442" w:right="1549" w:bottom="1532" w:left="1640" w:header="0" w:footer="1217" w:gutter="0"/>
          <w:pgNumType w:fmt="decimal"/>
          <w:cols w:space="720" w:num="1"/>
        </w:sectPr>
      </w:pPr>
    </w:p>
    <w:p w14:paraId="1AF4D9F1">
      <w:pPr>
        <w:spacing w:line="255" w:lineRule="auto"/>
        <w:rPr>
          <w:rFonts w:ascii="Arial"/>
          <w:sz w:val="21"/>
        </w:rPr>
      </w:pPr>
    </w:p>
    <w:p w14:paraId="3C5DF567">
      <w:pPr>
        <w:spacing w:before="104" w:line="223" w:lineRule="auto"/>
        <w:ind w:firstLine="1490" w:firstLineChars="500"/>
        <w:outlineLvl w:val="0"/>
        <w:rPr>
          <w:rFonts w:ascii="仿宋" w:hAnsi="仿宋" w:eastAsia="仿宋" w:cs="仿宋"/>
          <w:snapToGrid w:val="0"/>
          <w:color w:val="000000"/>
          <w:spacing w:val="-11"/>
          <w:kern w:val="0"/>
          <w:sz w:val="32"/>
          <w:szCs w:val="32"/>
          <w:lang w:val="en-US" w:eastAsia="en-US" w:bidi="ar-SA"/>
        </w:rPr>
      </w:pPr>
      <w:r>
        <w:rPr>
          <w:rFonts w:ascii="仿宋" w:hAnsi="仿宋" w:eastAsia="仿宋" w:cs="仿宋"/>
          <w:snapToGrid w:val="0"/>
          <w:color w:val="000000"/>
          <w:spacing w:val="-11"/>
          <w:kern w:val="0"/>
          <w:sz w:val="32"/>
          <w:szCs w:val="32"/>
          <w:lang w:val="en-US" w:eastAsia="en-US" w:bidi="ar-SA"/>
        </w:rPr>
        <w:t>(四)推进服务体系建设。</w:t>
      </w:r>
    </w:p>
    <w:p w14:paraId="538A662B">
      <w:pPr>
        <w:pStyle w:val="2"/>
        <w:spacing w:before="158" w:line="296" w:lineRule="auto"/>
        <w:ind w:left="1679" w:right="310" w:firstLine="634"/>
        <w:jc w:val="both"/>
        <w:rPr>
          <w:rFonts w:ascii="仿宋" w:hAnsi="仿宋" w:eastAsia="仿宋" w:cs="仿宋"/>
          <w:snapToGrid w:val="0"/>
          <w:color w:val="000000"/>
          <w:spacing w:val="-11"/>
          <w:kern w:val="0"/>
          <w:sz w:val="32"/>
          <w:szCs w:val="32"/>
          <w:lang w:val="en-US" w:eastAsia="en-US" w:bidi="ar-SA"/>
        </w:rPr>
      </w:pPr>
      <w:r>
        <w:rPr>
          <w:rFonts w:ascii="仿宋" w:hAnsi="仿宋" w:eastAsia="仿宋" w:cs="仿宋"/>
          <w:b/>
          <w:bCs/>
          <w:snapToGrid w:val="0"/>
          <w:color w:val="000000"/>
          <w:spacing w:val="-11"/>
          <w:kern w:val="0"/>
          <w:sz w:val="32"/>
          <w:szCs w:val="32"/>
          <w:lang w:val="en-US" w:eastAsia="en-US" w:bidi="ar-SA"/>
        </w:rPr>
        <w:t>16.全面推进不动产登记“同市同标”系统建设。</w:t>
      </w:r>
      <w:r>
        <w:rPr>
          <w:rFonts w:ascii="仿宋" w:hAnsi="仿宋" w:eastAsia="仿宋" w:cs="仿宋"/>
          <w:snapToGrid w:val="0"/>
          <w:color w:val="000000"/>
          <w:spacing w:val="-11"/>
          <w:kern w:val="0"/>
          <w:sz w:val="32"/>
          <w:szCs w:val="32"/>
          <w:lang w:val="en-US" w:eastAsia="en-US" w:bidi="ar-SA"/>
        </w:rPr>
        <w:t>统筹循序 渐进推动各县(市、区)系统升级，统一全市业务流程、抓好数 据质量提升，确保圆满完成省营商环境考核评价任务。</w:t>
      </w:r>
    </w:p>
    <w:p w14:paraId="5563AEF2">
      <w:pPr>
        <w:pStyle w:val="2"/>
        <w:spacing w:before="38" w:line="267" w:lineRule="auto"/>
        <w:ind w:left="1639" w:right="245" w:firstLine="674"/>
        <w:jc w:val="both"/>
        <w:rPr>
          <w:rFonts w:ascii="仿宋" w:hAnsi="仿宋" w:eastAsia="仿宋" w:cs="仿宋"/>
          <w:snapToGrid w:val="0"/>
          <w:color w:val="000000"/>
          <w:spacing w:val="-11"/>
          <w:kern w:val="0"/>
          <w:sz w:val="32"/>
          <w:szCs w:val="32"/>
          <w:lang w:val="en-US" w:eastAsia="en-US" w:bidi="ar-SA"/>
        </w:rPr>
      </w:pPr>
      <w:r>
        <w:rPr>
          <w:rFonts w:ascii="仿宋" w:hAnsi="仿宋" w:eastAsia="仿宋" w:cs="仿宋"/>
          <w:b/>
          <w:bCs/>
          <w:snapToGrid w:val="0"/>
          <w:color w:val="000000"/>
          <w:spacing w:val="-11"/>
          <w:kern w:val="0"/>
          <w:sz w:val="32"/>
          <w:szCs w:val="32"/>
          <w:lang w:val="en-US" w:eastAsia="en-US" w:bidi="ar-SA"/>
        </w:rPr>
        <w:t>17.推动省内不动产登记一体化协同办理。</w:t>
      </w:r>
      <w:r>
        <w:rPr>
          <w:rFonts w:ascii="仿宋" w:hAnsi="仿宋" w:eastAsia="仿宋" w:cs="仿宋"/>
          <w:snapToGrid w:val="0"/>
          <w:color w:val="000000"/>
          <w:spacing w:val="-11"/>
          <w:kern w:val="0"/>
          <w:sz w:val="32"/>
          <w:szCs w:val="32"/>
          <w:lang w:val="en-US" w:eastAsia="en-US" w:bidi="ar-SA"/>
        </w:rPr>
        <w:t>复制推广“襄十 随神”不动产登记一体化协同办理示范区建设试点经验，积极参 与武汉都市圈一体化协同办理规范性建设工作。</w:t>
      </w:r>
    </w:p>
    <w:p w14:paraId="685E40DA">
      <w:pPr>
        <w:pStyle w:val="2"/>
        <w:spacing w:line="295" w:lineRule="auto"/>
        <w:ind w:left="1679" w:right="308" w:firstLine="634"/>
        <w:rPr>
          <w:rFonts w:ascii="仿宋" w:hAnsi="仿宋" w:eastAsia="仿宋" w:cs="仿宋"/>
          <w:snapToGrid w:val="0"/>
          <w:color w:val="000000"/>
          <w:spacing w:val="-11"/>
          <w:kern w:val="0"/>
          <w:sz w:val="32"/>
          <w:szCs w:val="32"/>
          <w:lang w:val="en-US" w:eastAsia="en-US" w:bidi="ar-SA"/>
        </w:rPr>
      </w:pPr>
      <w:r>
        <w:rPr>
          <w:rFonts w:ascii="仿宋" w:hAnsi="仿宋" w:eastAsia="仿宋" w:cs="仿宋"/>
          <w:b/>
          <w:bCs/>
          <w:snapToGrid w:val="0"/>
          <w:color w:val="000000"/>
          <w:spacing w:val="-11"/>
          <w:kern w:val="0"/>
          <w:sz w:val="32"/>
          <w:szCs w:val="32"/>
          <w:lang w:val="en-US" w:eastAsia="en-US" w:bidi="ar-SA"/>
        </w:rPr>
        <w:t>18.高效推动服务、资源、平台“三下沉”。</w:t>
      </w:r>
      <w:r>
        <w:rPr>
          <w:rFonts w:ascii="仿宋" w:hAnsi="仿宋" w:eastAsia="仿宋" w:cs="仿宋"/>
          <w:snapToGrid w:val="0"/>
          <w:color w:val="000000"/>
          <w:spacing w:val="-11"/>
          <w:kern w:val="0"/>
          <w:sz w:val="32"/>
          <w:szCs w:val="32"/>
          <w:lang w:val="en-US" w:eastAsia="en-US" w:bidi="ar-SA"/>
        </w:rPr>
        <w:t>着力推进农村不 动产确权登记，加快推进“房地一体”宅基地确权登记、土地承包经营权一林权登记纳入不动产登记相关工作。完善“三级联动三 业务直通、一事联办”工作机制，推行“一次跑、一窗办、一站 式”服务模式，让群众充分享受到“不出乡镇、集成服务、一窗  通办”高效便捷的贴心服务。</w:t>
      </w:r>
    </w:p>
    <w:p w14:paraId="7AE2FDA8">
      <w:pPr>
        <w:spacing w:before="72" w:line="223" w:lineRule="auto"/>
        <w:ind w:firstLine="1490" w:firstLineChars="500"/>
        <w:rPr>
          <w:rFonts w:ascii="仿宋" w:hAnsi="仿宋" w:eastAsia="仿宋" w:cs="仿宋"/>
          <w:snapToGrid w:val="0"/>
          <w:color w:val="000000"/>
          <w:spacing w:val="-11"/>
          <w:kern w:val="0"/>
          <w:sz w:val="32"/>
          <w:szCs w:val="32"/>
          <w:lang w:val="en-US" w:eastAsia="en-US" w:bidi="ar-SA"/>
        </w:rPr>
      </w:pPr>
      <w:r>
        <w:rPr>
          <w:rFonts w:ascii="仿宋" w:hAnsi="仿宋" w:eastAsia="仿宋" w:cs="仿宋"/>
          <w:snapToGrid w:val="0"/>
          <w:color w:val="000000"/>
          <w:spacing w:val="-11"/>
          <w:kern w:val="0"/>
          <w:sz w:val="32"/>
          <w:szCs w:val="32"/>
          <w:lang w:val="en-US" w:eastAsia="en-US" w:bidi="ar-SA"/>
        </w:rPr>
        <w:t>(五)聚焦群众急难愁盼。</w:t>
      </w:r>
    </w:p>
    <w:p w14:paraId="71CD7E96">
      <w:pPr>
        <w:pStyle w:val="2"/>
        <w:spacing w:before="151" w:line="222" w:lineRule="auto"/>
        <w:ind w:left="2314"/>
        <w:outlineLvl w:val="0"/>
        <w:rPr>
          <w:rFonts w:ascii="仿宋" w:hAnsi="仿宋" w:eastAsia="仿宋" w:cs="仿宋"/>
          <w:b/>
          <w:bCs/>
          <w:snapToGrid w:val="0"/>
          <w:color w:val="000000"/>
          <w:spacing w:val="-11"/>
          <w:kern w:val="0"/>
          <w:sz w:val="32"/>
          <w:szCs w:val="32"/>
          <w:lang w:val="en-US" w:eastAsia="en-US" w:bidi="ar-SA"/>
        </w:rPr>
      </w:pPr>
      <w:r>
        <w:rPr>
          <w:rFonts w:ascii="仿宋" w:hAnsi="仿宋" w:eastAsia="仿宋" w:cs="仿宋"/>
          <w:b/>
          <w:bCs/>
          <w:snapToGrid w:val="0"/>
          <w:color w:val="000000"/>
          <w:spacing w:val="-11"/>
          <w:kern w:val="0"/>
          <w:sz w:val="32"/>
          <w:szCs w:val="32"/>
          <w:lang w:val="en-US" w:eastAsia="en-US" w:bidi="ar-SA"/>
        </w:rPr>
        <w:t>19.畅通企业和群众反映诉求的渠道，开展营商环境大起底。</w:t>
      </w:r>
    </w:p>
    <w:p w14:paraId="229B47F5">
      <w:pPr>
        <w:pStyle w:val="2"/>
        <w:spacing w:before="158" w:line="303" w:lineRule="auto"/>
        <w:ind w:left="1679" w:right="209"/>
        <w:jc w:val="both"/>
        <w:rPr>
          <w:rFonts w:ascii="仿宋" w:hAnsi="仿宋" w:eastAsia="仿宋" w:cs="仿宋"/>
          <w:snapToGrid w:val="0"/>
          <w:color w:val="000000"/>
          <w:spacing w:val="-11"/>
          <w:kern w:val="0"/>
          <w:sz w:val="32"/>
          <w:szCs w:val="32"/>
          <w:lang w:val="en-US" w:eastAsia="en-US" w:bidi="ar-SA"/>
        </w:rPr>
      </w:pPr>
      <w:r>
        <w:rPr>
          <w:rFonts w:ascii="仿宋" w:hAnsi="仿宋" w:eastAsia="仿宋" w:cs="仿宋"/>
          <w:snapToGrid w:val="0"/>
          <w:color w:val="000000"/>
          <w:spacing w:val="-11"/>
          <w:kern w:val="0"/>
          <w:sz w:val="32"/>
          <w:szCs w:val="32"/>
          <w:lang w:val="en-US" w:eastAsia="en-US" w:bidi="ar-SA"/>
        </w:rPr>
        <w:t>坚持问计于民、问需于民；时刻关注政策咨询、民生服务等群众 关心的热点难点问题，主动接纳群众建言，及时回应社会关切。 当好店小二，建立快速响应、高效办理、及时反馈的企业服务机  制，做好业务咨询、政策落实、项目推进等工作。</w:t>
      </w:r>
    </w:p>
    <w:p w14:paraId="3FFE0F57">
      <w:pPr>
        <w:pStyle w:val="2"/>
        <w:spacing w:before="66" w:line="222" w:lineRule="auto"/>
        <w:ind w:left="2314"/>
        <w:rPr>
          <w:rFonts w:ascii="仿宋" w:hAnsi="仿宋" w:eastAsia="仿宋" w:cs="仿宋"/>
          <w:snapToGrid w:val="0"/>
          <w:color w:val="000000"/>
          <w:spacing w:val="-11"/>
          <w:kern w:val="0"/>
          <w:sz w:val="32"/>
          <w:szCs w:val="32"/>
          <w:lang w:val="en-US" w:eastAsia="en-US" w:bidi="ar-SA"/>
        </w:rPr>
      </w:pPr>
      <w:r>
        <w:rPr>
          <w:rFonts w:ascii="仿宋" w:hAnsi="仿宋" w:eastAsia="仿宋" w:cs="仿宋"/>
          <w:b/>
          <w:bCs/>
          <w:snapToGrid w:val="0"/>
          <w:color w:val="000000"/>
          <w:spacing w:val="-11"/>
          <w:kern w:val="0"/>
          <w:sz w:val="32"/>
          <w:szCs w:val="32"/>
          <w:lang w:val="en-US" w:eastAsia="en-US" w:bidi="ar-SA"/>
        </w:rPr>
        <w:t>20.努力化解自然资源和规划领域历史遗留问题。</w:t>
      </w:r>
      <w:r>
        <w:rPr>
          <w:rFonts w:ascii="仿宋" w:hAnsi="仿宋" w:eastAsia="仿宋" w:cs="仿宋"/>
          <w:snapToGrid w:val="0"/>
          <w:color w:val="000000"/>
          <w:spacing w:val="-11"/>
          <w:kern w:val="0"/>
          <w:sz w:val="32"/>
          <w:szCs w:val="32"/>
          <w:lang w:val="en-US" w:eastAsia="en-US" w:bidi="ar-SA"/>
        </w:rPr>
        <w:t>严格落实</w:t>
      </w:r>
    </w:p>
    <w:p w14:paraId="15029050">
      <w:pPr>
        <w:pStyle w:val="2"/>
        <w:spacing w:before="120" w:line="283" w:lineRule="auto"/>
        <w:ind w:left="1678" w:hanging="79"/>
        <w:rPr>
          <w:rFonts w:ascii="仿宋" w:hAnsi="仿宋" w:eastAsia="仿宋" w:cs="仿宋"/>
          <w:snapToGrid w:val="0"/>
          <w:color w:val="000000"/>
          <w:spacing w:val="-11"/>
          <w:kern w:val="0"/>
          <w:sz w:val="32"/>
          <w:szCs w:val="32"/>
          <w:lang w:val="en-US" w:eastAsia="en-US" w:bidi="ar-SA"/>
        </w:rPr>
      </w:pPr>
      <w:r>
        <w:rPr>
          <w:rFonts w:ascii="仿宋" w:hAnsi="仿宋" w:eastAsia="仿宋" w:cs="仿宋"/>
          <w:snapToGrid w:val="0"/>
          <w:color w:val="000000"/>
          <w:spacing w:val="-11"/>
          <w:kern w:val="0"/>
          <w:sz w:val="32"/>
          <w:szCs w:val="32"/>
          <w:lang w:val="en-US" w:eastAsia="en-US" w:bidi="ar-SA"/>
        </w:rPr>
        <w:t>《咸宁市自然资源和规划局解决不动产登记历史遗留问题的实 施方案》,着力解决我市国有建设用地上不动产登记历史遗留问  题，保护广大人民群众的合法权益，促进房地产市场健康发展，</w:t>
      </w:r>
    </w:p>
    <w:p w14:paraId="7D227BAC">
      <w:pPr>
        <w:pStyle w:val="2"/>
        <w:spacing w:before="53" w:line="219" w:lineRule="auto"/>
        <w:ind w:left="1679"/>
        <w:rPr>
          <w:rFonts w:ascii="仿宋" w:hAnsi="仿宋" w:eastAsia="仿宋" w:cs="仿宋"/>
          <w:snapToGrid w:val="0"/>
          <w:color w:val="000000"/>
          <w:spacing w:val="-11"/>
          <w:kern w:val="0"/>
          <w:sz w:val="32"/>
          <w:szCs w:val="32"/>
          <w:lang w:val="en-US" w:eastAsia="en-US" w:bidi="ar-SA"/>
        </w:rPr>
      </w:pPr>
      <w:r>
        <w:rPr>
          <w:rFonts w:ascii="仿宋" w:hAnsi="仿宋" w:eastAsia="仿宋" w:cs="仿宋"/>
          <w:snapToGrid w:val="0"/>
          <w:color w:val="000000"/>
          <w:spacing w:val="-11"/>
          <w:kern w:val="0"/>
          <w:sz w:val="32"/>
          <w:szCs w:val="32"/>
          <w:lang w:val="en-US" w:eastAsia="en-US" w:bidi="ar-SA"/>
        </w:rPr>
        <w:t>维护社会和谐稳定。</w:t>
      </w:r>
    </w:p>
    <w:p w14:paraId="2B7EC8F2">
      <w:pPr>
        <w:spacing w:line="219" w:lineRule="auto"/>
        <w:rPr>
          <w:rFonts w:ascii="仿宋" w:hAnsi="仿宋" w:eastAsia="仿宋" w:cs="仿宋"/>
          <w:snapToGrid w:val="0"/>
          <w:color w:val="000000"/>
          <w:spacing w:val="-11"/>
          <w:kern w:val="0"/>
          <w:sz w:val="32"/>
          <w:szCs w:val="32"/>
          <w:lang w:val="en-US" w:eastAsia="en-US" w:bidi="ar-SA"/>
        </w:rPr>
        <w:sectPr>
          <w:footerReference r:id="rId11" w:type="default"/>
          <w:pgSz w:w="12070" w:h="16960"/>
          <w:pgMar w:top="1441" w:right="1410" w:bottom="1494" w:left="90" w:header="0" w:footer="1177" w:gutter="0"/>
          <w:pgNumType w:fmt="decimal"/>
          <w:cols w:space="720" w:num="1"/>
        </w:sectPr>
      </w:pPr>
    </w:p>
    <w:p w14:paraId="28255F25">
      <w:pPr>
        <w:spacing w:line="275" w:lineRule="auto"/>
        <w:rPr>
          <w:rFonts w:ascii="Arial"/>
          <w:sz w:val="21"/>
        </w:rPr>
      </w:pPr>
    </w:p>
    <w:p w14:paraId="670E4E6D">
      <w:pPr>
        <w:spacing w:before="104" w:line="224" w:lineRule="auto"/>
        <w:rPr>
          <w:rFonts w:ascii="楷体" w:hAnsi="楷体" w:eastAsia="楷体" w:cs="楷体"/>
          <w:sz w:val="32"/>
          <w:szCs w:val="32"/>
        </w:rPr>
      </w:pPr>
      <w:r>
        <w:rPr>
          <w:rFonts w:ascii="楷体" w:hAnsi="楷体" w:eastAsia="楷体" w:cs="楷体"/>
          <w:spacing w:val="4"/>
          <w:sz w:val="32"/>
          <w:szCs w:val="32"/>
        </w:rPr>
        <w:t>(六)夯实履职尽责基础。</w:t>
      </w:r>
    </w:p>
    <w:p w14:paraId="3140E551">
      <w:pPr>
        <w:pStyle w:val="2"/>
        <w:spacing w:before="131" w:line="314" w:lineRule="auto"/>
        <w:ind w:right="118" w:firstLine="674"/>
        <w:rPr>
          <w:sz w:val="32"/>
          <w:szCs w:val="32"/>
        </w:rPr>
      </w:pPr>
      <w:r>
        <w:rPr>
          <w:rFonts w:ascii="宋体" w:hAnsi="宋体" w:eastAsia="宋体" w:cs="宋体"/>
          <w:b/>
          <w:bCs/>
          <w:spacing w:val="-8"/>
          <w:sz w:val="32"/>
          <w:szCs w:val="32"/>
        </w:rPr>
        <w:t>21.</w:t>
      </w:r>
      <w:r>
        <w:rPr>
          <w:b/>
          <w:bCs/>
          <w:spacing w:val="-8"/>
          <w:sz w:val="32"/>
          <w:szCs w:val="32"/>
        </w:rPr>
        <w:t>开展不动产登记队伍作风和素质提升专项行动。建立</w:t>
      </w:r>
      <w:r>
        <w:rPr>
          <w:spacing w:val="-8"/>
          <w:sz w:val="32"/>
          <w:szCs w:val="32"/>
        </w:rPr>
        <w:t>健</w:t>
      </w:r>
      <w:r>
        <w:rPr>
          <w:spacing w:val="2"/>
          <w:sz w:val="32"/>
          <w:szCs w:val="32"/>
        </w:rPr>
        <w:t xml:space="preserve"> </w:t>
      </w:r>
      <w:r>
        <w:rPr>
          <w:spacing w:val="-9"/>
          <w:sz w:val="32"/>
          <w:szCs w:val="32"/>
        </w:rPr>
        <w:t>全窗口人员服务行为规范，聚焦重点环节，明确登记窗口人员行</w:t>
      </w:r>
      <w:r>
        <w:rPr>
          <w:spacing w:val="12"/>
          <w:sz w:val="32"/>
          <w:szCs w:val="32"/>
        </w:rPr>
        <w:t xml:space="preserve"> </w:t>
      </w:r>
      <w:r>
        <w:rPr>
          <w:spacing w:val="-9"/>
          <w:sz w:val="32"/>
          <w:szCs w:val="32"/>
        </w:rPr>
        <w:t>为、纪律、礼仪等基本准则，常态化开展登记业务培训。通</w:t>
      </w:r>
      <w:r>
        <w:rPr>
          <w:spacing w:val="-10"/>
          <w:sz w:val="32"/>
          <w:szCs w:val="32"/>
        </w:rPr>
        <w:t>过不</w:t>
      </w:r>
      <w:r>
        <w:rPr>
          <w:sz w:val="32"/>
          <w:szCs w:val="32"/>
        </w:rPr>
        <w:t xml:space="preserve"> </w:t>
      </w:r>
      <w:r>
        <w:rPr>
          <w:spacing w:val="-21"/>
          <w:sz w:val="32"/>
          <w:szCs w:val="32"/>
        </w:rPr>
        <w:t>动产登记职业技能大赛、“最美登记人”评选、“青年文明号”创</w:t>
      </w:r>
      <w:r>
        <w:rPr>
          <w:spacing w:val="15"/>
          <w:sz w:val="32"/>
          <w:szCs w:val="32"/>
        </w:rPr>
        <w:t xml:space="preserve"> </w:t>
      </w:r>
      <w:r>
        <w:rPr>
          <w:spacing w:val="-9"/>
          <w:sz w:val="32"/>
          <w:szCs w:val="32"/>
        </w:rPr>
        <w:t>建、评优评先等多种方式，推出一批先进典型，形成争先创优的</w:t>
      </w:r>
      <w:r>
        <w:rPr>
          <w:spacing w:val="1"/>
          <w:sz w:val="32"/>
          <w:szCs w:val="32"/>
        </w:rPr>
        <w:t xml:space="preserve"> </w:t>
      </w:r>
      <w:r>
        <w:rPr>
          <w:spacing w:val="-9"/>
          <w:sz w:val="32"/>
          <w:szCs w:val="32"/>
        </w:rPr>
        <w:t>良好氛围。</w:t>
      </w:r>
    </w:p>
    <w:p w14:paraId="028CAF69">
      <w:pPr>
        <w:pStyle w:val="2"/>
        <w:spacing w:before="79" w:line="311" w:lineRule="auto"/>
        <w:ind w:left="59" w:right="135" w:firstLine="624"/>
        <w:rPr>
          <w:sz w:val="32"/>
          <w:szCs w:val="32"/>
        </w:rPr>
      </w:pPr>
      <w:r>
        <w:rPr>
          <w:b/>
          <w:bCs/>
          <w:spacing w:val="-7"/>
          <w:sz w:val="32"/>
          <w:szCs w:val="32"/>
        </w:rPr>
        <w:t>22.优化法制化营商环境。</w:t>
      </w:r>
      <w:r>
        <w:rPr>
          <w:spacing w:val="-7"/>
          <w:sz w:val="32"/>
          <w:szCs w:val="32"/>
        </w:rPr>
        <w:t>规范行政执法，推动行政执法三</w:t>
      </w:r>
      <w:r>
        <w:rPr>
          <w:spacing w:val="4"/>
          <w:sz w:val="32"/>
          <w:szCs w:val="32"/>
        </w:rPr>
        <w:t xml:space="preserve"> </w:t>
      </w:r>
      <w:r>
        <w:rPr>
          <w:spacing w:val="-13"/>
          <w:sz w:val="32"/>
          <w:szCs w:val="32"/>
        </w:rPr>
        <w:t>项制度落实落细。</w:t>
      </w:r>
    </w:p>
    <w:p w14:paraId="0EC39F0F">
      <w:pPr>
        <w:pStyle w:val="2"/>
        <w:spacing w:before="47" w:line="311" w:lineRule="auto"/>
        <w:ind w:left="59" w:right="49" w:firstLine="454"/>
        <w:jc w:val="both"/>
        <w:rPr>
          <w:sz w:val="32"/>
          <w:szCs w:val="32"/>
        </w:rPr>
      </w:pPr>
      <w:r>
        <w:rPr>
          <w:b/>
          <w:bCs/>
          <w:sz w:val="32"/>
          <w:szCs w:val="32"/>
        </w:rPr>
        <w:t>23.做好省厅组织开展的营</w:t>
      </w:r>
      <w:r>
        <w:rPr>
          <w:sz w:val="32"/>
          <w:szCs w:val="32"/>
        </w:rPr>
        <w:t>商环境第三测评应考工作。根据</w:t>
      </w:r>
      <w:r>
        <w:rPr>
          <w:spacing w:val="1"/>
          <w:sz w:val="32"/>
          <w:szCs w:val="32"/>
        </w:rPr>
        <w:t xml:space="preserve"> </w:t>
      </w:r>
      <w:r>
        <w:rPr>
          <w:spacing w:val="-11"/>
          <w:sz w:val="32"/>
          <w:szCs w:val="32"/>
        </w:rPr>
        <w:t>第三方对我局营商环境评估中发现的问题，进一步深化改革，降</w:t>
      </w:r>
      <w:r>
        <w:rPr>
          <w:spacing w:val="10"/>
          <w:sz w:val="32"/>
          <w:szCs w:val="32"/>
        </w:rPr>
        <w:t xml:space="preserve"> </w:t>
      </w:r>
      <w:r>
        <w:rPr>
          <w:spacing w:val="-10"/>
          <w:sz w:val="32"/>
          <w:szCs w:val="32"/>
        </w:rPr>
        <w:t>低市场运行成本，提升市场主体满意度。坚持以考核</w:t>
      </w:r>
      <w:r>
        <w:rPr>
          <w:spacing w:val="-11"/>
          <w:sz w:val="32"/>
          <w:szCs w:val="32"/>
        </w:rPr>
        <w:t>抓落实，以</w:t>
      </w:r>
      <w:r>
        <w:rPr>
          <w:sz w:val="32"/>
          <w:szCs w:val="32"/>
        </w:rPr>
        <w:t xml:space="preserve"> </w:t>
      </w:r>
      <w:r>
        <w:rPr>
          <w:spacing w:val="-8"/>
          <w:sz w:val="32"/>
          <w:szCs w:val="32"/>
        </w:rPr>
        <w:t>绩效促实效，有效运用绩效考核“指挥棒”的导</w:t>
      </w:r>
      <w:r>
        <w:rPr>
          <w:spacing w:val="-9"/>
          <w:sz w:val="32"/>
          <w:szCs w:val="32"/>
        </w:rPr>
        <w:t>向和监督作用。</w:t>
      </w:r>
    </w:p>
    <w:p w14:paraId="07C6A3A1">
      <w:pPr>
        <w:pStyle w:val="2"/>
        <w:spacing w:before="47" w:line="220" w:lineRule="auto"/>
        <w:ind w:left="724"/>
        <w:outlineLvl w:val="0"/>
        <w:rPr>
          <w:sz w:val="32"/>
          <w:szCs w:val="32"/>
        </w:rPr>
      </w:pPr>
      <w:r>
        <w:rPr>
          <w:b/>
          <w:bCs/>
          <w:spacing w:val="-27"/>
          <w:sz w:val="32"/>
          <w:szCs w:val="32"/>
        </w:rPr>
        <w:t>三</w:t>
      </w:r>
      <w:r>
        <w:rPr>
          <w:spacing w:val="-64"/>
          <w:sz w:val="32"/>
          <w:szCs w:val="32"/>
        </w:rPr>
        <w:t xml:space="preserve"> </w:t>
      </w:r>
      <w:r>
        <w:rPr>
          <w:b/>
          <w:bCs/>
          <w:spacing w:val="-27"/>
          <w:sz w:val="32"/>
          <w:szCs w:val="32"/>
        </w:rPr>
        <w:t>、工作要求</w:t>
      </w:r>
    </w:p>
    <w:p w14:paraId="420FDC4E">
      <w:pPr>
        <w:pStyle w:val="2"/>
        <w:spacing w:before="218" w:line="303" w:lineRule="auto"/>
        <w:ind w:left="59" w:firstLine="800"/>
        <w:rPr>
          <w:sz w:val="32"/>
          <w:szCs w:val="32"/>
        </w:rPr>
      </w:pPr>
      <w:r>
        <w:rPr>
          <w:rFonts w:ascii="楷体" w:hAnsi="楷体" w:eastAsia="楷体" w:cs="楷体"/>
          <w:b/>
          <w:bCs/>
          <w:spacing w:val="7"/>
          <w:sz w:val="32"/>
          <w:szCs w:val="32"/>
        </w:rPr>
        <w:t>(一)提高思想认识抓落实</w:t>
      </w:r>
      <w:r>
        <w:rPr>
          <w:b/>
          <w:bCs/>
          <w:spacing w:val="7"/>
          <w:sz w:val="32"/>
          <w:szCs w:val="32"/>
        </w:rPr>
        <w:t>。</w:t>
      </w:r>
      <w:r>
        <w:rPr>
          <w:spacing w:val="7"/>
          <w:sz w:val="32"/>
          <w:szCs w:val="32"/>
        </w:rPr>
        <w:t>各科室(单位)要提高政治站</w:t>
      </w:r>
      <w:r>
        <w:rPr>
          <w:spacing w:val="5"/>
          <w:sz w:val="32"/>
          <w:szCs w:val="32"/>
        </w:rPr>
        <w:t xml:space="preserve"> </w:t>
      </w:r>
      <w:r>
        <w:rPr>
          <w:spacing w:val="-11"/>
          <w:sz w:val="32"/>
          <w:szCs w:val="32"/>
        </w:rPr>
        <w:t>位，强化责任担当，准确理解和把握上级工作部署要求，着力补</w:t>
      </w:r>
      <w:r>
        <w:rPr>
          <w:spacing w:val="12"/>
          <w:sz w:val="32"/>
          <w:szCs w:val="32"/>
        </w:rPr>
        <w:t xml:space="preserve"> </w:t>
      </w:r>
      <w:r>
        <w:rPr>
          <w:spacing w:val="-11"/>
          <w:sz w:val="32"/>
          <w:szCs w:val="32"/>
        </w:rPr>
        <w:t>短板、堵漏洞、强弱项、促提升。主要负责人要靠前指挥，认真</w:t>
      </w:r>
      <w:r>
        <w:rPr>
          <w:spacing w:val="6"/>
          <w:sz w:val="32"/>
          <w:szCs w:val="32"/>
        </w:rPr>
        <w:t xml:space="preserve"> </w:t>
      </w:r>
      <w:r>
        <w:rPr>
          <w:spacing w:val="-9"/>
          <w:sz w:val="32"/>
          <w:szCs w:val="32"/>
        </w:rPr>
        <w:t>研究，主动谋划，结合任务要求，细化工作</w:t>
      </w:r>
      <w:r>
        <w:rPr>
          <w:spacing w:val="-10"/>
          <w:sz w:val="32"/>
          <w:szCs w:val="32"/>
        </w:rPr>
        <w:t>措施、研究针对性办</w:t>
      </w:r>
      <w:r>
        <w:rPr>
          <w:sz w:val="32"/>
          <w:szCs w:val="32"/>
        </w:rPr>
        <w:t xml:space="preserve"> </w:t>
      </w:r>
      <w:r>
        <w:rPr>
          <w:spacing w:val="-10"/>
          <w:sz w:val="32"/>
          <w:szCs w:val="32"/>
        </w:rPr>
        <w:t>法。要坚持创新突破，敢于向顽瘤疾开刀，勇于突破利益固化藩</w:t>
      </w:r>
      <w:r>
        <w:rPr>
          <w:spacing w:val="9"/>
          <w:sz w:val="32"/>
          <w:szCs w:val="32"/>
        </w:rPr>
        <w:t xml:space="preserve"> </w:t>
      </w:r>
      <w:r>
        <w:rPr>
          <w:spacing w:val="-17"/>
          <w:sz w:val="32"/>
          <w:szCs w:val="32"/>
        </w:rPr>
        <w:t>篱，充分运用新思维、新技术、新手段推动制度</w:t>
      </w:r>
      <w:r>
        <w:rPr>
          <w:spacing w:val="-18"/>
          <w:sz w:val="32"/>
          <w:szCs w:val="32"/>
        </w:rPr>
        <w:t>创新、流程再造，</w:t>
      </w:r>
      <w:r>
        <w:rPr>
          <w:sz w:val="32"/>
          <w:szCs w:val="32"/>
        </w:rPr>
        <w:t xml:space="preserve"> </w:t>
      </w:r>
      <w:r>
        <w:rPr>
          <w:spacing w:val="-20"/>
          <w:sz w:val="32"/>
          <w:szCs w:val="32"/>
        </w:rPr>
        <w:t>实现“从跟跑到并跑到领跑”。</w:t>
      </w:r>
    </w:p>
    <w:p w14:paraId="4BB90F40">
      <w:pPr>
        <w:pStyle w:val="2"/>
        <w:spacing w:before="201" w:line="265" w:lineRule="auto"/>
        <w:ind w:left="59" w:right="29" w:firstLine="790"/>
        <w:rPr>
          <w:sz w:val="32"/>
          <w:szCs w:val="32"/>
        </w:rPr>
      </w:pPr>
      <w:r>
        <w:rPr>
          <w:rFonts w:ascii="楷体" w:hAnsi="楷体" w:eastAsia="楷体" w:cs="楷体"/>
          <w:b/>
          <w:bCs/>
          <w:spacing w:val="-10"/>
          <w:sz w:val="32"/>
          <w:szCs w:val="32"/>
        </w:rPr>
        <w:t>(二)强化机制保障抓落实</w:t>
      </w:r>
      <w:r>
        <w:rPr>
          <w:b/>
          <w:bCs/>
          <w:spacing w:val="-10"/>
          <w:sz w:val="32"/>
          <w:szCs w:val="32"/>
        </w:rPr>
        <w:t>。</w:t>
      </w:r>
      <w:r>
        <w:rPr>
          <w:spacing w:val="-10"/>
          <w:sz w:val="32"/>
          <w:szCs w:val="32"/>
        </w:rPr>
        <w:t>建立“党组抓总统筹、科室(单</w:t>
      </w:r>
      <w:r>
        <w:rPr>
          <w:spacing w:val="10"/>
          <w:sz w:val="32"/>
          <w:szCs w:val="32"/>
        </w:rPr>
        <w:t xml:space="preserve"> </w:t>
      </w:r>
      <w:r>
        <w:rPr>
          <w:spacing w:val="-13"/>
          <w:sz w:val="32"/>
          <w:szCs w:val="32"/>
        </w:rPr>
        <w:t>位)各负其责、专班协同推进”的工作机制。局营商办建立台账，</w:t>
      </w:r>
    </w:p>
    <w:p w14:paraId="47AE83BB">
      <w:pPr>
        <w:spacing w:line="265" w:lineRule="auto"/>
        <w:rPr>
          <w:sz w:val="32"/>
          <w:szCs w:val="32"/>
        </w:rPr>
        <w:sectPr>
          <w:footerReference r:id="rId12" w:type="default"/>
          <w:pgSz w:w="12130" w:h="16010"/>
          <w:pgMar w:top="1360" w:right="1659" w:bottom="487" w:left="1630" w:header="0" w:footer="221" w:gutter="0"/>
          <w:pgNumType w:fmt="decimal"/>
          <w:cols w:space="720" w:num="1"/>
        </w:sectPr>
      </w:pPr>
    </w:p>
    <w:p w14:paraId="307E04A8">
      <w:pPr>
        <w:spacing w:line="246" w:lineRule="auto"/>
        <w:rPr>
          <w:rFonts w:ascii="Arial"/>
          <w:sz w:val="21"/>
        </w:rPr>
      </w:pPr>
    </w:p>
    <w:p w14:paraId="0D822652">
      <w:pPr>
        <w:spacing w:line="246" w:lineRule="auto"/>
        <w:rPr>
          <w:rFonts w:ascii="Arial"/>
          <w:sz w:val="21"/>
        </w:rPr>
      </w:pPr>
      <w:r>
        <w:drawing>
          <wp:anchor distT="0" distB="0" distL="0" distR="0" simplePos="0" relativeHeight="251660288" behindDoc="0" locked="0" layoutInCell="1" allowOverlap="1">
            <wp:simplePos x="0" y="0"/>
            <wp:positionH relativeFrom="column">
              <wp:posOffset>3364865</wp:posOffset>
            </wp:positionH>
            <wp:positionV relativeFrom="paragraph">
              <wp:posOffset>81915</wp:posOffset>
            </wp:positionV>
            <wp:extent cx="742950" cy="6350"/>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5"/>
                    <a:stretch>
                      <a:fillRect/>
                    </a:stretch>
                  </pic:blipFill>
                  <pic:spPr>
                    <a:xfrm>
                      <a:off x="0" y="0"/>
                      <a:ext cx="742991" cy="6350"/>
                    </a:xfrm>
                    <a:prstGeom prst="rect">
                      <a:avLst/>
                    </a:prstGeom>
                  </pic:spPr>
                </pic:pic>
              </a:graphicData>
            </a:graphic>
          </wp:anchor>
        </w:drawing>
      </w:r>
      <w:r>
        <mc:AlternateContent>
          <mc:Choice Requires="wps">
            <w:drawing>
              <wp:anchor distT="0" distB="0" distL="0" distR="0" simplePos="0" relativeHeight="251659264" behindDoc="0" locked="0" layoutInCell="1" allowOverlap="1">
                <wp:simplePos x="0" y="0"/>
                <wp:positionH relativeFrom="column">
                  <wp:posOffset>5864225</wp:posOffset>
                </wp:positionH>
                <wp:positionV relativeFrom="paragraph">
                  <wp:posOffset>52705</wp:posOffset>
                </wp:positionV>
                <wp:extent cx="239395" cy="148590"/>
                <wp:effectExtent l="0" t="0" r="0" b="0"/>
                <wp:wrapNone/>
                <wp:docPr id="18" name="TextBox 18"/>
                <wp:cNvGraphicFramePr/>
                <a:graphic xmlns:a="http://schemas.openxmlformats.org/drawingml/2006/main">
                  <a:graphicData uri="http://schemas.microsoft.com/office/word/2010/wordprocessingShape">
                    <wps:wsp>
                      <wps:cNvSpPr txBox="1"/>
                      <wps:spPr>
                        <a:xfrm rot="5400000">
                          <a:off x="5864535" y="53047"/>
                          <a:ext cx="239395" cy="148589"/>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14:paraId="772A16D0">
                            <w:pPr>
                              <w:spacing w:before="47" w:line="220" w:lineRule="auto"/>
                              <w:ind w:left="20"/>
                              <w:rPr>
                                <w:rFonts w:ascii="宋体" w:hAnsi="宋体" w:eastAsia="宋体" w:cs="宋体"/>
                                <w:sz w:val="14"/>
                                <w:szCs w:val="14"/>
                              </w:rPr>
                            </w:pPr>
                            <w:r>
                              <w:rPr>
                                <w:rFonts w:ascii="宋体" w:hAnsi="宋体" w:eastAsia="宋体" w:cs="宋体"/>
                                <w:spacing w:val="-3"/>
                                <w:sz w:val="14"/>
                                <w:szCs w:val="14"/>
                              </w:rPr>
                              <w:t>平 大</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8" o:spid="_x0000_s1026" o:spt="202" type="#_x0000_t202" style="position:absolute;left:0pt;margin-left:461.75pt;margin-top:4.15pt;height:11.7pt;width:18.85pt;rotation:5898240f;z-index:251659264;mso-width-relative:page;mso-height-relative:page;" filled="f" stroked="f" coordsize="21600,21600" o:gfxdata="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YX2Q7NcAAAAIAQAADwAAAAAA&#10;AAABACAAAAAiAAAAZHJzL2Rvd25yZXYueG1sUEsBAhQAFAAAAAgAh07iQNBZoItNAgAAoAQAAA4A&#10;AAAAAAAAAQAgAAAAJgEAAGRycy9lMm9Eb2MueG1sUEsFBgAAAAAGAAYAWQEAAOUFAAAAAA==&#10;">
                <v:fill on="f" focussize="0,0"/>
                <v:stroke on="f" weight="0pt" miterlimit="0" joinstyle="miter"/>
                <v:imagedata o:title=""/>
                <o:lock v:ext="edit" aspectratio="f"/>
                <v:textbox inset="0mm,0mm,0mm,0mm">
                  <w:txbxContent>
                    <w:p w14:paraId="772A16D0">
                      <w:pPr>
                        <w:spacing w:before="47" w:line="220" w:lineRule="auto"/>
                        <w:ind w:left="20"/>
                        <w:rPr>
                          <w:rFonts w:ascii="宋体" w:hAnsi="宋体" w:eastAsia="宋体" w:cs="宋体"/>
                          <w:sz w:val="14"/>
                          <w:szCs w:val="14"/>
                        </w:rPr>
                      </w:pPr>
                      <w:r>
                        <w:rPr>
                          <w:rFonts w:ascii="宋体" w:hAnsi="宋体" w:eastAsia="宋体" w:cs="宋体"/>
                          <w:spacing w:val="-3"/>
                          <w:sz w:val="14"/>
                          <w:szCs w:val="14"/>
                        </w:rPr>
                        <w:t>平 大</w:t>
                      </w:r>
                    </w:p>
                  </w:txbxContent>
                </v:textbox>
              </v:shape>
            </w:pict>
          </mc:Fallback>
        </mc:AlternateContent>
      </w:r>
    </w:p>
    <w:p w14:paraId="60F7FB4F">
      <w:pPr>
        <w:pStyle w:val="2"/>
        <w:spacing w:before="104" w:line="314" w:lineRule="auto"/>
        <w:ind w:right="880"/>
        <w:jc w:val="both"/>
        <w:rPr>
          <w:sz w:val="32"/>
          <w:szCs w:val="32"/>
        </w:rPr>
      </w:pPr>
      <w:r>
        <w:rPr>
          <w:spacing w:val="-14"/>
          <w:sz w:val="32"/>
          <w:szCs w:val="32"/>
        </w:rPr>
        <w:t>健全完善任务分解、跟进落实、调度推动、反馈报</w:t>
      </w:r>
      <w:r>
        <w:rPr>
          <w:spacing w:val="-15"/>
          <w:sz w:val="32"/>
          <w:szCs w:val="32"/>
        </w:rPr>
        <w:t>告、整改提升</w:t>
      </w:r>
      <w:r>
        <w:rPr>
          <w:sz w:val="32"/>
          <w:szCs w:val="32"/>
        </w:rPr>
        <w:t xml:space="preserve"> </w:t>
      </w:r>
      <w:r>
        <w:rPr>
          <w:spacing w:val="-14"/>
          <w:sz w:val="32"/>
          <w:szCs w:val="32"/>
        </w:rPr>
        <w:t>等抓落实的各项制度，实行一月一通报，切实抓好协调联动，确</w:t>
      </w:r>
      <w:r>
        <w:rPr>
          <w:spacing w:val="3"/>
          <w:sz w:val="32"/>
          <w:szCs w:val="32"/>
        </w:rPr>
        <w:t xml:space="preserve"> </w:t>
      </w:r>
      <w:r>
        <w:rPr>
          <w:spacing w:val="-2"/>
          <w:sz w:val="32"/>
          <w:szCs w:val="32"/>
        </w:rPr>
        <w:t>保各项任务落地。各项任务牵头科室(单位)要紧盯目标和完成</w:t>
      </w:r>
      <w:r>
        <w:rPr>
          <w:spacing w:val="7"/>
          <w:sz w:val="32"/>
          <w:szCs w:val="32"/>
        </w:rPr>
        <w:t xml:space="preserve"> </w:t>
      </w:r>
      <w:r>
        <w:rPr>
          <w:spacing w:val="-14"/>
          <w:sz w:val="32"/>
          <w:szCs w:val="32"/>
        </w:rPr>
        <w:t>时限，逐月调度并通报负责指标及相关专项</w:t>
      </w:r>
      <w:r>
        <w:rPr>
          <w:spacing w:val="-15"/>
          <w:sz w:val="32"/>
          <w:szCs w:val="32"/>
        </w:rPr>
        <w:t>方案落实情况，一体</w:t>
      </w:r>
      <w:r>
        <w:rPr>
          <w:sz w:val="32"/>
          <w:szCs w:val="32"/>
        </w:rPr>
        <w:t xml:space="preserve"> </w:t>
      </w:r>
      <w:r>
        <w:rPr>
          <w:spacing w:val="-3"/>
          <w:sz w:val="32"/>
          <w:szCs w:val="32"/>
        </w:rPr>
        <w:t>化推动工作落实。各科室(单位)对工作中出现的新情况新问题</w:t>
      </w:r>
      <w:r>
        <w:rPr>
          <w:spacing w:val="6"/>
          <w:sz w:val="32"/>
          <w:szCs w:val="32"/>
        </w:rPr>
        <w:t xml:space="preserve"> </w:t>
      </w:r>
      <w:r>
        <w:rPr>
          <w:spacing w:val="-15"/>
          <w:sz w:val="32"/>
          <w:szCs w:val="32"/>
        </w:rPr>
        <w:t>要稳妥解决应对，遇到重大问题要及时报告，确保优化营商环境</w:t>
      </w:r>
      <w:r>
        <w:rPr>
          <w:spacing w:val="17"/>
          <w:sz w:val="32"/>
          <w:szCs w:val="32"/>
        </w:rPr>
        <w:t xml:space="preserve"> </w:t>
      </w:r>
      <w:r>
        <w:rPr>
          <w:spacing w:val="-13"/>
          <w:sz w:val="32"/>
          <w:szCs w:val="32"/>
        </w:rPr>
        <w:t>各项工作任务能保质保量如期完成。要及时总结工作中的经验和</w:t>
      </w:r>
      <w:r>
        <w:rPr>
          <w:spacing w:val="16"/>
          <w:sz w:val="32"/>
          <w:szCs w:val="32"/>
        </w:rPr>
        <w:t xml:space="preserve"> </w:t>
      </w:r>
      <w:bookmarkStart w:id="0" w:name="_GoBack"/>
      <w:bookmarkEnd w:id="0"/>
      <w:r>
        <w:rPr>
          <w:spacing w:val="-14"/>
          <w:sz w:val="32"/>
          <w:szCs w:val="32"/>
        </w:rPr>
        <w:t>成效，建立健全政务服务、投资建设、要素供给、法制监管方面</w:t>
      </w:r>
      <w:r>
        <w:rPr>
          <w:spacing w:val="17"/>
          <w:sz w:val="32"/>
          <w:szCs w:val="32"/>
        </w:rPr>
        <w:t xml:space="preserve"> </w:t>
      </w:r>
      <w:r>
        <w:rPr>
          <w:spacing w:val="-14"/>
          <w:sz w:val="32"/>
          <w:szCs w:val="32"/>
        </w:rPr>
        <w:t>的各项机制，推进优化服务环境的制度化、</w:t>
      </w:r>
      <w:r>
        <w:rPr>
          <w:spacing w:val="-15"/>
          <w:sz w:val="32"/>
          <w:szCs w:val="32"/>
        </w:rPr>
        <w:t>规范化，形成长效工</w:t>
      </w:r>
      <w:r>
        <w:rPr>
          <w:sz w:val="32"/>
          <w:szCs w:val="32"/>
        </w:rPr>
        <w:t xml:space="preserve"> </w:t>
      </w:r>
      <w:r>
        <w:rPr>
          <w:spacing w:val="-8"/>
          <w:sz w:val="32"/>
          <w:szCs w:val="32"/>
        </w:rPr>
        <w:t>作机制。</w:t>
      </w:r>
    </w:p>
    <w:p w14:paraId="2F5392A0">
      <w:pPr>
        <w:pStyle w:val="2"/>
        <w:spacing w:before="114" w:line="314" w:lineRule="auto"/>
        <w:ind w:right="793" w:firstLine="799"/>
        <w:jc w:val="both"/>
        <w:rPr>
          <w:sz w:val="32"/>
          <w:szCs w:val="32"/>
        </w:rPr>
      </w:pPr>
      <w:r>
        <w:rPr>
          <w:rFonts w:ascii="楷体" w:hAnsi="楷体" w:eastAsia="楷体" w:cs="楷体"/>
          <w:b/>
          <w:bCs/>
          <w:spacing w:val="-8"/>
          <w:sz w:val="32"/>
          <w:szCs w:val="32"/>
        </w:rPr>
        <w:t>(三)加大宣传引领抓落实</w:t>
      </w:r>
      <w:r>
        <w:rPr>
          <w:b/>
          <w:bCs/>
          <w:spacing w:val="-8"/>
          <w:sz w:val="32"/>
          <w:szCs w:val="32"/>
        </w:rPr>
        <w:t>。</w:t>
      </w:r>
      <w:r>
        <w:rPr>
          <w:spacing w:val="-8"/>
          <w:sz w:val="32"/>
          <w:szCs w:val="32"/>
        </w:rPr>
        <w:t>要充分发挥广播、电视、报纸</w:t>
      </w:r>
      <w:r>
        <w:rPr>
          <w:spacing w:val="12"/>
          <w:sz w:val="32"/>
          <w:szCs w:val="32"/>
        </w:rPr>
        <w:t xml:space="preserve"> </w:t>
      </w:r>
      <w:r>
        <w:rPr>
          <w:spacing w:val="-14"/>
          <w:sz w:val="32"/>
          <w:szCs w:val="32"/>
        </w:rPr>
        <w:t>等传统媒体和网站、微信公众号等平台作用，切</w:t>
      </w:r>
      <w:r>
        <w:rPr>
          <w:spacing w:val="-15"/>
          <w:sz w:val="32"/>
          <w:szCs w:val="32"/>
        </w:rPr>
        <w:t>实加大舆论引导</w:t>
      </w:r>
      <w:r>
        <w:rPr>
          <w:sz w:val="32"/>
          <w:szCs w:val="32"/>
        </w:rPr>
        <w:t xml:space="preserve"> </w:t>
      </w:r>
      <w:r>
        <w:rPr>
          <w:spacing w:val="-14"/>
          <w:sz w:val="32"/>
          <w:szCs w:val="32"/>
        </w:rPr>
        <w:t>和宣传力度。及发布、精准推送优化服务环境政策，对已出台的</w:t>
      </w:r>
      <w:r>
        <w:rPr>
          <w:sz w:val="32"/>
          <w:szCs w:val="32"/>
        </w:rPr>
        <w:t xml:space="preserve"> </w:t>
      </w:r>
      <w:r>
        <w:rPr>
          <w:spacing w:val="-14"/>
          <w:sz w:val="32"/>
          <w:szCs w:val="32"/>
        </w:rPr>
        <w:t>政策措施要及时跟进解读，准确传递权威信息和政策意图，提高</w:t>
      </w:r>
      <w:r>
        <w:rPr>
          <w:spacing w:val="16"/>
          <w:sz w:val="32"/>
          <w:szCs w:val="32"/>
        </w:rPr>
        <w:t xml:space="preserve"> </w:t>
      </w:r>
      <w:r>
        <w:rPr>
          <w:spacing w:val="-13"/>
          <w:sz w:val="32"/>
          <w:szCs w:val="32"/>
        </w:rPr>
        <w:t>政策可及性。要加强优化服务环境政策宣传实效，使用企业和群</w:t>
      </w:r>
      <w:r>
        <w:rPr>
          <w:spacing w:val="1"/>
          <w:sz w:val="32"/>
          <w:szCs w:val="32"/>
        </w:rPr>
        <w:t xml:space="preserve"> </w:t>
      </w:r>
      <w:r>
        <w:rPr>
          <w:spacing w:val="-14"/>
          <w:sz w:val="32"/>
          <w:szCs w:val="32"/>
        </w:rPr>
        <w:t>众易接受、能理解的语言，通过学习、集中培训、现场交流等形</w:t>
      </w:r>
      <w:r>
        <w:rPr>
          <w:spacing w:val="17"/>
          <w:sz w:val="32"/>
          <w:szCs w:val="32"/>
        </w:rPr>
        <w:t xml:space="preserve"> </w:t>
      </w:r>
      <w:r>
        <w:rPr>
          <w:spacing w:val="-14"/>
          <w:sz w:val="32"/>
          <w:szCs w:val="32"/>
        </w:rPr>
        <w:t>式，不断提升优化服务环境领域工作人员的改革</w:t>
      </w:r>
      <w:r>
        <w:rPr>
          <w:spacing w:val="-15"/>
          <w:sz w:val="32"/>
          <w:szCs w:val="32"/>
        </w:rPr>
        <w:t>创新能力、政策</w:t>
      </w:r>
      <w:r>
        <w:rPr>
          <w:sz w:val="32"/>
          <w:szCs w:val="32"/>
        </w:rPr>
        <w:t xml:space="preserve"> </w:t>
      </w:r>
      <w:r>
        <w:rPr>
          <w:spacing w:val="-14"/>
          <w:sz w:val="32"/>
          <w:szCs w:val="32"/>
        </w:rPr>
        <w:t>业务水平。要及时宣传推介全市自然资源和规划系统在优化营商</w:t>
      </w:r>
      <w:r>
        <w:rPr>
          <w:spacing w:val="14"/>
          <w:sz w:val="32"/>
          <w:szCs w:val="32"/>
        </w:rPr>
        <w:t xml:space="preserve"> </w:t>
      </w:r>
      <w:r>
        <w:rPr>
          <w:spacing w:val="-20"/>
          <w:sz w:val="32"/>
          <w:szCs w:val="32"/>
        </w:rPr>
        <w:t>环境工作中的好经验、好做法、好典型，积极营造浓厚舆论氛</w:t>
      </w:r>
      <w:r>
        <w:rPr>
          <w:spacing w:val="-21"/>
          <w:sz w:val="32"/>
          <w:szCs w:val="32"/>
        </w:rPr>
        <w:t>围，</w:t>
      </w:r>
      <w:r>
        <w:rPr>
          <w:sz w:val="32"/>
          <w:szCs w:val="32"/>
        </w:rPr>
        <w:t xml:space="preserve"> </w:t>
      </w:r>
      <w:r>
        <w:rPr>
          <w:spacing w:val="-12"/>
          <w:sz w:val="32"/>
          <w:szCs w:val="32"/>
        </w:rPr>
        <w:t>助力优化服务环境走深走实。</w:t>
      </w:r>
    </w:p>
    <w:sectPr>
      <w:footerReference r:id="rId13" w:type="default"/>
      <w:pgSz w:w="12220" w:h="16070"/>
      <w:pgMar w:top="1365" w:right="906" w:bottom="484" w:left="1820" w:header="0" w:footer="16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TXinwei">
    <w:altName w:val="RomanS"/>
    <w:panose1 w:val="00000000000000000000"/>
    <w:charset w:val="00"/>
    <w:family w:val="auto"/>
    <w:pitch w:val="default"/>
    <w:sig w:usb0="00000000" w:usb1="00000000" w:usb2="00000000" w:usb3="00000000" w:csb0="00000000" w:csb1="00000000"/>
  </w:font>
  <w:font w:name="RomanS">
    <w:panose1 w:val="02000400000000000000"/>
    <w:charset w:val="00"/>
    <w:family w:val="auto"/>
    <w:pitch w:val="default"/>
    <w:sig w:usb0="0000020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C35A4">
    <w:pPr>
      <w:spacing w:line="49"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E8272">
    <w:pPr>
      <w:spacing w:line="49"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9EA8D">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B5E1F">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71265">
    <w:pPr>
      <w:pStyle w:val="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F44D4">
    <w:pPr>
      <w:pStyle w:val="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ACF4D">
    <w:pPr>
      <w:pStyle w:val="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AF21F">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A6A6D">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mY5OGUyZTlhNGJlYjg2ZDkzNGY0ZGZkOGEwODYzMmYifQ=="/>
  </w:docVars>
  <w:rsids>
    <w:rsidRoot w:val="00000000"/>
    <w:rsid w:val="0A8729A8"/>
    <w:rsid w:val="0EDC703A"/>
    <w:rsid w:val="134C478E"/>
    <w:rsid w:val="1AE41750"/>
    <w:rsid w:val="2C346EA9"/>
    <w:rsid w:val="3628478F"/>
    <w:rsid w:val="38507FCD"/>
    <w:rsid w:val="41BE41FA"/>
    <w:rsid w:val="495711BC"/>
    <w:rsid w:val="4BD05255"/>
    <w:rsid w:val="697F7C14"/>
    <w:rsid w:val="6C3311BD"/>
    <w:rsid w:val="6EAC52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60"/>
      <w:szCs w:val="60"/>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2938</Words>
  <Characters>2983</Characters>
  <TotalTime>7</TotalTime>
  <ScaleCrop>false</ScaleCrop>
  <LinksUpToDate>false</LinksUpToDate>
  <CharactersWithSpaces>3093</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2024-10-25T15:46:00Z</dcterms:created>
  <dc:creator>Kingsoft-PDF</dc:creator>
  <cp:lastModifiedBy>8237476420</cp:lastModifiedBy>
  <dcterms:modified xsi:type="dcterms:W3CDTF">2024-10-25T08:01:56Z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2024-10-25T15:46:49Z</vt:filetime>
  </property>
  <property fmtid="{D5CDD505-2E9C-101B-9397-08002B2CF9AE}" pid="4" name="UsrData">
    <vt:lpwstr>671b4ce58dd1d1001fd1a21ewl</vt:lpwstr>
  </property>
  <property fmtid="{D5CDD505-2E9C-101B-9397-08002B2CF9AE}" pid="5" name="KSOProductBuildVer">
    <vt:lpwstr>2052-12.1.0.18608</vt:lpwstr>
  </property>
  <property fmtid="{D5CDD505-2E9C-101B-9397-08002B2CF9AE}" pid="6" name="ICV">
    <vt:lpwstr>85C9D37462DB48CE91666AACDB4A5369_12</vt:lpwstr>
  </property>
</Properties>
</file>