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B95" w:rsidRDefault="00470B95" w:rsidP="00470B95">
      <w:pPr>
        <w:spacing w:line="576" w:lineRule="exact"/>
        <w:rPr>
          <w:rFonts w:ascii="Times New Roman" w:eastAsia="仿宋" w:hAnsi="Times New Roman"/>
          <w:sz w:val="32"/>
          <w:szCs w:val="32"/>
        </w:rPr>
      </w:pPr>
    </w:p>
    <w:tbl>
      <w:tblPr>
        <w:tblStyle w:val="aa"/>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7322"/>
        <w:gridCol w:w="1705"/>
      </w:tblGrid>
      <w:tr w:rsidR="00470B95" w:rsidTr="000645C0">
        <w:trPr>
          <w:trHeight w:hRule="exact" w:val="1021"/>
          <w:jc w:val="center"/>
        </w:trPr>
        <w:tc>
          <w:tcPr>
            <w:tcW w:w="7322" w:type="dxa"/>
            <w:vAlign w:val="center"/>
          </w:tcPr>
          <w:p w:rsidR="00470B95" w:rsidRPr="00604FB1" w:rsidRDefault="00470B95" w:rsidP="00470B95">
            <w:pPr>
              <w:spacing w:line="800" w:lineRule="exact"/>
              <w:jc w:val="distribute"/>
              <w:rPr>
                <w:rFonts w:ascii="Times New Roman" w:eastAsia="方正小标宋简体" w:hAnsi="Times New Roman"/>
                <w:color w:val="FF0000"/>
                <w:sz w:val="70"/>
                <w:szCs w:val="70"/>
              </w:rPr>
            </w:pPr>
            <w:r w:rsidRPr="00604FB1">
              <w:rPr>
                <w:rFonts w:ascii="Times New Roman" w:eastAsia="方正小标宋简体" w:hAnsi="Times New Roman"/>
                <w:color w:val="FF0000"/>
                <w:sz w:val="70"/>
                <w:szCs w:val="70"/>
              </w:rPr>
              <w:t>通山县</w:t>
            </w:r>
            <w:r w:rsidRPr="00604FB1">
              <w:rPr>
                <w:rFonts w:ascii="Times New Roman" w:eastAsia="方正小标宋简体" w:hAnsi="Times New Roman" w:hint="eastAsia"/>
                <w:color w:val="FF0000"/>
                <w:sz w:val="70"/>
                <w:szCs w:val="70"/>
              </w:rPr>
              <w:t>人民法院</w:t>
            </w:r>
          </w:p>
        </w:tc>
        <w:tc>
          <w:tcPr>
            <w:tcW w:w="1705" w:type="dxa"/>
            <w:vMerge w:val="restart"/>
            <w:vAlign w:val="center"/>
          </w:tcPr>
          <w:p w:rsidR="00470B95" w:rsidRPr="00604FB1" w:rsidRDefault="00470B95" w:rsidP="004E74EA">
            <w:pPr>
              <w:jc w:val="center"/>
              <w:rPr>
                <w:rFonts w:ascii="Times New Roman" w:eastAsia="仿宋" w:hAnsi="Times New Roman"/>
                <w:sz w:val="74"/>
                <w:szCs w:val="74"/>
              </w:rPr>
            </w:pPr>
            <w:r w:rsidRPr="00604FB1">
              <w:rPr>
                <w:rFonts w:ascii="Times New Roman" w:eastAsia="方正小标宋简体" w:hAnsi="Times New Roman"/>
                <w:color w:val="FF0000"/>
                <w:sz w:val="74"/>
                <w:szCs w:val="74"/>
              </w:rPr>
              <w:t>文件</w:t>
            </w:r>
            <w:r w:rsidRPr="00604FB1">
              <w:rPr>
                <w:rFonts w:ascii="Times New Roman" w:eastAsia="方正小标宋简体" w:hAnsi="Times New Roman"/>
                <w:color w:val="FF0000"/>
                <w:sz w:val="74"/>
                <w:szCs w:val="74"/>
              </w:rPr>
              <w:t xml:space="preserve"> </w:t>
            </w:r>
          </w:p>
        </w:tc>
      </w:tr>
      <w:tr w:rsidR="00470B95" w:rsidTr="000645C0">
        <w:trPr>
          <w:trHeight w:hRule="exact" w:val="1021"/>
          <w:jc w:val="center"/>
        </w:trPr>
        <w:tc>
          <w:tcPr>
            <w:tcW w:w="7322" w:type="dxa"/>
            <w:vAlign w:val="center"/>
          </w:tcPr>
          <w:p w:rsidR="00470B95" w:rsidRPr="00604FB1" w:rsidRDefault="000645C0" w:rsidP="00470B95">
            <w:pPr>
              <w:spacing w:line="800" w:lineRule="exact"/>
              <w:jc w:val="distribute"/>
              <w:rPr>
                <w:rFonts w:ascii="Times New Roman" w:eastAsia="方正小标宋简体" w:hAnsi="Times New Roman"/>
                <w:color w:val="FF0000"/>
                <w:sz w:val="70"/>
                <w:szCs w:val="70"/>
              </w:rPr>
            </w:pPr>
            <w:r w:rsidRPr="000645C0">
              <w:rPr>
                <w:rFonts w:ascii="Times New Roman" w:eastAsia="方正小标宋简体" w:hAnsi="Times New Roman" w:hint="eastAsia"/>
                <w:color w:val="FF0000"/>
                <w:sz w:val="70"/>
                <w:szCs w:val="70"/>
              </w:rPr>
              <w:t>通山县市场监督管理局</w:t>
            </w:r>
          </w:p>
        </w:tc>
        <w:tc>
          <w:tcPr>
            <w:tcW w:w="1705" w:type="dxa"/>
            <w:vMerge/>
          </w:tcPr>
          <w:p w:rsidR="00470B95" w:rsidRDefault="00470B95" w:rsidP="004E74EA">
            <w:pPr>
              <w:jc w:val="center"/>
              <w:rPr>
                <w:rFonts w:ascii="Times New Roman" w:eastAsia="仿宋" w:hAnsi="Times New Roman"/>
                <w:sz w:val="32"/>
                <w:szCs w:val="32"/>
              </w:rPr>
            </w:pPr>
          </w:p>
        </w:tc>
      </w:tr>
    </w:tbl>
    <w:p w:rsidR="00470B95" w:rsidRPr="006A75B0" w:rsidRDefault="00470B95" w:rsidP="00470B95">
      <w:pPr>
        <w:spacing w:line="560" w:lineRule="exact"/>
        <w:jc w:val="center"/>
        <w:rPr>
          <w:rFonts w:ascii="Times New Roman" w:eastAsia="仿宋" w:hAnsi="Times New Roman"/>
          <w:sz w:val="32"/>
          <w:szCs w:val="32"/>
        </w:rPr>
      </w:pPr>
    </w:p>
    <w:p w:rsidR="00470B95" w:rsidRDefault="00470B95" w:rsidP="00470B95">
      <w:pPr>
        <w:spacing w:line="560" w:lineRule="exact"/>
        <w:jc w:val="center"/>
        <w:rPr>
          <w:rFonts w:ascii="Times New Roman" w:eastAsia="仿宋" w:hAnsi="Times New Roman"/>
          <w:sz w:val="32"/>
          <w:szCs w:val="32"/>
        </w:rPr>
      </w:pPr>
    </w:p>
    <w:p w:rsidR="00470B95" w:rsidRDefault="00470B95" w:rsidP="005B473D">
      <w:pPr>
        <w:widowControl/>
        <w:spacing w:line="512" w:lineRule="exact"/>
        <w:ind w:firstLineChars="1000" w:firstLine="3200"/>
        <w:rPr>
          <w:rFonts w:ascii="Times New Roman" w:eastAsia="仿宋_GB2312" w:hAnsi="Times New Roman"/>
          <w:sz w:val="32"/>
          <w:szCs w:val="32"/>
        </w:rPr>
      </w:pPr>
      <w:r>
        <w:rPr>
          <w:rFonts w:ascii="Times New Roman" w:eastAsia="仿宋_GB2312" w:hAnsi="Times New Roman"/>
          <w:sz w:val="32"/>
          <w:szCs w:val="32"/>
        </w:rPr>
        <w:t>通法发〔</w:t>
      </w:r>
      <w:r>
        <w:rPr>
          <w:rFonts w:ascii="Times New Roman" w:eastAsia="仿宋_GB2312" w:hAnsi="Times New Roman"/>
          <w:sz w:val="32"/>
          <w:szCs w:val="32"/>
        </w:rPr>
        <w:t>202</w:t>
      </w:r>
      <w:r w:rsidR="00310317">
        <w:rPr>
          <w:rFonts w:ascii="Times New Roman" w:eastAsia="仿宋_GB2312" w:hAnsi="Times New Roman" w:hint="eastAsia"/>
          <w:sz w:val="32"/>
          <w:szCs w:val="32"/>
        </w:rPr>
        <w:t>4</w:t>
      </w:r>
      <w:r>
        <w:rPr>
          <w:rFonts w:ascii="Times New Roman" w:eastAsia="仿宋_GB2312" w:hAnsi="Times New Roman"/>
          <w:sz w:val="32"/>
          <w:szCs w:val="32"/>
        </w:rPr>
        <w:t>〕</w:t>
      </w:r>
      <w:r w:rsidR="00B2343B">
        <w:rPr>
          <w:rFonts w:ascii="Times New Roman" w:eastAsia="仿宋_GB2312" w:hAnsi="Times New Roman" w:hint="eastAsia"/>
          <w:sz w:val="32"/>
          <w:szCs w:val="32"/>
        </w:rPr>
        <w:t>14</w:t>
      </w:r>
      <w:r>
        <w:rPr>
          <w:rFonts w:ascii="Times New Roman" w:eastAsia="仿宋_GB2312" w:hAnsi="Times New Roman"/>
          <w:sz w:val="32"/>
          <w:szCs w:val="32"/>
        </w:rPr>
        <w:t>号</w:t>
      </w:r>
    </w:p>
    <w:p w:rsidR="00470B95" w:rsidRDefault="0040222F" w:rsidP="00470B95">
      <w:pPr>
        <w:widowControl/>
        <w:spacing w:line="576" w:lineRule="exact"/>
        <w:jc w:val="center"/>
        <w:rPr>
          <w:rFonts w:ascii="Times New Roman" w:eastAsia="仿宋" w:hAnsi="Times New Roman"/>
          <w:sz w:val="44"/>
          <w:szCs w:val="44"/>
        </w:rPr>
      </w:pPr>
      <w:r w:rsidRPr="0040222F">
        <w:rPr>
          <w:rFonts w:ascii="Times New Roman" w:eastAsia="仿宋_GB2312" w:hAnsi="Times New Roman"/>
          <w:noProof/>
          <w:sz w:val="32"/>
          <w:szCs w:val="32"/>
        </w:rPr>
        <w:pict>
          <v:shapetype id="_x0000_t32" coordsize="21600,21600" o:spt="32" o:oned="t" path="m,l21600,21600e" filled="f">
            <v:path arrowok="t" fillok="f" o:connecttype="none"/>
            <o:lock v:ext="edit" shapetype="t"/>
          </v:shapetype>
          <v:shape id="自选图形 4" o:spid="_x0000_s2065" type="#_x0000_t32" style="position:absolute;left:0;text-align:left;margin-left:-.2pt;margin-top:1.2pt;width:442.2pt;height:0;z-index:251660288" strokecolor="red" strokeweight="1.4pt"/>
        </w:pict>
      </w:r>
    </w:p>
    <w:p w:rsidR="00310317" w:rsidRPr="00565184" w:rsidRDefault="00310317" w:rsidP="00565184">
      <w:pPr>
        <w:jc w:val="center"/>
        <w:rPr>
          <w:rFonts w:ascii="方正小标宋简体" w:eastAsia="方正小标宋简体"/>
          <w:sz w:val="36"/>
          <w:szCs w:val="36"/>
        </w:rPr>
      </w:pPr>
      <w:r w:rsidRPr="00565184">
        <w:rPr>
          <w:rFonts w:ascii="方正小标宋简体" w:eastAsia="方正小标宋简体" w:hint="eastAsia"/>
          <w:sz w:val="36"/>
          <w:szCs w:val="36"/>
        </w:rPr>
        <w:t>关于印发《关于建立经营异常企业公益清算强制</w:t>
      </w:r>
    </w:p>
    <w:p w:rsidR="00310317" w:rsidRPr="00565184" w:rsidRDefault="00310317" w:rsidP="00565184">
      <w:pPr>
        <w:jc w:val="center"/>
        <w:rPr>
          <w:rFonts w:ascii="方正小标宋简体" w:eastAsia="方正小标宋简体"/>
          <w:sz w:val="36"/>
          <w:szCs w:val="36"/>
        </w:rPr>
      </w:pPr>
      <w:r w:rsidRPr="00565184">
        <w:rPr>
          <w:rFonts w:ascii="方正小标宋简体" w:eastAsia="方正小标宋简体" w:hint="eastAsia"/>
          <w:sz w:val="36"/>
          <w:szCs w:val="36"/>
        </w:rPr>
        <w:t>退出对接机制的工作方案》的通知</w:t>
      </w:r>
    </w:p>
    <w:p w:rsidR="00310317" w:rsidRDefault="00310317" w:rsidP="00310317">
      <w:pPr>
        <w:rPr>
          <w:rFonts w:ascii="方正小标宋简体" w:eastAsia="方正小标宋简体"/>
          <w:sz w:val="36"/>
          <w:szCs w:val="36"/>
        </w:rPr>
      </w:pPr>
    </w:p>
    <w:p w:rsidR="00310317" w:rsidRPr="004F275A" w:rsidRDefault="00310317" w:rsidP="00310317">
      <w:pPr>
        <w:spacing w:line="560" w:lineRule="exact"/>
        <w:rPr>
          <w:rFonts w:ascii="仿宋_GB2312" w:eastAsia="仿宋_GB2312"/>
          <w:sz w:val="32"/>
          <w:szCs w:val="36"/>
        </w:rPr>
      </w:pPr>
      <w:r w:rsidRPr="004F275A">
        <w:rPr>
          <w:rFonts w:ascii="仿宋_GB2312" w:eastAsia="仿宋_GB2312" w:hint="eastAsia"/>
          <w:sz w:val="32"/>
          <w:szCs w:val="36"/>
        </w:rPr>
        <w:t>县市场监督管理局、院属各部门：</w:t>
      </w:r>
    </w:p>
    <w:p w:rsidR="00684857" w:rsidRDefault="00310317" w:rsidP="00E60D3D">
      <w:pPr>
        <w:ind w:firstLineChars="200" w:firstLine="640"/>
        <w:rPr>
          <w:rFonts w:ascii="仿宋_GB2312" w:eastAsia="仿宋_GB2312"/>
          <w:sz w:val="32"/>
          <w:szCs w:val="36"/>
        </w:rPr>
      </w:pPr>
      <w:r w:rsidRPr="004F275A">
        <w:rPr>
          <w:rFonts w:ascii="仿宋_GB2312" w:eastAsia="仿宋_GB2312" w:hint="eastAsia"/>
          <w:sz w:val="32"/>
          <w:szCs w:val="36"/>
        </w:rPr>
        <w:t>现将《关于建立经营异常企业公益清算强制退出对接机制的</w:t>
      </w:r>
    </w:p>
    <w:p w:rsidR="002110C7" w:rsidRPr="00867370" w:rsidRDefault="00310317" w:rsidP="00684857">
      <w:pPr>
        <w:rPr>
          <w:rFonts w:ascii="Times New Roman" w:eastAsia="仿宋" w:hAnsi="Times New Roman"/>
          <w:sz w:val="32"/>
          <w:szCs w:val="32"/>
        </w:rPr>
      </w:pPr>
      <w:r w:rsidRPr="004F275A">
        <w:rPr>
          <w:rFonts w:ascii="仿宋_GB2312" w:eastAsia="仿宋_GB2312" w:hint="eastAsia"/>
          <w:sz w:val="32"/>
          <w:szCs w:val="36"/>
        </w:rPr>
        <w:t>工作方案》印发给你们，请认真贯彻执行。</w:t>
      </w:r>
    </w:p>
    <w:p w:rsidR="00867370" w:rsidRPr="00867370" w:rsidRDefault="00867370" w:rsidP="002110C7">
      <w:pPr>
        <w:ind w:firstLineChars="200" w:firstLine="640"/>
        <w:rPr>
          <w:rFonts w:ascii="Times New Roman" w:eastAsia="仿宋" w:hAnsi="Times New Roman"/>
          <w:sz w:val="32"/>
          <w:szCs w:val="32"/>
        </w:rPr>
      </w:pPr>
    </w:p>
    <w:p w:rsidR="002110C7" w:rsidRPr="00867370" w:rsidRDefault="002110C7" w:rsidP="002110C7">
      <w:pPr>
        <w:ind w:firstLineChars="200" w:firstLine="640"/>
        <w:rPr>
          <w:rFonts w:ascii="Times New Roman" w:eastAsia="仿宋" w:hAnsi="Times New Roman"/>
          <w:sz w:val="32"/>
          <w:szCs w:val="32"/>
        </w:rPr>
      </w:pPr>
    </w:p>
    <w:p w:rsidR="002110C7" w:rsidRPr="00867370" w:rsidRDefault="002110C7" w:rsidP="002110C7">
      <w:pPr>
        <w:rPr>
          <w:rFonts w:ascii="Times New Roman" w:eastAsia="仿宋" w:hAnsi="Times New Roman"/>
          <w:sz w:val="32"/>
          <w:szCs w:val="32"/>
        </w:rPr>
      </w:pPr>
      <w:r w:rsidRPr="00867370">
        <w:rPr>
          <w:rFonts w:ascii="Times New Roman" w:eastAsia="仿宋" w:hAnsi="仿宋"/>
          <w:sz w:val="32"/>
          <w:szCs w:val="32"/>
        </w:rPr>
        <w:t>通山县人民法院</w:t>
      </w:r>
      <w:r w:rsidRPr="00867370">
        <w:rPr>
          <w:rFonts w:ascii="Times New Roman" w:eastAsia="仿宋" w:hAnsi="Times New Roman"/>
          <w:sz w:val="32"/>
          <w:szCs w:val="32"/>
        </w:rPr>
        <w:t xml:space="preserve">                   </w:t>
      </w:r>
      <w:r w:rsidR="001B468E" w:rsidRPr="00867370">
        <w:rPr>
          <w:rFonts w:ascii="Times New Roman" w:eastAsia="仿宋" w:hAnsi="仿宋"/>
          <w:sz w:val="32"/>
          <w:szCs w:val="32"/>
        </w:rPr>
        <w:t>通山县市场监督管理局</w:t>
      </w:r>
      <w:r w:rsidRPr="00867370">
        <w:rPr>
          <w:rFonts w:ascii="Times New Roman" w:eastAsia="仿宋" w:hAnsi="Times New Roman"/>
          <w:sz w:val="32"/>
          <w:szCs w:val="32"/>
        </w:rPr>
        <w:t xml:space="preserve">   </w:t>
      </w:r>
    </w:p>
    <w:p w:rsidR="002110C7" w:rsidRPr="00867370" w:rsidRDefault="002110C7" w:rsidP="002110C7">
      <w:pPr>
        <w:ind w:firstLineChars="200" w:firstLine="640"/>
        <w:rPr>
          <w:rFonts w:ascii="Times New Roman" w:eastAsia="仿宋" w:hAnsi="Times New Roman"/>
          <w:sz w:val="32"/>
          <w:szCs w:val="32"/>
        </w:rPr>
      </w:pPr>
    </w:p>
    <w:p w:rsidR="00310317" w:rsidRDefault="00310317" w:rsidP="00310317">
      <w:pPr>
        <w:ind w:rightChars="400" w:right="840" w:firstLineChars="200" w:firstLine="640"/>
        <w:jc w:val="right"/>
        <w:rPr>
          <w:rFonts w:ascii="Times New Roman" w:eastAsia="仿宋" w:hAnsi="Times New Roman"/>
          <w:sz w:val="32"/>
          <w:szCs w:val="32"/>
        </w:rPr>
      </w:pPr>
    </w:p>
    <w:p w:rsidR="00565184" w:rsidRDefault="002110C7" w:rsidP="00565184">
      <w:pPr>
        <w:tabs>
          <w:tab w:val="left" w:pos="8789"/>
        </w:tabs>
        <w:wordWrap w:val="0"/>
        <w:ind w:rightChars="26" w:right="55"/>
        <w:jc w:val="right"/>
        <w:rPr>
          <w:rFonts w:ascii="Times New Roman" w:eastAsia="仿宋" w:hAnsi="仿宋" w:hint="eastAsia"/>
          <w:sz w:val="32"/>
          <w:szCs w:val="32"/>
        </w:rPr>
      </w:pPr>
      <w:r w:rsidRPr="00867370">
        <w:rPr>
          <w:rFonts w:ascii="Times New Roman" w:eastAsia="仿宋" w:hAnsi="Times New Roman"/>
          <w:sz w:val="32"/>
          <w:szCs w:val="32"/>
        </w:rPr>
        <w:t>202</w:t>
      </w:r>
      <w:r w:rsidR="00310317">
        <w:rPr>
          <w:rFonts w:ascii="Times New Roman" w:eastAsia="仿宋" w:hAnsi="Times New Roman" w:hint="eastAsia"/>
          <w:sz w:val="32"/>
          <w:szCs w:val="32"/>
        </w:rPr>
        <w:t>4</w:t>
      </w:r>
      <w:r w:rsidRPr="00867370">
        <w:rPr>
          <w:rFonts w:ascii="Times New Roman" w:eastAsia="仿宋" w:hAnsi="仿宋"/>
          <w:sz w:val="32"/>
          <w:szCs w:val="32"/>
        </w:rPr>
        <w:t>年</w:t>
      </w:r>
      <w:r w:rsidR="00310317">
        <w:rPr>
          <w:rFonts w:ascii="Times New Roman" w:eastAsia="仿宋" w:hAnsi="Times New Roman" w:hint="eastAsia"/>
          <w:sz w:val="32"/>
          <w:szCs w:val="32"/>
        </w:rPr>
        <w:t>4</w:t>
      </w:r>
      <w:r w:rsidRPr="00867370">
        <w:rPr>
          <w:rFonts w:ascii="Times New Roman" w:eastAsia="仿宋" w:hAnsi="仿宋"/>
          <w:sz w:val="32"/>
          <w:szCs w:val="32"/>
        </w:rPr>
        <w:t>月</w:t>
      </w:r>
      <w:r w:rsidR="00310317">
        <w:rPr>
          <w:rFonts w:ascii="Times New Roman" w:eastAsia="仿宋" w:hAnsi="Times New Roman" w:hint="eastAsia"/>
          <w:sz w:val="32"/>
          <w:szCs w:val="32"/>
        </w:rPr>
        <w:t>29</w:t>
      </w:r>
      <w:r w:rsidRPr="00867370">
        <w:rPr>
          <w:rFonts w:ascii="Times New Roman" w:eastAsia="仿宋" w:hAnsi="仿宋"/>
          <w:sz w:val="32"/>
          <w:szCs w:val="32"/>
        </w:rPr>
        <w:t>日</w:t>
      </w:r>
      <w:r w:rsidR="00565184">
        <w:rPr>
          <w:rFonts w:ascii="Times New Roman" w:eastAsia="仿宋" w:hAnsi="仿宋" w:hint="eastAsia"/>
          <w:sz w:val="32"/>
          <w:szCs w:val="32"/>
        </w:rPr>
        <w:t xml:space="preserve">    </w:t>
      </w:r>
    </w:p>
    <w:p w:rsidR="00310317" w:rsidRPr="00565184" w:rsidRDefault="00310317" w:rsidP="00565184">
      <w:pPr>
        <w:jc w:val="center"/>
        <w:rPr>
          <w:rFonts w:ascii="方正小标宋简体" w:eastAsia="方正小标宋简体"/>
          <w:sz w:val="36"/>
          <w:szCs w:val="36"/>
        </w:rPr>
      </w:pPr>
      <w:r w:rsidRPr="00565184">
        <w:rPr>
          <w:rFonts w:ascii="方正小标宋简体" w:eastAsia="方正小标宋简体" w:hint="eastAsia"/>
          <w:sz w:val="36"/>
          <w:szCs w:val="36"/>
        </w:rPr>
        <w:lastRenderedPageBreak/>
        <w:t>关于建立经营异常企业公益清算强制退出</w:t>
      </w:r>
    </w:p>
    <w:p w:rsidR="00310317" w:rsidRPr="00565184" w:rsidRDefault="00310317" w:rsidP="00565184">
      <w:pPr>
        <w:jc w:val="center"/>
        <w:rPr>
          <w:rFonts w:ascii="方正小标宋简体" w:eastAsia="方正小标宋简体"/>
          <w:sz w:val="36"/>
          <w:szCs w:val="36"/>
        </w:rPr>
      </w:pPr>
      <w:r w:rsidRPr="00565184">
        <w:rPr>
          <w:rFonts w:ascii="方正小标宋简体" w:eastAsia="方正小标宋简体" w:hint="eastAsia"/>
          <w:sz w:val="36"/>
          <w:szCs w:val="36"/>
        </w:rPr>
        <w:t>对接机制的工作方案</w:t>
      </w:r>
    </w:p>
    <w:p w:rsidR="00310317" w:rsidRDefault="00310317" w:rsidP="00310317"/>
    <w:p w:rsidR="00310317" w:rsidRPr="00A571E9" w:rsidRDefault="00310317" w:rsidP="00565184">
      <w:pPr>
        <w:spacing w:line="530" w:lineRule="exact"/>
        <w:ind w:firstLineChars="200" w:firstLine="640"/>
        <w:rPr>
          <w:rFonts w:ascii="仿宋_GB2312" w:eastAsia="仿宋_GB2312"/>
          <w:sz w:val="32"/>
          <w:szCs w:val="28"/>
        </w:rPr>
      </w:pPr>
      <w:r w:rsidRPr="00A571E9">
        <w:rPr>
          <w:rFonts w:ascii="仿宋_GB2312" w:eastAsia="仿宋_GB2312" w:hint="eastAsia"/>
          <w:sz w:val="32"/>
          <w:szCs w:val="28"/>
        </w:rPr>
        <w:t>为进一步畅通市场主体退出渠道，完善优胜劣汰的市场机制，压降全</w:t>
      </w:r>
      <w:r>
        <w:rPr>
          <w:rFonts w:ascii="仿宋_GB2312" w:eastAsia="仿宋_GB2312" w:hint="eastAsia"/>
          <w:sz w:val="32"/>
          <w:szCs w:val="28"/>
        </w:rPr>
        <w:t>县</w:t>
      </w:r>
      <w:r w:rsidRPr="00A571E9">
        <w:rPr>
          <w:rFonts w:ascii="仿宋_GB2312" w:eastAsia="仿宋_GB2312" w:hint="eastAsia"/>
          <w:sz w:val="32"/>
          <w:szCs w:val="28"/>
        </w:rPr>
        <w:t>经营异常企业数，不断优化营商环境，通山县人民法院、通山县市场监督管理局经研究决定，在全县范围内构建经营异常企业公益强制清算退出的常态化工作机制。为规范此项工作的开展，结合工作实际，制定本工作方案。</w:t>
      </w:r>
    </w:p>
    <w:p w:rsidR="00310317" w:rsidRPr="00565184" w:rsidRDefault="00310317" w:rsidP="00565184">
      <w:pPr>
        <w:spacing w:line="530" w:lineRule="exact"/>
        <w:ind w:firstLineChars="200" w:firstLine="640"/>
        <w:rPr>
          <w:rFonts w:ascii="黑体" w:eastAsia="黑体" w:hAnsi="黑体"/>
          <w:sz w:val="32"/>
          <w:szCs w:val="28"/>
        </w:rPr>
      </w:pPr>
      <w:r w:rsidRPr="00565184">
        <w:rPr>
          <w:rFonts w:ascii="黑体" w:eastAsia="黑体" w:hAnsi="黑体" w:hint="eastAsia"/>
          <w:sz w:val="32"/>
          <w:szCs w:val="28"/>
        </w:rPr>
        <w:t>一、经营异常且应强制清算企业的筛选</w:t>
      </w:r>
    </w:p>
    <w:p w:rsidR="00310317" w:rsidRPr="00A571E9" w:rsidRDefault="00310317" w:rsidP="00565184">
      <w:pPr>
        <w:spacing w:line="530" w:lineRule="exact"/>
        <w:ind w:firstLineChars="200" w:firstLine="640"/>
        <w:rPr>
          <w:rFonts w:ascii="仿宋_GB2312" w:eastAsia="仿宋_GB2312"/>
          <w:sz w:val="32"/>
          <w:szCs w:val="28"/>
        </w:rPr>
      </w:pPr>
      <w:r w:rsidRPr="00A571E9">
        <w:rPr>
          <w:rFonts w:ascii="仿宋_GB2312" w:eastAsia="仿宋_GB2312" w:hint="eastAsia"/>
          <w:sz w:val="32"/>
          <w:szCs w:val="28"/>
        </w:rPr>
        <w:t>1.通山县市场监督管理局对吊销未注销等经营异常企业建立备选库，并实时予以更新。</w:t>
      </w:r>
    </w:p>
    <w:p w:rsidR="00310317" w:rsidRPr="00A571E9" w:rsidRDefault="00310317" w:rsidP="00565184">
      <w:pPr>
        <w:spacing w:line="530" w:lineRule="exact"/>
        <w:ind w:firstLineChars="200" w:firstLine="640"/>
        <w:rPr>
          <w:rFonts w:ascii="仿宋_GB2312" w:eastAsia="仿宋_GB2312"/>
          <w:sz w:val="32"/>
          <w:szCs w:val="28"/>
        </w:rPr>
      </w:pPr>
      <w:r w:rsidRPr="00A571E9">
        <w:rPr>
          <w:rFonts w:ascii="仿宋_GB2312" w:eastAsia="仿宋_GB2312" w:hint="eastAsia"/>
          <w:sz w:val="32"/>
          <w:szCs w:val="28"/>
        </w:rPr>
        <w:t>2.通山县市场监督管理局定期向通山县人民法院通报经营</w:t>
      </w:r>
      <w:r w:rsidRPr="00565184">
        <w:rPr>
          <w:rFonts w:ascii="仿宋_GB2312" w:eastAsia="仿宋_GB2312" w:hint="eastAsia"/>
          <w:spacing w:val="-12"/>
          <w:sz w:val="32"/>
          <w:szCs w:val="28"/>
        </w:rPr>
        <w:t>异常企业情况，并按一定比例提供拟强制进行清算的备选企业名单。</w:t>
      </w:r>
    </w:p>
    <w:p w:rsidR="00310317" w:rsidRPr="00A571E9" w:rsidRDefault="00310317" w:rsidP="00565184">
      <w:pPr>
        <w:spacing w:line="530" w:lineRule="exact"/>
        <w:ind w:firstLineChars="200" w:firstLine="640"/>
        <w:rPr>
          <w:rFonts w:ascii="仿宋_GB2312" w:eastAsia="仿宋_GB2312"/>
          <w:sz w:val="32"/>
          <w:szCs w:val="28"/>
        </w:rPr>
      </w:pPr>
      <w:r w:rsidRPr="00A571E9">
        <w:rPr>
          <w:rFonts w:ascii="仿宋_GB2312" w:eastAsia="仿宋_GB2312" w:hint="eastAsia"/>
          <w:sz w:val="32"/>
          <w:szCs w:val="28"/>
        </w:rPr>
        <w:t>3.通山县市场监督管理局在提供备选企业名单时，应本着“先易后难”的原则重点审查失联、长期停业等吊销未注销且超过3年的经营异常企业。</w:t>
      </w:r>
    </w:p>
    <w:p w:rsidR="00310317" w:rsidRPr="00A571E9" w:rsidRDefault="00310317" w:rsidP="00565184">
      <w:pPr>
        <w:spacing w:line="530" w:lineRule="exact"/>
        <w:ind w:firstLineChars="200" w:firstLine="640"/>
        <w:rPr>
          <w:rFonts w:ascii="仿宋_GB2312" w:eastAsia="仿宋_GB2312"/>
          <w:sz w:val="32"/>
          <w:szCs w:val="28"/>
        </w:rPr>
      </w:pPr>
      <w:r w:rsidRPr="00A571E9">
        <w:rPr>
          <w:rFonts w:ascii="仿宋_GB2312" w:eastAsia="仿宋_GB2312" w:hint="eastAsia"/>
          <w:sz w:val="32"/>
          <w:szCs w:val="28"/>
        </w:rPr>
        <w:t>4.通山县人民法院在收到通山县市场监督管理局备选企业名单后，应对备选企业的财产及债权债务基本情况进行初步核查，最终确定当期进行清算的企业名单。</w:t>
      </w:r>
    </w:p>
    <w:p w:rsidR="00310317" w:rsidRPr="00565184" w:rsidRDefault="00310317" w:rsidP="00565184">
      <w:pPr>
        <w:spacing w:line="530" w:lineRule="exact"/>
        <w:ind w:firstLineChars="200" w:firstLine="640"/>
        <w:rPr>
          <w:rFonts w:ascii="黑体" w:eastAsia="黑体" w:hAnsi="黑体"/>
          <w:sz w:val="32"/>
          <w:szCs w:val="28"/>
        </w:rPr>
      </w:pPr>
      <w:r w:rsidRPr="00565184">
        <w:rPr>
          <w:rFonts w:ascii="黑体" w:eastAsia="黑体" w:hAnsi="黑体" w:hint="eastAsia"/>
          <w:sz w:val="32"/>
          <w:szCs w:val="28"/>
        </w:rPr>
        <w:t>二、强制清算的申请程序及材料</w:t>
      </w:r>
    </w:p>
    <w:p w:rsidR="00310317" w:rsidRPr="00A571E9" w:rsidRDefault="00310317" w:rsidP="00565184">
      <w:pPr>
        <w:spacing w:line="530" w:lineRule="exact"/>
        <w:ind w:firstLineChars="200" w:firstLine="640"/>
        <w:rPr>
          <w:rFonts w:ascii="仿宋_GB2312" w:eastAsia="仿宋_GB2312"/>
          <w:sz w:val="32"/>
          <w:szCs w:val="28"/>
        </w:rPr>
      </w:pPr>
      <w:r w:rsidRPr="00A571E9">
        <w:rPr>
          <w:rFonts w:ascii="仿宋_GB2312" w:eastAsia="仿宋_GB2312" w:hint="eastAsia"/>
          <w:sz w:val="32"/>
          <w:szCs w:val="28"/>
        </w:rPr>
        <w:t>5.</w:t>
      </w:r>
      <w:r>
        <w:rPr>
          <w:rFonts w:ascii="仿宋_GB2312" w:eastAsia="仿宋_GB2312" w:hint="eastAsia"/>
          <w:sz w:val="32"/>
          <w:szCs w:val="28"/>
        </w:rPr>
        <w:t>通山县</w:t>
      </w:r>
      <w:r w:rsidRPr="00A571E9">
        <w:rPr>
          <w:rFonts w:ascii="仿宋_GB2312" w:eastAsia="仿宋_GB2312" w:hint="eastAsia"/>
          <w:sz w:val="32"/>
          <w:szCs w:val="28"/>
        </w:rPr>
        <w:t>市场监督管理局对经</w:t>
      </w:r>
      <w:r>
        <w:rPr>
          <w:rFonts w:ascii="仿宋_GB2312" w:eastAsia="仿宋_GB2312" w:hint="eastAsia"/>
          <w:sz w:val="32"/>
          <w:szCs w:val="28"/>
        </w:rPr>
        <w:t>通山县</w:t>
      </w:r>
      <w:r w:rsidRPr="00A571E9">
        <w:rPr>
          <w:rFonts w:ascii="仿宋_GB2312" w:eastAsia="仿宋_GB2312" w:hint="eastAsia"/>
          <w:sz w:val="32"/>
          <w:szCs w:val="28"/>
        </w:rPr>
        <w:t>人民法院核查通过的吊销未注销并确定进行强制清算的企业，可向该企业住所（经营场所）或主要办事机构所在地</w:t>
      </w:r>
      <w:r>
        <w:rPr>
          <w:rFonts w:ascii="仿宋_GB2312" w:eastAsia="仿宋_GB2312" w:hint="eastAsia"/>
          <w:sz w:val="32"/>
          <w:szCs w:val="28"/>
        </w:rPr>
        <w:t>或注册所在地的通山县人民</w:t>
      </w:r>
      <w:r w:rsidRPr="00A571E9">
        <w:rPr>
          <w:rFonts w:ascii="仿宋_GB2312" w:eastAsia="仿宋_GB2312" w:hint="eastAsia"/>
          <w:sz w:val="32"/>
          <w:szCs w:val="28"/>
        </w:rPr>
        <w:t>法院申请强制清算。</w:t>
      </w:r>
    </w:p>
    <w:p w:rsidR="00310317" w:rsidRPr="00A571E9" w:rsidRDefault="00310317" w:rsidP="00565184">
      <w:pPr>
        <w:spacing w:line="530" w:lineRule="exact"/>
        <w:ind w:firstLineChars="200" w:firstLine="640"/>
        <w:rPr>
          <w:rFonts w:ascii="仿宋_GB2312" w:eastAsia="仿宋_GB2312"/>
          <w:sz w:val="32"/>
          <w:szCs w:val="28"/>
        </w:rPr>
      </w:pPr>
      <w:r w:rsidRPr="00A571E9">
        <w:rPr>
          <w:rFonts w:ascii="仿宋_GB2312" w:eastAsia="仿宋_GB2312" w:hint="eastAsia"/>
          <w:sz w:val="32"/>
          <w:szCs w:val="28"/>
        </w:rPr>
        <w:lastRenderedPageBreak/>
        <w:t>6.</w:t>
      </w:r>
      <w:r>
        <w:rPr>
          <w:rFonts w:ascii="仿宋_GB2312" w:eastAsia="仿宋_GB2312" w:hint="eastAsia"/>
          <w:sz w:val="32"/>
          <w:szCs w:val="28"/>
        </w:rPr>
        <w:t>通山县</w:t>
      </w:r>
      <w:r w:rsidRPr="00A571E9">
        <w:rPr>
          <w:rFonts w:ascii="仿宋_GB2312" w:eastAsia="仿宋_GB2312" w:hint="eastAsia"/>
          <w:sz w:val="32"/>
          <w:szCs w:val="28"/>
        </w:rPr>
        <w:t>市场监督管理局向</w:t>
      </w:r>
      <w:r>
        <w:rPr>
          <w:rFonts w:ascii="仿宋_GB2312" w:eastAsia="仿宋_GB2312" w:hint="eastAsia"/>
          <w:sz w:val="32"/>
          <w:szCs w:val="28"/>
        </w:rPr>
        <w:t>通山县</w:t>
      </w:r>
      <w:r w:rsidRPr="00A571E9">
        <w:rPr>
          <w:rFonts w:ascii="仿宋_GB2312" w:eastAsia="仿宋_GB2312" w:hint="eastAsia"/>
          <w:sz w:val="32"/>
          <w:szCs w:val="28"/>
        </w:rPr>
        <w:t>人民法院申请对吊销未注销等经营异常企业进行强制清算时，应提供如下材料：</w:t>
      </w:r>
    </w:p>
    <w:p w:rsidR="00310317" w:rsidRPr="00A571E9" w:rsidRDefault="00310317" w:rsidP="00565184">
      <w:pPr>
        <w:spacing w:line="530" w:lineRule="exact"/>
        <w:ind w:firstLineChars="200" w:firstLine="640"/>
        <w:rPr>
          <w:rFonts w:ascii="仿宋_GB2312" w:eastAsia="仿宋_GB2312"/>
          <w:sz w:val="32"/>
          <w:szCs w:val="28"/>
        </w:rPr>
      </w:pPr>
      <w:r w:rsidRPr="00A571E9">
        <w:rPr>
          <w:rFonts w:ascii="仿宋_GB2312" w:eastAsia="仿宋_GB2312" w:hint="eastAsia"/>
          <w:sz w:val="32"/>
          <w:szCs w:val="28"/>
        </w:rPr>
        <w:t>（1）申请书，载明申请人信息、被申请人信息、申请事项及申请的事实与理由；</w:t>
      </w:r>
    </w:p>
    <w:p w:rsidR="00310317" w:rsidRPr="00A571E9" w:rsidRDefault="00310317" w:rsidP="00565184">
      <w:pPr>
        <w:spacing w:line="530" w:lineRule="exact"/>
        <w:ind w:firstLineChars="200" w:firstLine="640"/>
        <w:rPr>
          <w:rFonts w:ascii="仿宋_GB2312" w:eastAsia="仿宋_GB2312"/>
          <w:sz w:val="32"/>
          <w:szCs w:val="28"/>
        </w:rPr>
      </w:pPr>
      <w:r w:rsidRPr="00A571E9">
        <w:rPr>
          <w:rFonts w:ascii="仿宋_GB2312" w:eastAsia="仿宋_GB2312" w:hint="eastAsia"/>
          <w:sz w:val="32"/>
          <w:szCs w:val="28"/>
        </w:rPr>
        <w:t>（2）证明申请人及其委托代理人身份相关文件，包括统一社会信用代码证书、法定代表人身份证明及授权委托书等；</w:t>
      </w:r>
    </w:p>
    <w:p w:rsidR="00310317" w:rsidRPr="00A571E9" w:rsidRDefault="00310317" w:rsidP="00565184">
      <w:pPr>
        <w:spacing w:line="530" w:lineRule="exact"/>
        <w:ind w:firstLineChars="200" w:firstLine="640"/>
        <w:rPr>
          <w:rFonts w:ascii="仿宋_GB2312" w:eastAsia="仿宋_GB2312"/>
          <w:sz w:val="32"/>
          <w:szCs w:val="28"/>
        </w:rPr>
      </w:pPr>
      <w:r w:rsidRPr="00A571E9">
        <w:rPr>
          <w:rFonts w:ascii="仿宋_GB2312" w:eastAsia="仿宋_GB2312" w:hint="eastAsia"/>
          <w:sz w:val="32"/>
          <w:szCs w:val="28"/>
        </w:rPr>
        <w:t>（3）证明被申请人身份及其具备《中华人民共和国民法典》第七十条第三款规定情形的相关证据，主要包括：该企业的基本登记信息查询等登记电子档案、该企业已处于吊销未注销状态的市场监管部门的行政处罚决定书等资料。</w:t>
      </w:r>
    </w:p>
    <w:p w:rsidR="00310317" w:rsidRPr="00565184" w:rsidRDefault="00310317" w:rsidP="00565184">
      <w:pPr>
        <w:spacing w:line="530" w:lineRule="exact"/>
        <w:ind w:firstLineChars="200" w:firstLine="640"/>
        <w:rPr>
          <w:rFonts w:ascii="黑体" w:eastAsia="黑体" w:hAnsi="黑体"/>
          <w:sz w:val="32"/>
          <w:szCs w:val="28"/>
        </w:rPr>
      </w:pPr>
      <w:r w:rsidRPr="00565184">
        <w:rPr>
          <w:rFonts w:ascii="黑体" w:eastAsia="黑体" w:hAnsi="黑体" w:hint="eastAsia"/>
          <w:sz w:val="32"/>
          <w:szCs w:val="28"/>
        </w:rPr>
        <w:t>三、强制清算审理程序</w:t>
      </w:r>
    </w:p>
    <w:p w:rsidR="00310317" w:rsidRPr="00A571E9" w:rsidRDefault="00310317" w:rsidP="00565184">
      <w:pPr>
        <w:spacing w:line="530" w:lineRule="exact"/>
        <w:ind w:firstLineChars="200" w:firstLine="640"/>
        <w:rPr>
          <w:rFonts w:ascii="仿宋_GB2312" w:eastAsia="仿宋_GB2312"/>
          <w:sz w:val="32"/>
          <w:szCs w:val="28"/>
        </w:rPr>
      </w:pPr>
      <w:r w:rsidRPr="00A571E9">
        <w:rPr>
          <w:rFonts w:ascii="仿宋_GB2312" w:eastAsia="仿宋_GB2312" w:hint="eastAsia"/>
          <w:sz w:val="32"/>
          <w:szCs w:val="28"/>
        </w:rPr>
        <w:t>7.</w:t>
      </w:r>
      <w:r>
        <w:rPr>
          <w:rFonts w:ascii="仿宋_GB2312" w:eastAsia="仿宋_GB2312" w:hint="eastAsia"/>
          <w:sz w:val="32"/>
          <w:szCs w:val="28"/>
        </w:rPr>
        <w:t>通山县</w:t>
      </w:r>
      <w:r w:rsidRPr="00A571E9">
        <w:rPr>
          <w:rFonts w:ascii="仿宋_GB2312" w:eastAsia="仿宋_GB2312" w:hint="eastAsia"/>
          <w:sz w:val="32"/>
          <w:szCs w:val="28"/>
        </w:rPr>
        <w:t>人民法院受理由</w:t>
      </w:r>
      <w:r>
        <w:rPr>
          <w:rFonts w:ascii="仿宋_GB2312" w:eastAsia="仿宋_GB2312" w:hint="eastAsia"/>
          <w:sz w:val="32"/>
          <w:szCs w:val="28"/>
        </w:rPr>
        <w:t>通山县</w:t>
      </w:r>
      <w:r w:rsidRPr="00A571E9">
        <w:rPr>
          <w:rFonts w:ascii="仿宋_GB2312" w:eastAsia="仿宋_GB2312" w:hint="eastAsia"/>
          <w:sz w:val="32"/>
          <w:szCs w:val="28"/>
        </w:rPr>
        <w:t>市场监督管理局申请的公司强制清算案件，应参照《最高人民法院关于〈中华人民共和国公司法〉若干问题的规定（二）》和《最高人民法院关于审理公司强制清算案件工作座谈会纪要》的相关规定进行审理。</w:t>
      </w:r>
    </w:p>
    <w:p w:rsidR="00310317" w:rsidRPr="00A571E9" w:rsidRDefault="00310317" w:rsidP="00565184">
      <w:pPr>
        <w:spacing w:line="530" w:lineRule="exact"/>
        <w:ind w:firstLineChars="200" w:firstLine="640"/>
        <w:rPr>
          <w:rFonts w:ascii="仿宋_GB2312" w:eastAsia="仿宋_GB2312"/>
          <w:sz w:val="32"/>
          <w:szCs w:val="28"/>
        </w:rPr>
      </w:pPr>
      <w:r w:rsidRPr="00A571E9">
        <w:rPr>
          <w:rFonts w:ascii="仿宋_GB2312" w:eastAsia="仿宋_GB2312" w:hint="eastAsia"/>
          <w:sz w:val="32"/>
          <w:szCs w:val="28"/>
        </w:rPr>
        <w:t>8.</w:t>
      </w:r>
      <w:r>
        <w:rPr>
          <w:rFonts w:ascii="仿宋_GB2312" w:eastAsia="仿宋_GB2312" w:hint="eastAsia"/>
          <w:sz w:val="32"/>
          <w:szCs w:val="28"/>
        </w:rPr>
        <w:t>通山县</w:t>
      </w:r>
      <w:r w:rsidRPr="00A571E9">
        <w:rPr>
          <w:rFonts w:ascii="仿宋_GB2312" w:eastAsia="仿宋_GB2312" w:hint="eastAsia"/>
          <w:sz w:val="32"/>
          <w:szCs w:val="28"/>
        </w:rPr>
        <w:t>人民法院决定在依法设立的律师事务所、会计事务所、破产清算事务所等社会中介机构中指定清算组的，应在咸宁</w:t>
      </w:r>
      <w:r w:rsidRPr="00565184">
        <w:rPr>
          <w:rFonts w:ascii="仿宋_GB2312" w:eastAsia="仿宋_GB2312" w:hint="eastAsia"/>
          <w:spacing w:val="-12"/>
          <w:sz w:val="32"/>
          <w:szCs w:val="28"/>
        </w:rPr>
        <w:t>市中级人民法院编制的破产管理人名册中按照相关规定予以指定。</w:t>
      </w:r>
    </w:p>
    <w:p w:rsidR="00310317" w:rsidRPr="00A571E9" w:rsidRDefault="00310317" w:rsidP="00565184">
      <w:pPr>
        <w:spacing w:line="530" w:lineRule="exact"/>
        <w:ind w:firstLineChars="200" w:firstLine="640"/>
        <w:rPr>
          <w:rFonts w:ascii="仿宋_GB2312" w:eastAsia="仿宋_GB2312"/>
          <w:sz w:val="32"/>
          <w:szCs w:val="28"/>
        </w:rPr>
      </w:pPr>
      <w:r w:rsidRPr="00A571E9">
        <w:rPr>
          <w:rFonts w:ascii="仿宋_GB2312" w:eastAsia="仿宋_GB2312" w:hint="eastAsia"/>
          <w:sz w:val="32"/>
          <w:szCs w:val="28"/>
        </w:rPr>
        <w:t>9.</w:t>
      </w:r>
      <w:r>
        <w:rPr>
          <w:rFonts w:ascii="仿宋_GB2312" w:eastAsia="仿宋_GB2312" w:hint="eastAsia"/>
          <w:sz w:val="32"/>
          <w:szCs w:val="28"/>
        </w:rPr>
        <w:t>通山县</w:t>
      </w:r>
      <w:r w:rsidRPr="00A571E9">
        <w:rPr>
          <w:rFonts w:ascii="仿宋_GB2312" w:eastAsia="仿宋_GB2312" w:hint="eastAsia"/>
          <w:sz w:val="32"/>
          <w:szCs w:val="28"/>
        </w:rPr>
        <w:t>人民法院指定破产管理人名册中社会中介机构担任清算组的，可根据案件疑难程序，将一定数量的案件一次性指定给同一机构办理，该批案件可视为一件破产案件进行案件上限管理。</w:t>
      </w:r>
    </w:p>
    <w:p w:rsidR="00310317" w:rsidRPr="00A571E9" w:rsidRDefault="00310317" w:rsidP="00565184">
      <w:pPr>
        <w:spacing w:line="530" w:lineRule="exact"/>
        <w:ind w:firstLineChars="200" w:firstLine="640"/>
        <w:rPr>
          <w:rFonts w:ascii="仿宋_GB2312" w:eastAsia="仿宋_GB2312"/>
          <w:sz w:val="32"/>
          <w:szCs w:val="28"/>
        </w:rPr>
      </w:pPr>
      <w:r w:rsidRPr="00A571E9">
        <w:rPr>
          <w:rFonts w:ascii="仿宋_GB2312" w:eastAsia="仿宋_GB2312" w:hint="eastAsia"/>
          <w:sz w:val="32"/>
          <w:szCs w:val="28"/>
        </w:rPr>
        <w:t>10.</w:t>
      </w:r>
      <w:r>
        <w:rPr>
          <w:rFonts w:ascii="仿宋_GB2312" w:eastAsia="仿宋_GB2312" w:hint="eastAsia"/>
          <w:sz w:val="32"/>
          <w:szCs w:val="28"/>
        </w:rPr>
        <w:t>通山县</w:t>
      </w:r>
      <w:r w:rsidRPr="00A571E9">
        <w:rPr>
          <w:rFonts w:ascii="仿宋_GB2312" w:eastAsia="仿宋_GB2312" w:hint="eastAsia"/>
          <w:sz w:val="32"/>
          <w:szCs w:val="28"/>
        </w:rPr>
        <w:t>人民法院在审理公司强制清算案件时，应利用人民法院综合信息管理平台，查明被清算企业涉诉情况，并指导清</w:t>
      </w:r>
      <w:r w:rsidRPr="00A571E9">
        <w:rPr>
          <w:rFonts w:ascii="仿宋_GB2312" w:eastAsia="仿宋_GB2312" w:hint="eastAsia"/>
          <w:sz w:val="32"/>
          <w:szCs w:val="28"/>
        </w:rPr>
        <w:lastRenderedPageBreak/>
        <w:t>算组穷尽一切措施对该企业的财产、债权债务等情况进行全面的调查。</w:t>
      </w:r>
    </w:p>
    <w:p w:rsidR="00310317" w:rsidRPr="00A571E9" w:rsidRDefault="00310317" w:rsidP="00565184">
      <w:pPr>
        <w:spacing w:line="530" w:lineRule="exact"/>
        <w:ind w:firstLineChars="200" w:firstLine="640"/>
        <w:rPr>
          <w:rFonts w:ascii="仿宋_GB2312" w:eastAsia="仿宋_GB2312"/>
          <w:sz w:val="32"/>
          <w:szCs w:val="28"/>
        </w:rPr>
      </w:pPr>
      <w:r w:rsidRPr="00A571E9">
        <w:rPr>
          <w:rFonts w:ascii="仿宋_GB2312" w:eastAsia="仿宋_GB2312" w:hint="eastAsia"/>
          <w:sz w:val="32"/>
          <w:szCs w:val="28"/>
        </w:rPr>
        <w:t>11.</w:t>
      </w:r>
      <w:r>
        <w:rPr>
          <w:rFonts w:ascii="仿宋_GB2312" w:eastAsia="仿宋_GB2312" w:hint="eastAsia"/>
          <w:sz w:val="32"/>
          <w:szCs w:val="28"/>
        </w:rPr>
        <w:t>通山县</w:t>
      </w:r>
      <w:r w:rsidRPr="00A571E9">
        <w:rPr>
          <w:rFonts w:ascii="仿宋_GB2312" w:eastAsia="仿宋_GB2312" w:hint="eastAsia"/>
          <w:sz w:val="32"/>
          <w:szCs w:val="28"/>
        </w:rPr>
        <w:t>市场监督管理局向</w:t>
      </w:r>
      <w:r>
        <w:rPr>
          <w:rFonts w:ascii="仿宋_GB2312" w:eastAsia="仿宋_GB2312" w:hint="eastAsia"/>
          <w:sz w:val="32"/>
          <w:szCs w:val="28"/>
        </w:rPr>
        <w:t>通山县</w:t>
      </w:r>
      <w:r w:rsidRPr="00A571E9">
        <w:rPr>
          <w:rFonts w:ascii="仿宋_GB2312" w:eastAsia="仿宋_GB2312" w:hint="eastAsia"/>
          <w:sz w:val="32"/>
          <w:szCs w:val="28"/>
        </w:rPr>
        <w:t>人民法院申请强制清算，</w:t>
      </w:r>
      <w:r>
        <w:rPr>
          <w:rFonts w:ascii="仿宋_GB2312" w:eastAsia="仿宋_GB2312" w:hint="eastAsia"/>
          <w:sz w:val="32"/>
          <w:szCs w:val="28"/>
        </w:rPr>
        <w:t>通山县</w:t>
      </w:r>
      <w:r w:rsidRPr="00A571E9">
        <w:rPr>
          <w:rFonts w:ascii="仿宋_GB2312" w:eastAsia="仿宋_GB2312" w:hint="eastAsia"/>
          <w:sz w:val="32"/>
          <w:szCs w:val="28"/>
        </w:rPr>
        <w:t>人民法院应当在收到申请当日立案审查，对符合受理条件的，应当在十五日内裁定受理，并指定清算组。</w:t>
      </w:r>
    </w:p>
    <w:p w:rsidR="00310317" w:rsidRPr="00A571E9" w:rsidRDefault="00310317" w:rsidP="00565184">
      <w:pPr>
        <w:spacing w:line="530" w:lineRule="exact"/>
        <w:ind w:firstLineChars="200" w:firstLine="640"/>
        <w:rPr>
          <w:rFonts w:ascii="仿宋_GB2312" w:eastAsia="仿宋_GB2312"/>
          <w:sz w:val="32"/>
          <w:szCs w:val="28"/>
        </w:rPr>
      </w:pPr>
      <w:r w:rsidRPr="00A571E9">
        <w:rPr>
          <w:rFonts w:ascii="仿宋_GB2312" w:eastAsia="仿宋_GB2312" w:hint="eastAsia"/>
          <w:sz w:val="32"/>
          <w:szCs w:val="28"/>
        </w:rPr>
        <w:t>12.人民法院裁定受理后，进入强制清算程序，一般应适用简化审在三个月内结案，确需延长审限爱你或程序转换的应提请院长审批。</w:t>
      </w:r>
    </w:p>
    <w:p w:rsidR="00310317" w:rsidRPr="00565184" w:rsidRDefault="00310317" w:rsidP="00565184">
      <w:pPr>
        <w:spacing w:line="530" w:lineRule="exact"/>
        <w:ind w:firstLineChars="200" w:firstLine="640"/>
        <w:rPr>
          <w:rFonts w:ascii="黑体" w:eastAsia="黑体" w:hAnsi="黑体"/>
          <w:sz w:val="32"/>
          <w:szCs w:val="28"/>
        </w:rPr>
      </w:pPr>
      <w:r w:rsidRPr="00565184">
        <w:rPr>
          <w:rFonts w:ascii="黑体" w:eastAsia="黑体" w:hAnsi="黑体" w:hint="eastAsia"/>
          <w:sz w:val="32"/>
          <w:szCs w:val="28"/>
        </w:rPr>
        <w:t>四、强制清算程序终结企业的注销登记</w:t>
      </w:r>
    </w:p>
    <w:p w:rsidR="00310317" w:rsidRPr="00A571E9" w:rsidRDefault="00310317" w:rsidP="00565184">
      <w:pPr>
        <w:spacing w:line="530" w:lineRule="exact"/>
        <w:ind w:firstLineChars="200" w:firstLine="640"/>
        <w:rPr>
          <w:rFonts w:ascii="仿宋_GB2312" w:eastAsia="仿宋_GB2312"/>
          <w:sz w:val="32"/>
          <w:szCs w:val="28"/>
        </w:rPr>
      </w:pPr>
      <w:r w:rsidRPr="00A571E9">
        <w:rPr>
          <w:rFonts w:ascii="仿宋_GB2312" w:eastAsia="仿宋_GB2312" w:hint="eastAsia"/>
          <w:sz w:val="32"/>
          <w:szCs w:val="28"/>
        </w:rPr>
        <w:t>13.对</w:t>
      </w:r>
      <w:r>
        <w:rPr>
          <w:rFonts w:ascii="仿宋_GB2312" w:eastAsia="仿宋_GB2312" w:hint="eastAsia"/>
          <w:sz w:val="32"/>
          <w:szCs w:val="28"/>
        </w:rPr>
        <w:t>通山县</w:t>
      </w:r>
      <w:r w:rsidRPr="00A571E9">
        <w:rPr>
          <w:rFonts w:ascii="仿宋_GB2312" w:eastAsia="仿宋_GB2312" w:hint="eastAsia"/>
          <w:sz w:val="32"/>
          <w:szCs w:val="28"/>
        </w:rPr>
        <w:t>人民法院依法裁定终结的强制清算程序终结案件的企业，强制清算组或企业管理人可持</w:t>
      </w:r>
      <w:r>
        <w:rPr>
          <w:rFonts w:ascii="仿宋_GB2312" w:eastAsia="仿宋_GB2312" w:hint="eastAsia"/>
          <w:sz w:val="32"/>
          <w:szCs w:val="28"/>
        </w:rPr>
        <w:t>通山县</w:t>
      </w:r>
      <w:r w:rsidRPr="00A571E9">
        <w:rPr>
          <w:rFonts w:ascii="仿宋_GB2312" w:eastAsia="仿宋_GB2312" w:hint="eastAsia"/>
          <w:sz w:val="32"/>
          <w:szCs w:val="28"/>
        </w:rPr>
        <w:t>人民法院终结强制清算程序的裁定，向被强制清算企业的登记机关（含行政审批部门）申请办理注销登记，无需经过公告程序。企业清算组或企业管理人在申请注销登记时只需要提交《申请书》《指定代表或者共同委托代理人授权委托书》《人民法院终结强制清算程序的裁定》，营业执照正、副本（对于营业执照遗失的，可以在国家企业信用信息公示系统进行营业执照遗失公告，无需申请补发营业执照）即可，不再提交清算报告、投资人决议、清税证明、清算组备案证明、刊登公告的报纸样张等材料。</w:t>
      </w:r>
    </w:p>
    <w:p w:rsidR="00310317" w:rsidRPr="00565184" w:rsidRDefault="00310317" w:rsidP="00565184">
      <w:pPr>
        <w:spacing w:line="530" w:lineRule="exact"/>
        <w:ind w:firstLineChars="200" w:firstLine="640"/>
        <w:rPr>
          <w:rFonts w:ascii="黑体" w:eastAsia="黑体" w:hAnsi="黑体"/>
          <w:sz w:val="32"/>
          <w:szCs w:val="28"/>
        </w:rPr>
      </w:pPr>
      <w:r w:rsidRPr="00565184">
        <w:rPr>
          <w:rFonts w:ascii="黑体" w:eastAsia="黑体" w:hAnsi="黑体" w:hint="eastAsia"/>
          <w:sz w:val="32"/>
          <w:szCs w:val="28"/>
        </w:rPr>
        <w:t>五、附则</w:t>
      </w:r>
    </w:p>
    <w:p w:rsidR="00A734D0" w:rsidRPr="00310317" w:rsidRDefault="00310317" w:rsidP="00565184">
      <w:pPr>
        <w:spacing w:line="530" w:lineRule="exact"/>
        <w:ind w:firstLineChars="200" w:firstLine="640"/>
        <w:rPr>
          <w:rFonts w:ascii="仿宋_GB2312" w:eastAsia="仿宋_GB2312"/>
          <w:sz w:val="32"/>
          <w:szCs w:val="32"/>
        </w:rPr>
      </w:pPr>
      <w:r w:rsidRPr="00A571E9">
        <w:rPr>
          <w:rFonts w:ascii="仿宋_GB2312" w:eastAsia="仿宋_GB2312" w:hint="eastAsia"/>
          <w:sz w:val="32"/>
          <w:szCs w:val="28"/>
        </w:rPr>
        <w:t>1</w:t>
      </w:r>
      <w:r>
        <w:rPr>
          <w:rFonts w:ascii="仿宋_GB2312" w:eastAsia="仿宋_GB2312" w:hint="eastAsia"/>
          <w:sz w:val="32"/>
          <w:szCs w:val="28"/>
        </w:rPr>
        <w:t>4</w:t>
      </w:r>
      <w:r w:rsidRPr="00A571E9">
        <w:rPr>
          <w:rFonts w:ascii="仿宋_GB2312" w:eastAsia="仿宋_GB2312" w:hint="eastAsia"/>
          <w:sz w:val="32"/>
          <w:szCs w:val="28"/>
        </w:rPr>
        <w:t>.本意见自印发之日起施行。执行中遇到的问题，由通山县人民法院和通山县市场监督管理局负责解释。</w:t>
      </w:r>
    </w:p>
    <w:sectPr w:rsidR="00A734D0" w:rsidRPr="00310317" w:rsidSect="00565184">
      <w:footerReference w:type="even" r:id="rId9"/>
      <w:footerReference w:type="default" r:id="rId10"/>
      <w:pgSz w:w="11907" w:h="16840" w:code="9"/>
      <w:pgMar w:top="2098" w:right="1531" w:bottom="1985" w:left="1531" w:header="1361" w:footer="1361"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1BD" w:rsidRDefault="00BA71BD">
      <w:r>
        <w:separator/>
      </w:r>
    </w:p>
  </w:endnote>
  <w:endnote w:type="continuationSeparator" w:id="1">
    <w:p w:rsidR="00BA71BD" w:rsidRDefault="00BA71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
    <w:panose1 w:val="02010601030101010101"/>
    <w:charset w:val="86"/>
    <w:family w:val="auto"/>
    <w:pitch w:val="variable"/>
    <w:sig w:usb0="00000001" w:usb1="080E0000" w:usb2="00000010" w:usb3="00000000" w:csb0="00040000" w:csb1="00000000"/>
  </w:font>
  <w:font w:name="仿宋_GB2312">
    <w:altName w:val="??"/>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8"/>
        <w:szCs w:val="28"/>
      </w:rPr>
      <w:id w:val="289828141"/>
      <w:docPartObj>
        <w:docPartGallery w:val="Page Numbers (Bottom of Page)"/>
        <w:docPartUnique/>
      </w:docPartObj>
    </w:sdtPr>
    <w:sdtContent>
      <w:p w:rsidR="00C07260" w:rsidRPr="00565184" w:rsidRDefault="00565184" w:rsidP="00565184">
        <w:pPr>
          <w:pStyle w:val="a4"/>
          <w:rPr>
            <w:rFonts w:asciiTheme="minorEastAsia" w:hAnsiTheme="minorEastAsia"/>
            <w:sz w:val="28"/>
            <w:szCs w:val="28"/>
          </w:rPr>
        </w:pPr>
        <w:r w:rsidRPr="00565184">
          <w:rPr>
            <w:rFonts w:asciiTheme="minorEastAsia" w:hAnsiTheme="minorEastAsia"/>
            <w:sz w:val="28"/>
            <w:szCs w:val="28"/>
          </w:rPr>
          <w:fldChar w:fldCharType="begin"/>
        </w:r>
        <w:r w:rsidRPr="00565184">
          <w:rPr>
            <w:rFonts w:asciiTheme="minorEastAsia" w:hAnsiTheme="minorEastAsia"/>
            <w:sz w:val="28"/>
            <w:szCs w:val="28"/>
          </w:rPr>
          <w:instrText xml:space="preserve"> PAGE   \* MERGEFORMAT </w:instrText>
        </w:r>
        <w:r w:rsidRPr="00565184">
          <w:rPr>
            <w:rFonts w:asciiTheme="minorEastAsia" w:hAnsiTheme="minorEastAsia"/>
            <w:sz w:val="28"/>
            <w:szCs w:val="28"/>
          </w:rPr>
          <w:fldChar w:fldCharType="separate"/>
        </w:r>
        <w:r>
          <w:rPr>
            <w:rFonts w:asciiTheme="minorEastAsia" w:hAnsiTheme="minorEastAsia"/>
            <w:noProof/>
            <w:sz w:val="28"/>
            <w:szCs w:val="28"/>
          </w:rPr>
          <w:t>- 2 -</w:t>
        </w:r>
        <w:r w:rsidRPr="00565184">
          <w:rPr>
            <w:rFonts w:asciiTheme="minorEastAsia" w:hAnsiTheme="minor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828140"/>
      <w:docPartObj>
        <w:docPartGallery w:val="Page Numbers (Bottom of Page)"/>
        <w:docPartUnique/>
      </w:docPartObj>
    </w:sdtPr>
    <w:sdtEndPr>
      <w:rPr>
        <w:rFonts w:asciiTheme="minorEastAsia" w:hAnsiTheme="minorEastAsia"/>
        <w:sz w:val="28"/>
        <w:szCs w:val="28"/>
      </w:rPr>
    </w:sdtEndPr>
    <w:sdtContent>
      <w:p w:rsidR="00565184" w:rsidRPr="00565184" w:rsidRDefault="00565184">
        <w:pPr>
          <w:pStyle w:val="a4"/>
          <w:jc w:val="right"/>
          <w:rPr>
            <w:rFonts w:asciiTheme="minorEastAsia" w:hAnsiTheme="minorEastAsia"/>
            <w:sz w:val="28"/>
            <w:szCs w:val="28"/>
          </w:rPr>
        </w:pPr>
        <w:r w:rsidRPr="00565184">
          <w:rPr>
            <w:rFonts w:asciiTheme="minorEastAsia" w:hAnsiTheme="minorEastAsia"/>
            <w:sz w:val="28"/>
            <w:szCs w:val="28"/>
          </w:rPr>
          <w:fldChar w:fldCharType="begin"/>
        </w:r>
        <w:r w:rsidRPr="00565184">
          <w:rPr>
            <w:rFonts w:asciiTheme="minorEastAsia" w:hAnsiTheme="minorEastAsia"/>
            <w:sz w:val="28"/>
            <w:szCs w:val="28"/>
          </w:rPr>
          <w:instrText xml:space="preserve"> PAGE   \* MERGEFORMAT </w:instrText>
        </w:r>
        <w:r w:rsidRPr="00565184">
          <w:rPr>
            <w:rFonts w:asciiTheme="minorEastAsia" w:hAnsiTheme="minorEastAsia"/>
            <w:sz w:val="28"/>
            <w:szCs w:val="28"/>
          </w:rPr>
          <w:fldChar w:fldCharType="separate"/>
        </w:r>
        <w:r w:rsidRPr="00565184">
          <w:rPr>
            <w:rFonts w:asciiTheme="minorEastAsia" w:hAnsiTheme="minorEastAsia"/>
            <w:noProof/>
            <w:sz w:val="28"/>
            <w:szCs w:val="28"/>
            <w:lang w:val="zh-CN"/>
          </w:rPr>
          <w:t>-</w:t>
        </w:r>
        <w:r>
          <w:rPr>
            <w:rFonts w:asciiTheme="minorEastAsia" w:hAnsiTheme="minorEastAsia"/>
            <w:noProof/>
            <w:sz w:val="28"/>
            <w:szCs w:val="28"/>
          </w:rPr>
          <w:t xml:space="preserve"> 1 -</w:t>
        </w:r>
        <w:r w:rsidRPr="00565184">
          <w:rPr>
            <w:rFonts w:asciiTheme="minorEastAsia" w:hAnsiTheme="min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1BD" w:rsidRDefault="00BA71BD">
      <w:r>
        <w:separator/>
      </w:r>
    </w:p>
  </w:footnote>
  <w:footnote w:type="continuationSeparator" w:id="1">
    <w:p w:rsidR="00BA71BD" w:rsidRDefault="00BA71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0227BD"/>
    <w:multiLevelType w:val="singleLevel"/>
    <w:tmpl w:val="8F0227BD"/>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82" fillcolor="red" strokecolor="red">
      <v:fill color="red"/>
      <v:stroke color="red" weight="1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455CF"/>
    <w:rsid w:val="00002A6C"/>
    <w:rsid w:val="00042E90"/>
    <w:rsid w:val="00055F42"/>
    <w:rsid w:val="000645C0"/>
    <w:rsid w:val="000E51E5"/>
    <w:rsid w:val="0010281E"/>
    <w:rsid w:val="00174E1C"/>
    <w:rsid w:val="001979E4"/>
    <w:rsid w:val="001B468E"/>
    <w:rsid w:val="002110C7"/>
    <w:rsid w:val="00211F10"/>
    <w:rsid w:val="002205F4"/>
    <w:rsid w:val="002308F1"/>
    <w:rsid w:val="00234F66"/>
    <w:rsid w:val="002360AC"/>
    <w:rsid w:val="002454DD"/>
    <w:rsid w:val="002455CF"/>
    <w:rsid w:val="00247754"/>
    <w:rsid w:val="00264875"/>
    <w:rsid w:val="00267BD5"/>
    <w:rsid w:val="00275E06"/>
    <w:rsid w:val="002825CF"/>
    <w:rsid w:val="002F63E3"/>
    <w:rsid w:val="00310317"/>
    <w:rsid w:val="00353D69"/>
    <w:rsid w:val="003550CE"/>
    <w:rsid w:val="0036375C"/>
    <w:rsid w:val="003E5938"/>
    <w:rsid w:val="003F21AA"/>
    <w:rsid w:val="003F4E81"/>
    <w:rsid w:val="0040222F"/>
    <w:rsid w:val="00436C9C"/>
    <w:rsid w:val="0044022D"/>
    <w:rsid w:val="00470B95"/>
    <w:rsid w:val="00477669"/>
    <w:rsid w:val="0049164B"/>
    <w:rsid w:val="004E36A7"/>
    <w:rsid w:val="004F5952"/>
    <w:rsid w:val="00562744"/>
    <w:rsid w:val="00565184"/>
    <w:rsid w:val="005659D5"/>
    <w:rsid w:val="00572F6C"/>
    <w:rsid w:val="005B473D"/>
    <w:rsid w:val="005C5FDA"/>
    <w:rsid w:val="005D3F76"/>
    <w:rsid w:val="00604FB1"/>
    <w:rsid w:val="00617A28"/>
    <w:rsid w:val="00637365"/>
    <w:rsid w:val="00651EDE"/>
    <w:rsid w:val="00684857"/>
    <w:rsid w:val="006A75B0"/>
    <w:rsid w:val="006F1522"/>
    <w:rsid w:val="00732613"/>
    <w:rsid w:val="00762F51"/>
    <w:rsid w:val="00765133"/>
    <w:rsid w:val="00793A45"/>
    <w:rsid w:val="007B4BBB"/>
    <w:rsid w:val="007C1CBA"/>
    <w:rsid w:val="007D4F6D"/>
    <w:rsid w:val="00867370"/>
    <w:rsid w:val="008801A3"/>
    <w:rsid w:val="008E4D20"/>
    <w:rsid w:val="009315EA"/>
    <w:rsid w:val="009464F7"/>
    <w:rsid w:val="00950CEC"/>
    <w:rsid w:val="009B6299"/>
    <w:rsid w:val="00A2200B"/>
    <w:rsid w:val="00A734D0"/>
    <w:rsid w:val="00A90963"/>
    <w:rsid w:val="00AA375E"/>
    <w:rsid w:val="00AB19C2"/>
    <w:rsid w:val="00AB4FB0"/>
    <w:rsid w:val="00AE1608"/>
    <w:rsid w:val="00AF3687"/>
    <w:rsid w:val="00B2343B"/>
    <w:rsid w:val="00BA71BD"/>
    <w:rsid w:val="00C03B9A"/>
    <w:rsid w:val="00C07260"/>
    <w:rsid w:val="00C07CF5"/>
    <w:rsid w:val="00C46E05"/>
    <w:rsid w:val="00CA11F2"/>
    <w:rsid w:val="00CD59E7"/>
    <w:rsid w:val="00CE1941"/>
    <w:rsid w:val="00CE7014"/>
    <w:rsid w:val="00DB2188"/>
    <w:rsid w:val="00DC0EBC"/>
    <w:rsid w:val="00E52909"/>
    <w:rsid w:val="00E60D3D"/>
    <w:rsid w:val="00F5140B"/>
    <w:rsid w:val="00F81682"/>
    <w:rsid w:val="00F90CDD"/>
    <w:rsid w:val="00FB4231"/>
    <w:rsid w:val="00FD0A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fillcolor="red" strokecolor="red">
      <v:fill color="red"/>
      <v:stroke color="red" weight="1pt"/>
    </o:shapedefaults>
    <o:shapelayout v:ext="edit">
      <o:idmap v:ext="edit" data="2"/>
      <o:rules v:ext="edit">
        <o:r id="V:Rule2" type="connector" idref="#自选图形 4"/>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5CF"/>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455CF"/>
    <w:rPr>
      <w:sz w:val="18"/>
      <w:szCs w:val="18"/>
    </w:rPr>
  </w:style>
  <w:style w:type="paragraph" w:styleId="a4">
    <w:name w:val="footer"/>
    <w:basedOn w:val="a"/>
    <w:link w:val="Char0"/>
    <w:uiPriority w:val="99"/>
    <w:unhideWhenUsed/>
    <w:qFormat/>
    <w:rsid w:val="002455CF"/>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semiHidden/>
    <w:unhideWhenUsed/>
    <w:qFormat/>
    <w:rsid w:val="002455C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qFormat/>
    <w:rsid w:val="002455CF"/>
    <w:pPr>
      <w:spacing w:beforeAutospacing="1" w:afterAutospacing="1"/>
      <w:jc w:val="left"/>
    </w:pPr>
    <w:rPr>
      <w:kern w:val="0"/>
      <w:sz w:val="24"/>
    </w:rPr>
  </w:style>
  <w:style w:type="character" w:customStyle="1" w:styleId="Char1">
    <w:name w:val="页眉 Char"/>
    <w:basedOn w:val="a0"/>
    <w:link w:val="a5"/>
    <w:uiPriority w:val="99"/>
    <w:semiHidden/>
    <w:qFormat/>
    <w:rsid w:val="002455CF"/>
    <w:rPr>
      <w:sz w:val="18"/>
      <w:szCs w:val="18"/>
    </w:rPr>
  </w:style>
  <w:style w:type="character" w:customStyle="1" w:styleId="Char0">
    <w:name w:val="页脚 Char"/>
    <w:basedOn w:val="a0"/>
    <w:link w:val="a4"/>
    <w:uiPriority w:val="99"/>
    <w:qFormat/>
    <w:rsid w:val="002455CF"/>
    <w:rPr>
      <w:sz w:val="18"/>
      <w:szCs w:val="18"/>
    </w:rPr>
  </w:style>
  <w:style w:type="character" w:customStyle="1" w:styleId="bjh-p">
    <w:name w:val="bjh-p"/>
    <w:basedOn w:val="a0"/>
    <w:qFormat/>
    <w:rsid w:val="002455CF"/>
  </w:style>
  <w:style w:type="character" w:customStyle="1" w:styleId="Char">
    <w:name w:val="批注框文本 Char"/>
    <w:basedOn w:val="a0"/>
    <w:link w:val="a3"/>
    <w:uiPriority w:val="99"/>
    <w:semiHidden/>
    <w:rsid w:val="002455CF"/>
    <w:rPr>
      <w:rFonts w:ascii="Calibri" w:hAnsi="Calibri"/>
      <w:kern w:val="2"/>
      <w:sz w:val="18"/>
      <w:szCs w:val="18"/>
    </w:rPr>
  </w:style>
  <w:style w:type="paragraph" w:styleId="a7">
    <w:name w:val="List Paragraph"/>
    <w:basedOn w:val="a"/>
    <w:uiPriority w:val="99"/>
    <w:unhideWhenUsed/>
    <w:rsid w:val="002455CF"/>
    <w:pPr>
      <w:ind w:firstLineChars="200" w:firstLine="420"/>
    </w:pPr>
  </w:style>
  <w:style w:type="character" w:styleId="a8">
    <w:name w:val="Hyperlink"/>
    <w:basedOn w:val="a0"/>
    <w:uiPriority w:val="99"/>
    <w:unhideWhenUsed/>
    <w:rsid w:val="00FB4231"/>
    <w:rPr>
      <w:color w:val="0000FF" w:themeColor="hyperlink"/>
      <w:u w:val="single"/>
    </w:rPr>
  </w:style>
  <w:style w:type="paragraph" w:styleId="a9">
    <w:name w:val="Date"/>
    <w:basedOn w:val="a"/>
    <w:next w:val="a"/>
    <w:link w:val="Char2"/>
    <w:uiPriority w:val="99"/>
    <w:semiHidden/>
    <w:unhideWhenUsed/>
    <w:rsid w:val="00C03B9A"/>
    <w:pPr>
      <w:ind w:leftChars="2500" w:left="100"/>
    </w:pPr>
  </w:style>
  <w:style w:type="character" w:customStyle="1" w:styleId="Char2">
    <w:name w:val="日期 Char"/>
    <w:basedOn w:val="a0"/>
    <w:link w:val="a9"/>
    <w:uiPriority w:val="99"/>
    <w:semiHidden/>
    <w:rsid w:val="00C03B9A"/>
    <w:rPr>
      <w:kern w:val="2"/>
      <w:sz w:val="21"/>
      <w:szCs w:val="24"/>
    </w:rPr>
  </w:style>
  <w:style w:type="table" w:customStyle="1" w:styleId="TableNormal">
    <w:name w:val="Table Normal"/>
    <w:semiHidden/>
    <w:unhideWhenUsed/>
    <w:qFormat/>
    <w:rsid w:val="006F1522"/>
    <w:rPr>
      <w:rFonts w:ascii="Arial" w:eastAsiaTheme="minorEastAsia" w:hAnsi="Arial" w:cs="Arial"/>
      <w:snapToGrid w:val="0"/>
      <w:color w:val="000000"/>
      <w:sz w:val="21"/>
      <w:szCs w:val="21"/>
    </w:rPr>
    <w:tblPr>
      <w:tblCellMar>
        <w:top w:w="0" w:type="dxa"/>
        <w:left w:w="0" w:type="dxa"/>
        <w:bottom w:w="0" w:type="dxa"/>
        <w:right w:w="0" w:type="dxa"/>
      </w:tblCellMar>
    </w:tblPr>
  </w:style>
  <w:style w:type="table" w:styleId="aa">
    <w:name w:val="Table Grid"/>
    <w:basedOn w:val="a1"/>
    <w:uiPriority w:val="59"/>
    <w:rsid w:val="00470B9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Strong"/>
    <w:basedOn w:val="a0"/>
    <w:qFormat/>
    <w:rsid w:val="00470B95"/>
    <w:rPr>
      <w:b/>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s:customData xmlns="http://www.wps.cn/officeDocument/2013/wpsCustomData" xmlns:s="http://www.wps.cn/officeDocument/2013/wpsCustomData">
  <customSectProps>
    <customSectPr/>
  </customSectProps>
  <customShpExts>
    <customShpInfo spid="_x0000_s2050"/>
    <customShpInfo spid="_x0000_s2051"/>
  </customShpExts>
</s:customData>
</file>

<file path=customXml/itemProps1.xml><?xml version="1.0" encoding="utf-8"?>
<ds:datastoreItem xmlns:ds="http://schemas.openxmlformats.org/officeDocument/2006/customXml" ds:itemID="{C434027D-6817-4D86-BDA4-8507B9B4F44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272</Words>
  <Characters>1554</Characters>
  <Application>Microsoft Office Word</Application>
  <DocSecurity>0</DocSecurity>
  <Lines>12</Lines>
  <Paragraphs>3</Paragraphs>
  <ScaleCrop>false</ScaleCrop>
  <Company>微软中国</Company>
  <LinksUpToDate>false</LinksUpToDate>
  <CharactersWithSpaces>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胡雁南</cp:lastModifiedBy>
  <cp:revision>23</cp:revision>
  <cp:lastPrinted>2024-05-09T08:53:00Z</cp:lastPrinted>
  <dcterms:created xsi:type="dcterms:W3CDTF">2022-10-20T07:22:00Z</dcterms:created>
  <dcterms:modified xsi:type="dcterms:W3CDTF">2024-05-09T09:03:00Z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