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C91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left="0" w:right="0" w:firstLine="42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通山县</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信用分级分类管理办法</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试行</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w:t>
      </w:r>
    </w:p>
    <w:p w14:paraId="3AB898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left="0" w:right="0" w:firstLine="42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 </w:t>
      </w:r>
    </w:p>
    <w:p w14:paraId="015409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jc w:val="center"/>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shd w:val="clear" w:fill="FFFFFF"/>
          <w14:textFill>
            <w14:solidFill>
              <w14:schemeClr w14:val="tx1"/>
            </w14:solidFill>
          </w14:textFill>
        </w:rPr>
        <w:t>第一章</w:t>
      </w:r>
      <w:r>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b/>
          <w:bCs/>
          <w:i w:val="0"/>
          <w:iCs w:val="0"/>
          <w:caps w:val="0"/>
          <w:color w:val="000000" w:themeColor="text1"/>
          <w:spacing w:val="0"/>
          <w:sz w:val="32"/>
          <w:szCs w:val="32"/>
          <w:shd w:val="clear" w:fill="FFFFFF"/>
          <w14:textFill>
            <w14:solidFill>
              <w14:schemeClr w14:val="tx1"/>
            </w14:solidFill>
          </w14:textFill>
        </w:rPr>
        <w:t>总则</w:t>
      </w:r>
    </w:p>
    <w:p w14:paraId="5D3133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第一条 为建立多部门统一的信用分级分类标准体系，加快构建差异化监管模式，全力打造一流营商环境，根据国务院办公厅</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关于加快推进社会信用体系建设构建以信用为基础的新型监管机制的指导意见</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国办发</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2022</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号</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和</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《关于加快推进通山县社会信用体系建设构建以信用为基础的新型监管机制的实施方案</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（通信用办〔2020〕12号）</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等文件要求，结合工作实际，制定本办法。</w:t>
      </w:r>
    </w:p>
    <w:p w14:paraId="025A98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第二条 开展信用分级分类，应遵循综合性，一致性，审慎性的原则。根据信用评价指标体系，通过数据分析处理和综合计分，建立科学合理的信用分级分类管理体系。</w:t>
      </w:r>
    </w:p>
    <w:p w14:paraId="1C684E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第三条 本办法适用于本县行政区域内各行业监管的信用主体，包括企业法人，非企业法人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机关法人，事业单位法人和社会团体法人，基金会等</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非营利</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机构</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及个体工商户。</w:t>
      </w:r>
    </w:p>
    <w:p w14:paraId="334F21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jc w:val="center"/>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shd w:val="clear" w:fill="FFFFFF"/>
          <w14:textFill>
            <w14:solidFill>
              <w14:schemeClr w14:val="tx1"/>
            </w14:solidFill>
          </w14:textFill>
        </w:rPr>
        <w:t>第二章</w:t>
      </w:r>
      <w:r>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b/>
          <w:bCs/>
          <w:i w:val="0"/>
          <w:iCs w:val="0"/>
          <w:caps w:val="0"/>
          <w:color w:val="000000" w:themeColor="text1"/>
          <w:spacing w:val="0"/>
          <w:sz w:val="32"/>
          <w:szCs w:val="32"/>
          <w:shd w:val="clear" w:fill="FFFFFF"/>
          <w14:textFill>
            <w14:solidFill>
              <w14:schemeClr w14:val="tx1"/>
            </w14:solidFill>
          </w14:textFill>
        </w:rPr>
        <w:t>信用评价</w:t>
      </w:r>
    </w:p>
    <w:p w14:paraId="7D2989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第四条 信用评价包括公共信用综合评价、行业信用评价和市场信用评价。</w:t>
      </w:r>
    </w:p>
    <w:p w14:paraId="17C1DA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第五条 公共信用综合评价是实施信用分级分类监管的基础。公共信用综合评价，由各</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部门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依托</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省</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信用信息平台，整合县有关部门归集共享的公共信用信息，根据统一的指标体系，对信用主体作出公共信用综合评价。</w:t>
      </w:r>
    </w:p>
    <w:p w14:paraId="350685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第六条 行业信用评价。由行业监管部门根据自身掌握和共享获取的信用信息，结合本行业领域特点，利用公共作用综合评价结果，作出行业信用评价。行业信用评价结果纳入公共信用综合评价指标体系。</w:t>
      </w:r>
    </w:p>
    <w:p w14:paraId="18D1A0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七条 市场信用评价，由行业协会商会、信用服务机构等第三方机构对信用主体作出信用评价，鼓励行业协会商会，信用服务机构等第三方机构积极开展市场信用评价、待市场信用评价形成一定规模后。将其结果纳入公共信用综合评价和有关行业信用评价指标体系。</w:t>
      </w:r>
    </w:p>
    <w:p w14:paraId="57DCCC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第八条 公共信用综合评价原则上每年度进行一次，以1</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月31日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省</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信用信息平台归集的时点数据为基准，公共信用综合评价结果以政务共享的方式推送给有关行业监管部门等单位。</w:t>
      </w:r>
    </w:p>
    <w:p w14:paraId="2E96E9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第九条 公共信用综合评价赋予每个信用主体1000分基本分值，在此基础上，设置减分项，加分项两类指标。减分项指标13个，包括法院公布的失信被执行人、政府部门公布的联合惩戒对象</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失信黑名单</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，一般程序作出的行政处罚。市场监管部门经营异常名录，行政强制执行，法院公布的被执行人，法院生效判决涉及合同纠纷需承担责任方、国家综合信用评价</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等级</w:t>
      </w:r>
      <w:bookmarkStart w:id="0" w:name="_GoBack"/>
      <w:bookmarkEnd w:id="0"/>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较低单位，税务等部门开展的通用行业评价等级较低单位，环保海关等部门开展的单一行业评价等级较低单位、简易程序作出的行政处罚，高管失信信息、违反信用承诺。</w:t>
      </w:r>
    </w:p>
    <w:p w14:paraId="285167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加分项指标7个，包括政府部门公布的联合激励对象</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守信红名单</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国家综合信用评价等级较高单位，税务等部门开展的通用行业评价等级较高单位，环保海关等部门开展的单一行业评价等级较高单位、单位获得县级以上表彰或奖励情况，单位主要负责人获得县级以上表彰或奖励情况，单位慈善捐赠等履行社会责任情况</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公共信用综合评价指标体系详见附表1）</w:t>
      </w:r>
    </w:p>
    <w:p w14:paraId="68509C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公共作用综合评价指标体系，根据实际情况，及时进行动态调整和优化。</w:t>
      </w:r>
    </w:p>
    <w:p w14:paraId="229758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jc w:val="center"/>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shd w:val="clear" w:fill="FFFFFF"/>
          <w14:textFill>
            <w14:solidFill>
              <w14:schemeClr w14:val="tx1"/>
            </w14:solidFill>
          </w14:textFill>
        </w:rPr>
        <w:t>第三章</w:t>
      </w:r>
      <w:r>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b/>
          <w:bCs/>
          <w:i w:val="0"/>
          <w:iCs w:val="0"/>
          <w:caps w:val="0"/>
          <w:color w:val="000000" w:themeColor="text1"/>
          <w:spacing w:val="0"/>
          <w:sz w:val="32"/>
          <w:szCs w:val="32"/>
          <w:shd w:val="clear" w:fill="FFFFFF"/>
          <w14:textFill>
            <w14:solidFill>
              <w14:schemeClr w14:val="tx1"/>
            </w14:solidFill>
          </w14:textFill>
        </w:rPr>
        <w:t>信用分级分类</w:t>
      </w:r>
    </w:p>
    <w:p w14:paraId="4FCF92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第十条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各类信用主体统一划分为诚信守法，轻微失信，一般失信，严重失信四类。</w:t>
      </w:r>
    </w:p>
    <w:p w14:paraId="70CAE5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第十一条 为准确反映信用主体信用风险等，根据公共信用综合评价结果，进一步将信用主体细分为A、B、C、D、 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四</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个信用等级。诚信守法类信用主体包括A级</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；一般</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类信用主体为B级</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般失信类信用主体</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C级</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严重失信类信用主体</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D级。</w:t>
      </w:r>
    </w:p>
    <w:p w14:paraId="160B04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第十二条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A级，一般是无失信信息有良好信息，或良好信息分值超过失信信息分值</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1C7AF6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B级，为信用主体原始基准等级，一般是无失信信息无良好信息，或失信信息与良好信息分值相等</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496A92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C级，一般是有一条一般程序作出的失信信息成多条轻微失信信息</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5E8800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D级，一般是有一条严重失信信息</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7EF85C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第十三条 信用主体具有国务院《关于建立完善守信</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联合</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激励和失信联合惩戒制度加快推进社会诚信建设的指导意见》</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国发</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〔2016〕33号</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）文件规定的四类严重失信行为信息的，直接认定为D级。</w:t>
      </w:r>
    </w:p>
    <w:p w14:paraId="35C400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第十四条 各行业监管部门根据《差异化监管流程再造施实方案》规定，在公共信用综合评价基础上，可对信用主体进行更细致深入的行业分级分类，为开展精准监管、包容审慎监管。重点监管提供支撑。</w:t>
      </w:r>
    </w:p>
    <w:p w14:paraId="5E09A6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jc w:val="center"/>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shd w:val="clear" w:fill="FFFFFF"/>
          <w14:textFill>
            <w14:solidFill>
              <w14:schemeClr w14:val="tx1"/>
            </w14:solidFill>
          </w14:textFill>
        </w:rPr>
        <w:t>第四章</w:t>
      </w:r>
      <w:r>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b/>
          <w:bCs/>
          <w:i w:val="0"/>
          <w:iCs w:val="0"/>
          <w:caps w:val="0"/>
          <w:color w:val="000000" w:themeColor="text1"/>
          <w:spacing w:val="0"/>
          <w:sz w:val="32"/>
          <w:szCs w:val="32"/>
          <w:shd w:val="clear" w:fill="FFFFFF"/>
          <w14:textFill>
            <w14:solidFill>
              <w14:schemeClr w14:val="tx1"/>
            </w14:solidFill>
          </w14:textFill>
        </w:rPr>
        <w:t>信用分级分类结果应用</w:t>
      </w:r>
    </w:p>
    <w:p w14:paraId="0CA838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第十五级 各部门</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要把信用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分级分类结果运用到行政管</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和社会治理工作中，作为实施差异化监管的依据。县信用中心与各行业监管部门依托县政务信息资源共享交换平台，加强公共信用综合评价结果，行业信用评价结果共享共用。</w:t>
      </w:r>
    </w:p>
    <w:p w14:paraId="2AE8BF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各部门要及时汇聚整合信用信息数据，同时将评价结果归集至县信用共享库并按需共享。在信用监管等过程中加以应用。</w:t>
      </w:r>
    </w:p>
    <w:p w14:paraId="76A5CA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第十六条 对诚信守法类信用主体。实行“非请</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勿</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扰”诚信管理制度。在日常监管中，行业监管部门原则上不将其列入抽查范围。在行政管理和公共服务中，实行绿色通道、容缺受理，简化程序等支持激励措施，如出现严重失信行为，行业监管部门依法依规进行严格处罚。</w:t>
      </w:r>
    </w:p>
    <w:p w14:paraId="72E94A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第十七条 对</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一般</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类信用主体，每年至多进行一次随机检查，采取包容审慎监管方式，建立轻微违法行为免罚，轻罚清单。</w:t>
      </w:r>
    </w:p>
    <w:p w14:paraId="525931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第十八条 对一般失信类信用主体，每年除进行一次随机性联合检查外，不再安排其做检查。</w:t>
      </w:r>
    </w:p>
    <w:p w14:paraId="7CD015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第十九条 对严重失信类信用主体，在日常监管中列为重点监管对象，抽查比例不设上限，依法依规增加检查内容，</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加大</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抽查检查力度和频次，根据国家有关部委签署的联合作戒备忘录规定，依法依规在行政管理和公共服务中，限制其享受简化程序等便利措施。限制其申请财政资金项目，评优评先项目。</w:t>
      </w:r>
    </w:p>
    <w:p w14:paraId="77FBC0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jc w:val="center"/>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shd w:val="clear" w:fill="FFFFFF"/>
          <w14:textFill>
            <w14:solidFill>
              <w14:schemeClr w14:val="tx1"/>
            </w14:solidFill>
          </w14:textFill>
        </w:rPr>
        <w:t>第五章</w:t>
      </w:r>
      <w:r>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b/>
          <w:bCs/>
          <w:i w:val="0"/>
          <w:iCs w:val="0"/>
          <w:caps w:val="0"/>
          <w:color w:val="000000" w:themeColor="text1"/>
          <w:spacing w:val="0"/>
          <w:sz w:val="32"/>
          <w:szCs w:val="32"/>
          <w:shd w:val="clear" w:fill="FFFFFF"/>
          <w14:textFill>
            <w14:solidFill>
              <w14:schemeClr w14:val="tx1"/>
            </w14:solidFill>
          </w14:textFill>
        </w:rPr>
        <w:t>信用主体权益保护</w:t>
      </w:r>
    </w:p>
    <w:p w14:paraId="322E07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第二十条 各部门要加强信用主体信用信息安全防护。建立健全安全管理。查询使用、应急管理等制度，保障信用主体信用信息在信用评价，分级分类全过程的安全。</w:t>
      </w:r>
    </w:p>
    <w:p w14:paraId="63C192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第二十一条 各部门要建立信用主体信用评价、信用分级分类活动全流程管理体系，建立侵权责任追究机制，对泄露篡改信用主体信用分级分类结果或者利用信用分级分类结果</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谋私</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等行为，依法进行处罚，切实保护信用主体合法权益。</w:t>
      </w:r>
    </w:p>
    <w:p w14:paraId="2A6963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第二十二条 建立异议处理机制，信用主体有关信用评价结果存在异议的，可以向县合共作用信息平台、行业监管部门提出异议申请，有关单位在五个工作</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日</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内处理完成。对确属错误的，县公共信用信息平台，行业监管部门要重新对其进行信用评价，对由于数据更新不及时，不齐全等原因造成评价结果不准确的，县公共信用信息平台，行业监管部门要及时补充完善数据，重新作出评价和分类。</w:t>
      </w:r>
    </w:p>
    <w:p w14:paraId="3F20D3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十三条 完善信用修复制度，信用主体主动纠正失信行为，消除不良影响的，在满足最低公示期后，依法依规及时撤销失信信息，确保失信信息动态更新，准确反映信用主体实际信用状况，为信用主体信用评价、分级分类提供真实有效的数据支撑。</w:t>
      </w:r>
    </w:p>
    <w:p w14:paraId="4DB8C8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jc w:val="center"/>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shd w:val="clear" w:fill="FFFFFF"/>
          <w14:textFill>
            <w14:solidFill>
              <w14:schemeClr w14:val="tx1"/>
            </w14:solidFill>
          </w14:textFill>
        </w:rPr>
        <w:t>第六章</w:t>
      </w:r>
      <w:r>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b/>
          <w:bCs/>
          <w:i w:val="0"/>
          <w:iCs w:val="0"/>
          <w:caps w:val="0"/>
          <w:color w:val="000000" w:themeColor="text1"/>
          <w:spacing w:val="0"/>
          <w:sz w:val="32"/>
          <w:szCs w:val="32"/>
          <w:shd w:val="clear" w:fill="FFFFFF"/>
          <w14:textFill>
            <w14:solidFill>
              <w14:schemeClr w14:val="tx1"/>
            </w14:solidFill>
          </w14:textFill>
        </w:rPr>
        <w:t>组织保障</w:t>
      </w:r>
    </w:p>
    <w:p w14:paraId="62E77E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第二十四条 各部门要认真贯彻落实县委县政府工作部署，高度重视信用</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分级分类</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工作，强化制度设计，细化责任分工和具体措施，推动信用分级分类工作顺利实施。</w:t>
      </w:r>
    </w:p>
    <w:p w14:paraId="00C99C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第二十五条 建立部门间工作协商机制和联络制度，县信用办会同有关部门负责加</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组织协调，及时调度信用分级分类工作进展</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情</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况，发现问题及时协调解决。</w:t>
      </w:r>
    </w:p>
    <w:p w14:paraId="41AF9F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第二十六条 各部门要加强信用信息归集共享力度，准确、完整信用记录主体在经济运行过程中产生的信用信息，确保评价分类科学合理。</w:t>
      </w:r>
    </w:p>
    <w:p w14:paraId="0AF9BE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jc w:val="center"/>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shd w:val="clear" w:fill="FFFFFF"/>
          <w14:textFill>
            <w14:solidFill>
              <w14:schemeClr w14:val="tx1"/>
            </w14:solidFill>
          </w14:textFill>
        </w:rPr>
        <w:t>第七章</w:t>
      </w:r>
      <w:r>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b/>
          <w:bCs/>
          <w:i w:val="0"/>
          <w:iCs w:val="0"/>
          <w:caps w:val="0"/>
          <w:color w:val="000000" w:themeColor="text1"/>
          <w:spacing w:val="0"/>
          <w:sz w:val="32"/>
          <w:szCs w:val="32"/>
          <w:shd w:val="clear" w:fill="FFFFFF"/>
          <w14:textFill>
            <w14:solidFill>
              <w14:schemeClr w14:val="tx1"/>
            </w14:solidFill>
          </w14:textFill>
        </w:rPr>
        <w:t>附则</w:t>
      </w:r>
    </w:p>
    <w:p w14:paraId="3119FF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第二十七条 本办法所涉条款若与监管单位规章制度内容不一致，以监管单位规章制度为准。</w:t>
      </w:r>
    </w:p>
    <w:p w14:paraId="2EE1B3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第二十八条 本办法由县信用办负责解释。</w:t>
      </w:r>
    </w:p>
    <w:p w14:paraId="54429F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第二十九条 本办法自印发之日起试行。</w:t>
      </w:r>
    </w:p>
    <w:p w14:paraId="2372FB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p>
    <w:p w14:paraId="4D96F0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60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14:paraId="3DDEB4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0" w:lineRule="atLeast"/>
        <w:ind w:left="0" w:right="0" w:firstLine="420"/>
        <w:jc w:val="both"/>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pPr>
    </w:p>
    <w:p w14:paraId="25A7D1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0" w:lineRule="atLeast"/>
        <w:ind w:left="0" w:right="0" w:firstLine="420"/>
        <w:jc w:val="both"/>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pPr>
    </w:p>
    <w:p w14:paraId="33C873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0" w:lineRule="atLeast"/>
        <w:ind w:left="0" w:right="0" w:firstLine="420"/>
        <w:jc w:val="both"/>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 </w:t>
      </w:r>
    </w:p>
    <w:p w14:paraId="715686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0" w:lineRule="atLeast"/>
        <w:ind w:left="0" w:right="0" w:firstLine="420"/>
        <w:jc w:val="both"/>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pPr>
    </w:p>
    <w:p w14:paraId="66657E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0" w:lineRule="atLeast"/>
        <w:ind w:left="0" w:right="0" w:firstLine="420"/>
        <w:jc w:val="both"/>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pPr>
    </w:p>
    <w:p w14:paraId="73CBE6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0" w:lineRule="atLeast"/>
        <w:ind w:left="0" w:right="0" w:firstLine="420"/>
        <w:jc w:val="both"/>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pPr>
    </w:p>
    <w:p w14:paraId="664735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0" w:lineRule="atLeast"/>
        <w:ind w:left="0" w:right="0" w:firstLine="420"/>
        <w:jc w:val="both"/>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pPr>
    </w:p>
    <w:p w14:paraId="39E3C7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0" w:lineRule="atLeast"/>
        <w:ind w:left="0" w:right="0" w:firstLine="420"/>
        <w:jc w:val="both"/>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pPr>
    </w:p>
    <w:p w14:paraId="3C1074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0" w:lineRule="atLeast"/>
        <w:ind w:left="0" w:right="0" w:firstLine="420"/>
        <w:jc w:val="both"/>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pPr>
    </w:p>
    <w:p w14:paraId="73AAB6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0" w:lineRule="atLeast"/>
        <w:ind w:left="0" w:right="0" w:firstLine="420"/>
        <w:jc w:val="both"/>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pPr>
    </w:p>
    <w:p w14:paraId="5E8609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0" w:lineRule="atLeast"/>
        <w:ind w:right="0"/>
        <w:jc w:val="both"/>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附件1</w:t>
      </w:r>
    </w:p>
    <w:p w14:paraId="052418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0" w:lineRule="atLeast"/>
        <w:ind w:left="0" w:right="0" w:firstLine="420"/>
        <w:jc w:val="cente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shd w:val="clear" w:fill="FFFFFF"/>
          <w:lang w:eastAsia="zh-CN"/>
          <w14:textFill>
            <w14:solidFill>
              <w14:schemeClr w14:val="tx1"/>
            </w14:solidFill>
          </w14:textFill>
        </w:rPr>
        <w:t>通山县</w:t>
      </w:r>
      <w:r>
        <w:rPr>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t>公共信用综合评价指标体系</w:t>
      </w:r>
    </w:p>
    <w:p w14:paraId="3B1BD0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0" w:lineRule="atLeast"/>
        <w:ind w:left="0" w:right="0" w:firstLine="420"/>
        <w:jc w:val="cente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t>(2023年版</w:t>
      </w:r>
      <w:r>
        <w:rPr>
          <w:rFonts w:hint="eastAsia" w:ascii="微软雅黑" w:hAnsi="微软雅黑" w:eastAsia="微软雅黑" w:cs="微软雅黑"/>
          <w:b/>
          <w:bCs/>
          <w:i w:val="0"/>
          <w:iCs w:val="0"/>
          <w:caps w:val="0"/>
          <w:color w:val="000000" w:themeColor="text1"/>
          <w:spacing w:val="0"/>
          <w:sz w:val="24"/>
          <w:szCs w:val="24"/>
          <w:shd w:val="clear" w:fill="FFFFFF"/>
          <w:lang w:eastAsia="zh-CN"/>
          <w14:textFill>
            <w14:solidFill>
              <w14:schemeClr w14:val="tx1"/>
            </w14:solidFill>
          </w14:textFill>
        </w:rPr>
        <w:t>）</w:t>
      </w:r>
    </w:p>
    <w:tbl>
      <w:tblPr>
        <w:tblStyle w:val="3"/>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2074"/>
        <w:gridCol w:w="2088"/>
        <w:gridCol w:w="1123"/>
        <w:gridCol w:w="3029"/>
      </w:tblGrid>
      <w:tr w14:paraId="4ECD7FC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6D5A6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指标类别</w:t>
            </w:r>
          </w:p>
        </w:tc>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0D25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指标</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E5E55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分值</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7A4C6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指标说明</w:t>
            </w:r>
          </w:p>
        </w:tc>
      </w:tr>
      <w:tr w14:paraId="7E9EA75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726BD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7E1E5D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基本分值</w:t>
            </w:r>
          </w:p>
        </w:tc>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904E1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45BE7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1000</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8BBD6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每个信用主体1000分基本分值，在此基础上减分加分</w:t>
            </w:r>
          </w:p>
        </w:tc>
      </w:tr>
      <w:tr w14:paraId="0903F25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13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709390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62B9F5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7F1E4C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4E56A4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49502C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406375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569B3E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4184C0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7F1290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3CC18F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027D38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4BAC5A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23AA93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2D640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173D62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48C76C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03A47E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减分项</w:t>
            </w:r>
          </w:p>
        </w:tc>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AD853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法院公布的失信被执行人</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F5B39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350</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9197A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被法院列入失信被执行人名单的，一次扣350分，两次及以上扣700分。</w:t>
            </w:r>
          </w:p>
          <w:p w14:paraId="48C1FB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tc>
      </w:tr>
      <w:tr w14:paraId="0F6D9F1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13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CBA075E">
            <w:pPr>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tc>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21CC7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政府部门公布的联合惩戒对象（失信黑名单）</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84312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350</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DEDF4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被政府部门依法列入联合惩戒对象名单（失信黑名单）的，一次扣350分，两次及以上扣700分。</w:t>
            </w:r>
          </w:p>
          <w:p w14:paraId="3AA9F7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tc>
      </w:tr>
      <w:tr w14:paraId="22BF455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13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2D5A551">
            <w:pPr>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tc>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BCACD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一般程序作出的行政处罚</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771B2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130</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66FBA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被行政机关处以按一般程序作出的行政处罚的，一次扣130分，两次及以上扣260分</w:t>
            </w:r>
          </w:p>
        </w:tc>
      </w:tr>
      <w:tr w14:paraId="4AA0426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13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430822E">
            <w:pPr>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tc>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83C0F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市场监管部门经营异常名录</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DA3A2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20</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57BE6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被列入经营异常名录的，扣20分。</w:t>
            </w:r>
          </w:p>
          <w:p w14:paraId="37C533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tc>
      </w:tr>
      <w:tr w14:paraId="74204B2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13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3A59F23">
            <w:pPr>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tc>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66A54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行政强制执行</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F682B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10</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3637D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逾期不履行行政事务，行政机关向人民法院申请强制执行的，一次扣10分，两次及以上扣20分。</w:t>
            </w:r>
          </w:p>
          <w:p w14:paraId="2FB284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tc>
      </w:tr>
      <w:tr w14:paraId="058C547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13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E6CEBA4">
            <w:pPr>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tc>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55C6F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法院公布的被执行人</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B7B9C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10</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50019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被法院列入被执行人名单的，一次扣10分，两次及以上扣20分。</w:t>
            </w:r>
          </w:p>
          <w:p w14:paraId="4CC7CD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tc>
      </w:tr>
      <w:tr w14:paraId="1E267A6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13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1AEA008">
            <w:pPr>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tc>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3EBAF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法院生效判决涉及合同纠纷需承担责任方</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40F9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10</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3F087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法院生效判决涉及合同纠纷案件中需承担继续履行支付违约金等责任的当事人，一次扣10分，两次及以上扣20分。</w:t>
            </w:r>
          </w:p>
          <w:p w14:paraId="04D39E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tc>
      </w:tr>
      <w:tr w14:paraId="05318B1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13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A5D716E">
            <w:pPr>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tc>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348C2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国家综合信用评价等级较低单位</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C81AF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10</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527A5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国家公共信用综合评价等级较低的，扣10分。</w:t>
            </w:r>
          </w:p>
          <w:p w14:paraId="2868D1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tc>
      </w:tr>
      <w:tr w14:paraId="6777201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13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5B83ED7">
            <w:pPr>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tc>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4119E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税务等部门开展的通用行业评价等级较低单位</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2F87C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10</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F1BA7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税务等部门开展的通用行业评价等级较低的，一次扣10分，两次及以上扣20分。</w:t>
            </w:r>
          </w:p>
        </w:tc>
      </w:tr>
      <w:tr w14:paraId="5F563FB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13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1FC06A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40C517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6CD9E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4101C2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6FB094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加分项</w:t>
            </w:r>
          </w:p>
        </w:tc>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CEB40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环保海关等部门开展的单一行业评价等级较低单位</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CE84B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5</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A9B07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环保、海关等部门开展的单一行业评价等级较低的，一次扣5分，两次及以上扣10分。</w:t>
            </w:r>
          </w:p>
          <w:p w14:paraId="14F71D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tc>
      </w:tr>
      <w:tr w14:paraId="0048AE6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13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7084569">
            <w:pPr>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tc>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9A56E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简易程序作出的行政处罚</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B5831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5</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6781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被行政机关处以按简易程序作出的行政处罚的，一次扣5分，四次及以上扣20分。</w:t>
            </w:r>
          </w:p>
          <w:p w14:paraId="605A96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tc>
      </w:tr>
      <w:tr w14:paraId="04CF172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13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4FD5F3F">
            <w:pPr>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tc>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3F53E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高管失信信息</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27160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5</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53EBF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法定代表人、实际控制人等被列为被执行人的，一次扣5分，两次及以上扣10分。</w:t>
            </w:r>
          </w:p>
          <w:p w14:paraId="3B1D5C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tc>
      </w:tr>
      <w:tr w14:paraId="7CCA066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13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86B148A">
            <w:pPr>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tc>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A8A2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违反信用承诺</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DBF41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5</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310A8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在行政事项中作出信用承诺但未履行的，</w:t>
            </w:r>
            <w:r>
              <w:rPr>
                <w:rFonts w:hint="eastAsia" w:ascii="微软雅黑" w:hAnsi="微软雅黑" w:eastAsia="微软雅黑" w:cs="微软雅黑"/>
                <w:i w:val="0"/>
                <w:iCs w:val="0"/>
                <w:caps w:val="0"/>
                <w:color w:val="000000" w:themeColor="text1"/>
                <w:spacing w:val="0"/>
                <w:sz w:val="24"/>
                <w:szCs w:val="24"/>
                <w:lang w:eastAsia="zh-CN"/>
                <w14:textFill>
                  <w14:solidFill>
                    <w14:schemeClr w14:val="tx1"/>
                  </w14:solidFill>
                </w14:textFill>
              </w:rPr>
              <w:t>一</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次扣5分，两次及以上扣 10 分。</w:t>
            </w:r>
          </w:p>
          <w:p w14:paraId="3A2BE5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tc>
      </w:tr>
      <w:tr w14:paraId="6E08D34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13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BDA4DEC">
            <w:pPr>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tc>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874DC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政府部门公布的联合激励对象（守信红名单）</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34252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20</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DA992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政府部门和单位认定或公告为联合激励对象（守信红名单）的，一次得20分，两次及以上得40分。</w:t>
            </w:r>
          </w:p>
          <w:p w14:paraId="7FEA29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tc>
      </w:tr>
      <w:tr w14:paraId="76F1024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13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DCAF5BA">
            <w:pPr>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tc>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341EC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国家综合信用评价等级较高单位</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411E1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10</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007C3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国家公共信用综合评价等级较高的，得10分。</w:t>
            </w:r>
          </w:p>
          <w:p w14:paraId="7F7DBA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tc>
      </w:tr>
      <w:tr w14:paraId="291F4D3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13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0812FFA">
            <w:pPr>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tc>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A9A1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税务等部门开展的通用行业评价等级较高单位</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5438A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10</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4B4BE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税务等部门开展的通用行业评价等级较高的，一次得10分，两次及以上得20分。</w:t>
            </w:r>
          </w:p>
          <w:p w14:paraId="47C0B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tc>
      </w:tr>
      <w:tr w14:paraId="78B7B71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13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43ED1B2">
            <w:pPr>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tc>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BDAD9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环保海关等部门开展的单一行业评价等级较高单位</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30B5D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5</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46649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环保、海关等部门开展的单一行业评价等级较高的，一次得5分，两次及以上得10分</w:t>
            </w:r>
            <w:r>
              <w:rPr>
                <w:rFonts w:hint="eastAsia" w:ascii="微软雅黑" w:hAnsi="微软雅黑" w:eastAsia="微软雅黑" w:cs="微软雅黑"/>
                <w:i w:val="0"/>
                <w:iCs w:val="0"/>
                <w:caps w:val="0"/>
                <w:color w:val="000000" w:themeColor="text1"/>
                <w:spacing w:val="0"/>
                <w:sz w:val="24"/>
                <w:szCs w:val="24"/>
                <w:lang w:eastAsia="zh-CN"/>
                <w14:textFill>
                  <w14:solidFill>
                    <w14:schemeClr w14:val="tx1"/>
                  </w14:solidFill>
                </w14:textFill>
              </w:rPr>
              <w:t>，</w:t>
            </w:r>
          </w:p>
          <w:p w14:paraId="1C9184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tc>
      </w:tr>
      <w:tr w14:paraId="7291224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13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AB90CE6">
            <w:pPr>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tc>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A9A15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单位获得市（厅）级以上表彰或奖励情况</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A799F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5</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83511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单位被市级以上党委、政府及省级以上工作部门表彰或奖励的，一次得5分，两次及以上得10分。</w:t>
            </w:r>
          </w:p>
          <w:p w14:paraId="14C0F3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tc>
      </w:tr>
      <w:tr w14:paraId="4BDEA6F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13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2AF3374">
            <w:pPr>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tc>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D3A62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单位主要负责人获得市（厅）级以上表彰或奖励情况</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42E0E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5</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68FF1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单位主要负责人被市级以上党委、政府及省级以上工作部门表彰或奖励的，一次得5分，两次及以上得10分。</w:t>
            </w:r>
          </w:p>
          <w:p w14:paraId="175D55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tc>
      </w:tr>
      <w:tr w14:paraId="7D56A3F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130"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8A5220D">
            <w:pPr>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tc>
        <w:tc>
          <w:tcPr>
            <w:tcW w:w="21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C8462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单位慈善</w:t>
            </w:r>
            <w:r>
              <w:rPr>
                <w:rFonts w:hint="eastAsia" w:ascii="微软雅黑" w:hAnsi="微软雅黑" w:eastAsia="微软雅黑" w:cs="微软雅黑"/>
                <w:i w:val="0"/>
                <w:iCs w:val="0"/>
                <w:caps w:val="0"/>
                <w:color w:val="000000" w:themeColor="text1"/>
                <w:spacing w:val="0"/>
                <w:sz w:val="24"/>
                <w:szCs w:val="24"/>
                <w:lang w:eastAsia="zh-CN"/>
                <w14:textFill>
                  <w14:solidFill>
                    <w14:schemeClr w14:val="tx1"/>
                  </w14:solidFill>
                </w14:textFill>
              </w:rPr>
              <w:t>捐</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赠等履行社会责任情况</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6E2E2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5</w:t>
            </w:r>
          </w:p>
        </w:tc>
        <w:tc>
          <w:tcPr>
            <w:tcW w:w="31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945EB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有慈善捐赠、志愿服务等行为的一次得5分，两次及以上得10分。</w:t>
            </w:r>
          </w:p>
          <w:p w14:paraId="55D166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tc>
      </w:tr>
    </w:tbl>
    <w:p w14:paraId="2C7F3A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0" w:lineRule="atLeast"/>
        <w:ind w:left="0" w:right="0" w:firstLine="420"/>
        <w:jc w:val="both"/>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附件2</w:t>
      </w:r>
    </w:p>
    <w:p w14:paraId="0E125D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0" w:lineRule="atLeast"/>
        <w:ind w:left="0" w:right="0" w:firstLine="420"/>
        <w:jc w:val="both"/>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 </w:t>
      </w:r>
    </w:p>
    <w:p w14:paraId="11953E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0" w:lineRule="atLeast"/>
        <w:ind w:left="0" w:right="0" w:firstLine="420"/>
        <w:jc w:val="cente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shd w:val="clear" w:fill="FFFFFF"/>
          <w:lang w:eastAsia="zh-CN"/>
          <w14:textFill>
            <w14:solidFill>
              <w14:schemeClr w14:val="tx1"/>
            </w14:solidFill>
          </w14:textFill>
        </w:rPr>
        <w:t>通山县</w:t>
      </w:r>
      <w:r>
        <w:rPr>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t>公共信用综合评价分级分类标准</w:t>
      </w:r>
    </w:p>
    <w:p w14:paraId="32FCFB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0" w:lineRule="atLeast"/>
        <w:ind w:left="0" w:right="0" w:firstLine="420"/>
        <w:jc w:val="cente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4"/>
          <w:szCs w:val="24"/>
          <w:shd w:val="clear" w:fill="FFFFFF"/>
          <w14:textFill>
            <w14:solidFill>
              <w14:schemeClr w14:val="tx1"/>
            </w14:solidFill>
          </w14:textFill>
        </w:rPr>
        <w:t> </w:t>
      </w:r>
    </w:p>
    <w:tbl>
      <w:tblPr>
        <w:tblStyle w:val="3"/>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2702"/>
        <w:gridCol w:w="2706"/>
        <w:gridCol w:w="2906"/>
      </w:tblGrid>
      <w:tr w14:paraId="7E2ED4B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805" w:type="dxa"/>
            <w:tcBorders>
              <w:top w:val="outset" w:color="000000" w:sz="6" w:space="0"/>
              <w:left w:val="outset" w:color="000000" w:sz="6" w:space="0"/>
              <w:bottom w:val="outset" w:color="000000" w:sz="6" w:space="0"/>
              <w:right w:val="outset" w:color="000000" w:sz="6" w:space="0"/>
            </w:tcBorders>
            <w:shd w:val="clear" w:color="auto" w:fill="FFFFFF"/>
            <w:vAlign w:val="top"/>
          </w:tcPr>
          <w:p w14:paraId="0FE7D3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768918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信用类别</w:t>
            </w:r>
          </w:p>
        </w:tc>
        <w:tc>
          <w:tcPr>
            <w:tcW w:w="2805" w:type="dxa"/>
            <w:tcBorders>
              <w:top w:val="outset" w:color="000000" w:sz="6" w:space="0"/>
              <w:left w:val="outset" w:color="000000" w:sz="6" w:space="0"/>
              <w:bottom w:val="outset" w:color="000000" w:sz="6" w:space="0"/>
              <w:right w:val="outset" w:color="000000" w:sz="6" w:space="0"/>
            </w:tcBorders>
            <w:shd w:val="clear" w:color="auto" w:fill="FFFFFF"/>
            <w:vAlign w:val="top"/>
          </w:tcPr>
          <w:p w14:paraId="3D10C1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005328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信用等级</w:t>
            </w:r>
          </w:p>
        </w:tc>
        <w:tc>
          <w:tcPr>
            <w:tcW w:w="3000" w:type="dxa"/>
            <w:tcBorders>
              <w:top w:val="outset" w:color="000000" w:sz="6" w:space="0"/>
              <w:left w:val="outset" w:color="000000" w:sz="6" w:space="0"/>
              <w:bottom w:val="outset" w:color="000000" w:sz="6" w:space="0"/>
              <w:right w:val="outset" w:color="000000" w:sz="6" w:space="0"/>
            </w:tcBorders>
            <w:shd w:val="clear" w:color="auto" w:fill="FFFFFF"/>
            <w:vAlign w:val="top"/>
          </w:tcPr>
          <w:p w14:paraId="68D54D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2CF920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分数参考区间</w:t>
            </w:r>
          </w:p>
        </w:tc>
      </w:tr>
      <w:tr w14:paraId="22C0FC2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805" w:type="dxa"/>
            <w:vMerge w:val="restart"/>
            <w:tcBorders>
              <w:top w:val="outset" w:color="000000" w:sz="6" w:space="0"/>
              <w:left w:val="outset" w:color="000000" w:sz="6" w:space="0"/>
              <w:bottom w:val="outset" w:color="000000" w:sz="6" w:space="0"/>
              <w:right w:val="outset" w:color="000000" w:sz="6" w:space="0"/>
            </w:tcBorders>
            <w:shd w:val="clear" w:color="auto" w:fill="FFFFFF"/>
            <w:vAlign w:val="top"/>
          </w:tcPr>
          <w:p w14:paraId="4CD1C4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033FB7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诚信守法</w:t>
            </w:r>
          </w:p>
        </w:tc>
        <w:tc>
          <w:tcPr>
            <w:tcW w:w="2805" w:type="dxa"/>
            <w:tcBorders>
              <w:top w:val="outset" w:color="000000" w:sz="6" w:space="0"/>
              <w:left w:val="outset" w:color="000000" w:sz="6" w:space="0"/>
              <w:bottom w:val="outset" w:color="000000" w:sz="6" w:space="0"/>
              <w:right w:val="outset" w:color="000000" w:sz="6" w:space="0"/>
            </w:tcBorders>
            <w:shd w:val="clear" w:color="auto" w:fill="FFFFFF"/>
            <w:vAlign w:val="top"/>
          </w:tcPr>
          <w:p w14:paraId="0CB793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359C66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A+级</w:t>
            </w:r>
          </w:p>
        </w:tc>
        <w:tc>
          <w:tcPr>
            <w:tcW w:w="3000" w:type="dxa"/>
            <w:tcBorders>
              <w:top w:val="outset" w:color="000000" w:sz="6" w:space="0"/>
              <w:left w:val="outset" w:color="000000" w:sz="6" w:space="0"/>
              <w:bottom w:val="outset" w:color="000000" w:sz="6" w:space="0"/>
              <w:right w:val="outset" w:color="000000" w:sz="6" w:space="0"/>
            </w:tcBorders>
            <w:shd w:val="clear" w:color="auto" w:fill="FFFFFF"/>
            <w:vAlign w:val="top"/>
          </w:tcPr>
          <w:p w14:paraId="080EB4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25FFED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1000分以上</w:t>
            </w:r>
          </w:p>
        </w:tc>
      </w:tr>
      <w:tr w14:paraId="1671C3A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805" w:type="dxa"/>
            <w:vMerge w:val="continue"/>
            <w:tcBorders>
              <w:top w:val="outset" w:color="000000" w:sz="6" w:space="0"/>
              <w:left w:val="outset" w:color="000000" w:sz="6" w:space="0"/>
              <w:bottom w:val="outset" w:color="000000" w:sz="6" w:space="0"/>
              <w:right w:val="outset" w:color="000000" w:sz="6" w:space="0"/>
            </w:tcBorders>
            <w:shd w:val="clear" w:color="auto" w:fill="FFFFFF"/>
            <w:vAlign w:val="top"/>
          </w:tcPr>
          <w:p w14:paraId="09E01CFE">
            <w:pPr>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tc>
        <w:tc>
          <w:tcPr>
            <w:tcW w:w="2805" w:type="dxa"/>
            <w:tcBorders>
              <w:top w:val="outset" w:color="000000" w:sz="6" w:space="0"/>
              <w:left w:val="outset" w:color="000000" w:sz="6" w:space="0"/>
              <w:bottom w:val="outset" w:color="000000" w:sz="6" w:space="0"/>
              <w:right w:val="outset" w:color="000000" w:sz="6" w:space="0"/>
            </w:tcBorders>
            <w:shd w:val="clear" w:color="auto" w:fill="FFFFFF"/>
            <w:vAlign w:val="top"/>
          </w:tcPr>
          <w:p w14:paraId="2ACFD9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138942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A级</w:t>
            </w:r>
          </w:p>
        </w:tc>
        <w:tc>
          <w:tcPr>
            <w:tcW w:w="3000" w:type="dxa"/>
            <w:tcBorders>
              <w:top w:val="outset" w:color="000000" w:sz="6" w:space="0"/>
              <w:left w:val="outset" w:color="000000" w:sz="6" w:space="0"/>
              <w:bottom w:val="outset" w:color="000000" w:sz="6" w:space="0"/>
              <w:right w:val="outset" w:color="000000" w:sz="6" w:space="0"/>
            </w:tcBorders>
            <w:shd w:val="clear" w:color="auto" w:fill="FFFFFF"/>
            <w:vAlign w:val="top"/>
          </w:tcPr>
          <w:p w14:paraId="4BA204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1D8E4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1000分</w:t>
            </w:r>
          </w:p>
        </w:tc>
      </w:tr>
      <w:tr w14:paraId="7256BCD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805" w:type="dxa"/>
            <w:tcBorders>
              <w:top w:val="outset" w:color="000000" w:sz="6" w:space="0"/>
              <w:left w:val="outset" w:color="000000" w:sz="6" w:space="0"/>
              <w:bottom w:val="outset" w:color="000000" w:sz="6" w:space="0"/>
              <w:right w:val="outset" w:color="000000" w:sz="6" w:space="0"/>
            </w:tcBorders>
            <w:shd w:val="clear" w:color="auto" w:fill="FFFFFF"/>
            <w:vAlign w:val="top"/>
          </w:tcPr>
          <w:p w14:paraId="7060B6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31D9A4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轻微失信</w:t>
            </w:r>
          </w:p>
        </w:tc>
        <w:tc>
          <w:tcPr>
            <w:tcW w:w="2805" w:type="dxa"/>
            <w:tcBorders>
              <w:top w:val="outset" w:color="000000" w:sz="6" w:space="0"/>
              <w:left w:val="outset" w:color="000000" w:sz="6" w:space="0"/>
              <w:bottom w:val="outset" w:color="000000" w:sz="6" w:space="0"/>
              <w:right w:val="outset" w:color="000000" w:sz="6" w:space="0"/>
            </w:tcBorders>
            <w:shd w:val="clear" w:color="auto" w:fill="FFFFFF"/>
            <w:vAlign w:val="top"/>
          </w:tcPr>
          <w:p w14:paraId="192D81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1D7253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B级</w:t>
            </w:r>
          </w:p>
        </w:tc>
        <w:tc>
          <w:tcPr>
            <w:tcW w:w="3000" w:type="dxa"/>
            <w:tcBorders>
              <w:top w:val="outset" w:color="000000" w:sz="6" w:space="0"/>
              <w:left w:val="outset" w:color="000000" w:sz="6" w:space="0"/>
              <w:bottom w:val="outset" w:color="000000" w:sz="6" w:space="0"/>
              <w:right w:val="outset" w:color="000000" w:sz="6" w:space="0"/>
            </w:tcBorders>
            <w:shd w:val="clear" w:color="auto" w:fill="FFFFFF"/>
            <w:vAlign w:val="top"/>
          </w:tcPr>
          <w:p w14:paraId="60BAC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6AA740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950</w:t>
            </w:r>
            <w:r>
              <w:rPr>
                <w:rFonts w:hint="eastAsia" w:ascii="微软雅黑" w:hAnsi="微软雅黑" w:eastAsia="微软雅黑" w:cs="微软雅黑"/>
                <w:i w:val="0"/>
                <w:iCs w:val="0"/>
                <w:caps w:val="0"/>
                <w:color w:val="000000" w:themeColor="text1"/>
                <w:spacing w:val="0"/>
                <w:sz w:val="24"/>
                <w:szCs w:val="24"/>
                <w:lang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999分</w:t>
            </w:r>
          </w:p>
        </w:tc>
      </w:tr>
      <w:tr w14:paraId="5D5D1FA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805" w:type="dxa"/>
            <w:vMerge w:val="restart"/>
            <w:tcBorders>
              <w:top w:val="outset" w:color="000000" w:sz="6" w:space="0"/>
              <w:left w:val="outset" w:color="000000" w:sz="6" w:space="0"/>
              <w:bottom w:val="outset" w:color="000000" w:sz="6" w:space="0"/>
              <w:right w:val="outset" w:color="000000" w:sz="6" w:space="0"/>
            </w:tcBorders>
            <w:shd w:val="clear" w:color="auto" w:fill="FFFFFF"/>
            <w:vAlign w:val="top"/>
          </w:tcPr>
          <w:p w14:paraId="029824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0BF4F5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25942A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一般失信</w:t>
            </w:r>
          </w:p>
        </w:tc>
        <w:tc>
          <w:tcPr>
            <w:tcW w:w="2805" w:type="dxa"/>
            <w:tcBorders>
              <w:top w:val="outset" w:color="000000" w:sz="6" w:space="0"/>
              <w:left w:val="outset" w:color="000000" w:sz="6" w:space="0"/>
              <w:bottom w:val="outset" w:color="000000" w:sz="6" w:space="0"/>
              <w:right w:val="outset" w:color="000000" w:sz="6" w:space="0"/>
            </w:tcBorders>
            <w:shd w:val="clear" w:color="auto" w:fill="FFFFFF"/>
            <w:vAlign w:val="top"/>
          </w:tcPr>
          <w:p w14:paraId="554BFD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4654F5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C级</w:t>
            </w:r>
          </w:p>
        </w:tc>
        <w:tc>
          <w:tcPr>
            <w:tcW w:w="3000" w:type="dxa"/>
            <w:tcBorders>
              <w:top w:val="outset" w:color="000000" w:sz="6" w:space="0"/>
              <w:left w:val="outset" w:color="000000" w:sz="6" w:space="0"/>
              <w:bottom w:val="outset" w:color="000000" w:sz="6" w:space="0"/>
              <w:right w:val="outset" w:color="000000" w:sz="6" w:space="0"/>
            </w:tcBorders>
            <w:shd w:val="clear" w:color="auto" w:fill="FFFFFF"/>
            <w:vAlign w:val="top"/>
          </w:tcPr>
          <w:p w14:paraId="141512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6B6223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870</w:t>
            </w:r>
            <w:r>
              <w:rPr>
                <w:rFonts w:hint="eastAsia" w:ascii="微软雅黑" w:hAnsi="微软雅黑" w:eastAsia="微软雅黑" w:cs="微软雅黑"/>
                <w:i w:val="0"/>
                <w:iCs w:val="0"/>
                <w:caps w:val="0"/>
                <w:color w:val="000000" w:themeColor="text1"/>
                <w:spacing w:val="0"/>
                <w:sz w:val="24"/>
                <w:szCs w:val="24"/>
                <w:lang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949分</w:t>
            </w:r>
          </w:p>
        </w:tc>
      </w:tr>
      <w:tr w14:paraId="77351E0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805" w:type="dxa"/>
            <w:vMerge w:val="continue"/>
            <w:tcBorders>
              <w:top w:val="outset" w:color="000000" w:sz="6" w:space="0"/>
              <w:left w:val="outset" w:color="000000" w:sz="6" w:space="0"/>
              <w:bottom w:val="outset" w:color="000000" w:sz="6" w:space="0"/>
              <w:right w:val="outset" w:color="000000" w:sz="6" w:space="0"/>
            </w:tcBorders>
            <w:shd w:val="clear" w:color="auto" w:fill="FFFFFF"/>
            <w:vAlign w:val="top"/>
          </w:tcPr>
          <w:p w14:paraId="158BEE91">
            <w:pPr>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tc>
        <w:tc>
          <w:tcPr>
            <w:tcW w:w="2805" w:type="dxa"/>
            <w:tcBorders>
              <w:top w:val="outset" w:color="000000" w:sz="6" w:space="0"/>
              <w:left w:val="outset" w:color="000000" w:sz="6" w:space="0"/>
              <w:bottom w:val="outset" w:color="000000" w:sz="6" w:space="0"/>
              <w:right w:val="outset" w:color="000000" w:sz="6" w:space="0"/>
            </w:tcBorders>
            <w:shd w:val="clear" w:color="auto" w:fill="FFFFFF"/>
            <w:vAlign w:val="top"/>
          </w:tcPr>
          <w:p w14:paraId="038243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6753AD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C_级</w:t>
            </w:r>
          </w:p>
        </w:tc>
        <w:tc>
          <w:tcPr>
            <w:tcW w:w="3000" w:type="dxa"/>
            <w:tcBorders>
              <w:top w:val="outset" w:color="000000" w:sz="6" w:space="0"/>
              <w:left w:val="outset" w:color="000000" w:sz="6" w:space="0"/>
              <w:bottom w:val="outset" w:color="000000" w:sz="6" w:space="0"/>
              <w:right w:val="outset" w:color="000000" w:sz="6" w:space="0"/>
            </w:tcBorders>
            <w:shd w:val="clear" w:color="auto" w:fill="FFFFFF"/>
            <w:vAlign w:val="top"/>
          </w:tcPr>
          <w:p w14:paraId="336823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64A4D5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740</w:t>
            </w:r>
            <w:r>
              <w:rPr>
                <w:rFonts w:hint="eastAsia" w:ascii="微软雅黑" w:hAnsi="微软雅黑" w:eastAsia="微软雅黑" w:cs="微软雅黑"/>
                <w:i w:val="0"/>
                <w:iCs w:val="0"/>
                <w:caps w:val="0"/>
                <w:color w:val="000000" w:themeColor="text1"/>
                <w:spacing w:val="0"/>
                <w:sz w:val="24"/>
                <w:szCs w:val="24"/>
                <w:lang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869分</w:t>
            </w:r>
          </w:p>
        </w:tc>
      </w:tr>
      <w:tr w14:paraId="4135371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805" w:type="dxa"/>
            <w:vMerge w:val="restart"/>
            <w:tcBorders>
              <w:top w:val="outset" w:color="000000" w:sz="6" w:space="0"/>
              <w:left w:val="outset" w:color="000000" w:sz="6" w:space="0"/>
              <w:bottom w:val="outset" w:color="000000" w:sz="6" w:space="0"/>
              <w:right w:val="outset" w:color="000000" w:sz="6" w:space="0"/>
            </w:tcBorders>
            <w:shd w:val="clear" w:color="auto" w:fill="FFFFFF"/>
            <w:vAlign w:val="top"/>
          </w:tcPr>
          <w:p w14:paraId="0B07D9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181E43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419D98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严重失信</w:t>
            </w:r>
          </w:p>
        </w:tc>
        <w:tc>
          <w:tcPr>
            <w:tcW w:w="2805" w:type="dxa"/>
            <w:tcBorders>
              <w:top w:val="outset" w:color="000000" w:sz="6" w:space="0"/>
              <w:left w:val="outset" w:color="000000" w:sz="6" w:space="0"/>
              <w:bottom w:val="outset" w:color="000000" w:sz="6" w:space="0"/>
              <w:right w:val="outset" w:color="000000" w:sz="6" w:space="0"/>
            </w:tcBorders>
            <w:shd w:val="clear" w:color="auto" w:fill="FFFFFF"/>
            <w:vAlign w:val="top"/>
          </w:tcPr>
          <w:p w14:paraId="233344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3C46D5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D级</w:t>
            </w:r>
          </w:p>
        </w:tc>
        <w:tc>
          <w:tcPr>
            <w:tcW w:w="3000" w:type="dxa"/>
            <w:tcBorders>
              <w:top w:val="outset" w:color="000000" w:sz="6" w:space="0"/>
              <w:left w:val="outset" w:color="000000" w:sz="6" w:space="0"/>
              <w:bottom w:val="outset" w:color="000000" w:sz="6" w:space="0"/>
              <w:right w:val="outset" w:color="000000" w:sz="6" w:space="0"/>
            </w:tcBorders>
            <w:shd w:val="clear" w:color="auto" w:fill="FFFFFF"/>
            <w:vAlign w:val="top"/>
          </w:tcPr>
          <w:p w14:paraId="3D0840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759A6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650</w:t>
            </w:r>
            <w:r>
              <w:rPr>
                <w:rFonts w:hint="eastAsia" w:ascii="微软雅黑" w:hAnsi="微软雅黑" w:eastAsia="微软雅黑" w:cs="微软雅黑"/>
                <w:i w:val="0"/>
                <w:iCs w:val="0"/>
                <w:caps w:val="0"/>
                <w:color w:val="000000" w:themeColor="text1"/>
                <w:spacing w:val="0"/>
                <w:sz w:val="24"/>
                <w:szCs w:val="24"/>
                <w:lang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739分</w:t>
            </w:r>
          </w:p>
        </w:tc>
      </w:tr>
      <w:tr w14:paraId="1722068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805" w:type="dxa"/>
            <w:vMerge w:val="continue"/>
            <w:tcBorders>
              <w:top w:val="outset" w:color="000000" w:sz="6" w:space="0"/>
              <w:left w:val="outset" w:color="000000" w:sz="6" w:space="0"/>
              <w:bottom w:val="outset" w:color="000000" w:sz="6" w:space="0"/>
              <w:right w:val="outset" w:color="000000" w:sz="6" w:space="0"/>
            </w:tcBorders>
            <w:shd w:val="clear" w:color="auto" w:fill="FFFFFF"/>
            <w:vAlign w:val="top"/>
          </w:tcPr>
          <w:p w14:paraId="3B675836">
            <w:pPr>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tc>
        <w:tc>
          <w:tcPr>
            <w:tcW w:w="2805" w:type="dxa"/>
            <w:tcBorders>
              <w:top w:val="outset" w:color="000000" w:sz="6" w:space="0"/>
              <w:left w:val="outset" w:color="000000" w:sz="6" w:space="0"/>
              <w:bottom w:val="outset" w:color="000000" w:sz="6" w:space="0"/>
              <w:right w:val="outset" w:color="000000" w:sz="6" w:space="0"/>
            </w:tcBorders>
            <w:shd w:val="clear" w:color="auto" w:fill="FFFFFF"/>
            <w:vAlign w:val="top"/>
          </w:tcPr>
          <w:p w14:paraId="50EF57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1D8C64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D_级</w:t>
            </w:r>
          </w:p>
        </w:tc>
        <w:tc>
          <w:tcPr>
            <w:tcW w:w="3000" w:type="dxa"/>
            <w:tcBorders>
              <w:top w:val="outset" w:color="000000" w:sz="6" w:space="0"/>
              <w:left w:val="outset" w:color="000000" w:sz="6" w:space="0"/>
              <w:bottom w:val="outset" w:color="000000" w:sz="6" w:space="0"/>
              <w:right w:val="outset" w:color="000000" w:sz="6" w:space="0"/>
            </w:tcBorders>
            <w:shd w:val="clear" w:color="auto" w:fill="FFFFFF"/>
            <w:vAlign w:val="top"/>
          </w:tcPr>
          <w:p w14:paraId="381AF1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 </w:t>
            </w:r>
          </w:p>
          <w:p w14:paraId="74DF16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0" w:lineRule="atLeast"/>
              <w:ind w:left="0" w:right="0"/>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650分以下</w:t>
            </w:r>
          </w:p>
        </w:tc>
      </w:tr>
    </w:tbl>
    <w:p w14:paraId="00A2E715">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0NTY4NmM3Zjg3N2JkMzUwMTcxMjYwMjlkMzc0OGQifQ=="/>
  </w:docVars>
  <w:rsids>
    <w:rsidRoot w:val="3CA36DEB"/>
    <w:rsid w:val="07F54D4B"/>
    <w:rsid w:val="189F77F2"/>
    <w:rsid w:val="309C1CFD"/>
    <w:rsid w:val="3CA36DEB"/>
    <w:rsid w:val="60AC5510"/>
    <w:rsid w:val="68D92C89"/>
    <w:rsid w:val="6E6A7B3A"/>
    <w:rsid w:val="6F57273A"/>
    <w:rsid w:val="748F0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2975</Words>
  <Characters>3003</Characters>
  <Lines>0</Lines>
  <Paragraphs>0</Paragraphs>
  <TotalTime>4</TotalTime>
  <ScaleCrop>false</ScaleCrop>
  <LinksUpToDate>false</LinksUpToDate>
  <CharactersWithSpaces>3038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2024-10-29T03:05:00Z</dcterms:created>
  <dc:creator>Zsj。</dc:creator>
  <cp:lastModifiedBy>Zsj。</cp:lastModifiedBy>
  <dcterms:modified xsi:type="dcterms:W3CDTF">2024-10-29T03:29:21Z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A7515E014CDB4BBC8302146AF06E2BCC_11</vt:lpwstr>
  </property>
</Properties>
</file>