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B95" w:rsidRDefault="00470B95" w:rsidP="00470B95">
      <w:pPr>
        <w:spacing w:line="576" w:lineRule="exact"/>
        <w:rPr>
          <w:rFonts w:ascii="Times New Roman" w:eastAsia="仿宋" w:hAnsi="Times New Roman"/>
          <w:sz w:val="32"/>
          <w:szCs w:val="32"/>
        </w:rPr>
      </w:pPr>
    </w:p>
    <w:tbl>
      <w:tblPr>
        <w:tblStyle w:val="aa"/>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7322"/>
        <w:gridCol w:w="1705"/>
      </w:tblGrid>
      <w:tr w:rsidR="00470B95" w:rsidTr="000645C0">
        <w:trPr>
          <w:trHeight w:hRule="exact" w:val="1021"/>
          <w:jc w:val="center"/>
        </w:trPr>
        <w:tc>
          <w:tcPr>
            <w:tcW w:w="7322" w:type="dxa"/>
            <w:vAlign w:val="center"/>
          </w:tcPr>
          <w:p w:rsidR="00470B95" w:rsidRPr="00604FB1" w:rsidRDefault="00470B95" w:rsidP="00470B95">
            <w:pPr>
              <w:spacing w:line="800" w:lineRule="exact"/>
              <w:jc w:val="distribute"/>
              <w:rPr>
                <w:rFonts w:ascii="Times New Roman" w:eastAsia="方正小标宋简体" w:hAnsi="Times New Roman"/>
                <w:color w:val="FF0000"/>
                <w:sz w:val="70"/>
                <w:szCs w:val="70"/>
              </w:rPr>
            </w:pPr>
            <w:r w:rsidRPr="00604FB1">
              <w:rPr>
                <w:rFonts w:ascii="Times New Roman" w:eastAsia="方正小标宋简体" w:hAnsi="Times New Roman"/>
                <w:color w:val="FF0000"/>
                <w:sz w:val="70"/>
                <w:szCs w:val="70"/>
              </w:rPr>
              <w:t>通山县</w:t>
            </w:r>
            <w:r w:rsidRPr="00604FB1">
              <w:rPr>
                <w:rFonts w:ascii="Times New Roman" w:eastAsia="方正小标宋简体" w:hAnsi="Times New Roman" w:hint="eastAsia"/>
                <w:color w:val="FF0000"/>
                <w:sz w:val="70"/>
                <w:szCs w:val="70"/>
              </w:rPr>
              <w:t>人民法院</w:t>
            </w:r>
          </w:p>
        </w:tc>
        <w:tc>
          <w:tcPr>
            <w:tcW w:w="1705" w:type="dxa"/>
            <w:vMerge w:val="restart"/>
            <w:vAlign w:val="center"/>
          </w:tcPr>
          <w:p w:rsidR="00470B95" w:rsidRPr="00604FB1" w:rsidRDefault="00470B95" w:rsidP="004E74EA">
            <w:pPr>
              <w:jc w:val="center"/>
              <w:rPr>
                <w:rFonts w:ascii="Times New Roman" w:eastAsia="仿宋" w:hAnsi="Times New Roman"/>
                <w:sz w:val="74"/>
                <w:szCs w:val="74"/>
              </w:rPr>
            </w:pPr>
            <w:r w:rsidRPr="00604FB1">
              <w:rPr>
                <w:rFonts w:ascii="Times New Roman" w:eastAsia="方正小标宋简体" w:hAnsi="Times New Roman"/>
                <w:color w:val="FF0000"/>
                <w:sz w:val="74"/>
                <w:szCs w:val="74"/>
              </w:rPr>
              <w:t>文件</w:t>
            </w:r>
            <w:r w:rsidRPr="00604FB1">
              <w:rPr>
                <w:rFonts w:ascii="Times New Roman" w:eastAsia="方正小标宋简体" w:hAnsi="Times New Roman"/>
                <w:color w:val="FF0000"/>
                <w:sz w:val="74"/>
                <w:szCs w:val="74"/>
              </w:rPr>
              <w:t xml:space="preserve"> </w:t>
            </w:r>
          </w:p>
        </w:tc>
      </w:tr>
      <w:tr w:rsidR="00B21F6B" w:rsidTr="000645C0">
        <w:trPr>
          <w:trHeight w:hRule="exact" w:val="1021"/>
          <w:jc w:val="center"/>
        </w:trPr>
        <w:tc>
          <w:tcPr>
            <w:tcW w:w="7322" w:type="dxa"/>
            <w:vAlign w:val="center"/>
          </w:tcPr>
          <w:p w:rsidR="00B21F6B" w:rsidRPr="00604FB1" w:rsidRDefault="00B21F6B" w:rsidP="00470B95">
            <w:pPr>
              <w:spacing w:line="800" w:lineRule="exact"/>
              <w:jc w:val="distribute"/>
              <w:rPr>
                <w:rFonts w:ascii="Times New Roman" w:eastAsia="方正小标宋简体" w:hAnsi="Times New Roman"/>
                <w:color w:val="FF0000"/>
                <w:sz w:val="70"/>
                <w:szCs w:val="70"/>
              </w:rPr>
            </w:pPr>
            <w:r>
              <w:rPr>
                <w:rFonts w:ascii="Times New Roman" w:eastAsia="方正小标宋简体" w:hAnsi="Times New Roman" w:hint="eastAsia"/>
                <w:color w:val="FF0000"/>
                <w:sz w:val="70"/>
                <w:szCs w:val="70"/>
              </w:rPr>
              <w:t>通山县司法局</w:t>
            </w:r>
          </w:p>
        </w:tc>
        <w:tc>
          <w:tcPr>
            <w:tcW w:w="1705" w:type="dxa"/>
            <w:vMerge/>
            <w:vAlign w:val="center"/>
          </w:tcPr>
          <w:p w:rsidR="00B21F6B" w:rsidRPr="00604FB1" w:rsidRDefault="00B21F6B" w:rsidP="004E74EA">
            <w:pPr>
              <w:jc w:val="center"/>
              <w:rPr>
                <w:rFonts w:ascii="Times New Roman" w:eastAsia="方正小标宋简体" w:hAnsi="Times New Roman"/>
                <w:color w:val="FF0000"/>
                <w:sz w:val="74"/>
                <w:szCs w:val="74"/>
              </w:rPr>
            </w:pPr>
          </w:p>
        </w:tc>
      </w:tr>
      <w:tr w:rsidR="00470B95" w:rsidTr="000645C0">
        <w:trPr>
          <w:trHeight w:hRule="exact" w:val="1021"/>
          <w:jc w:val="center"/>
        </w:trPr>
        <w:tc>
          <w:tcPr>
            <w:tcW w:w="7322" w:type="dxa"/>
            <w:vAlign w:val="center"/>
          </w:tcPr>
          <w:p w:rsidR="00470B95" w:rsidRPr="00361F63" w:rsidRDefault="00361F63" w:rsidP="00470B95">
            <w:pPr>
              <w:spacing w:line="800" w:lineRule="exact"/>
              <w:jc w:val="distribute"/>
              <w:rPr>
                <w:rFonts w:ascii="Times New Roman" w:eastAsia="方正小标宋简体" w:hAnsi="Times New Roman"/>
                <w:color w:val="FF0000"/>
                <w:spacing w:val="-40"/>
                <w:sz w:val="70"/>
                <w:szCs w:val="70"/>
              </w:rPr>
            </w:pPr>
            <w:r w:rsidRPr="00361F63">
              <w:rPr>
                <w:rFonts w:ascii="Times New Roman" w:eastAsia="方正小标宋简体" w:hAnsi="Times New Roman" w:hint="eastAsia"/>
                <w:color w:val="FF0000"/>
                <w:spacing w:val="-40"/>
                <w:sz w:val="70"/>
                <w:szCs w:val="70"/>
              </w:rPr>
              <w:t>中国人民银行通山县支行</w:t>
            </w:r>
          </w:p>
        </w:tc>
        <w:tc>
          <w:tcPr>
            <w:tcW w:w="1705" w:type="dxa"/>
            <w:vMerge/>
          </w:tcPr>
          <w:p w:rsidR="00470B95" w:rsidRDefault="00470B95" w:rsidP="004E74EA">
            <w:pPr>
              <w:jc w:val="center"/>
              <w:rPr>
                <w:rFonts w:ascii="Times New Roman" w:eastAsia="仿宋" w:hAnsi="Times New Roman"/>
                <w:sz w:val="32"/>
                <w:szCs w:val="32"/>
              </w:rPr>
            </w:pPr>
          </w:p>
        </w:tc>
      </w:tr>
    </w:tbl>
    <w:p w:rsidR="00470B95" w:rsidRPr="006A75B0" w:rsidRDefault="00470B95" w:rsidP="00470B95">
      <w:pPr>
        <w:spacing w:line="560" w:lineRule="exact"/>
        <w:jc w:val="center"/>
        <w:rPr>
          <w:rFonts w:ascii="Times New Roman" w:eastAsia="仿宋" w:hAnsi="Times New Roman"/>
          <w:sz w:val="32"/>
          <w:szCs w:val="32"/>
        </w:rPr>
      </w:pPr>
    </w:p>
    <w:p w:rsidR="00470B95" w:rsidRDefault="00470B95" w:rsidP="00470B95">
      <w:pPr>
        <w:spacing w:line="560" w:lineRule="exact"/>
        <w:jc w:val="center"/>
        <w:rPr>
          <w:rFonts w:ascii="Times New Roman" w:eastAsia="仿宋" w:hAnsi="Times New Roman"/>
          <w:sz w:val="32"/>
          <w:szCs w:val="32"/>
        </w:rPr>
      </w:pPr>
    </w:p>
    <w:p w:rsidR="00470B95" w:rsidRDefault="00470B95" w:rsidP="00470B95">
      <w:pPr>
        <w:widowControl/>
        <w:spacing w:line="512" w:lineRule="exact"/>
        <w:jc w:val="center"/>
        <w:rPr>
          <w:rFonts w:ascii="Times New Roman" w:eastAsia="仿宋_GB2312" w:hAnsi="Times New Roman"/>
          <w:sz w:val="32"/>
          <w:szCs w:val="32"/>
        </w:rPr>
      </w:pPr>
      <w:r>
        <w:rPr>
          <w:rFonts w:ascii="Times New Roman" w:eastAsia="仿宋_GB2312" w:hAnsi="Times New Roman"/>
          <w:sz w:val="32"/>
          <w:szCs w:val="32"/>
        </w:rPr>
        <w:t>通法发〔</w:t>
      </w:r>
      <w:r>
        <w:rPr>
          <w:rFonts w:ascii="Times New Roman" w:eastAsia="仿宋_GB2312" w:hAnsi="Times New Roman"/>
          <w:sz w:val="32"/>
          <w:szCs w:val="32"/>
        </w:rPr>
        <w:t>202</w:t>
      </w:r>
      <w:r w:rsidR="00B730F9">
        <w:rPr>
          <w:rFonts w:ascii="Times New Roman" w:eastAsia="仿宋_GB2312" w:hAnsi="Times New Roman" w:hint="eastAsia"/>
          <w:sz w:val="32"/>
          <w:szCs w:val="32"/>
        </w:rPr>
        <w:t>2</w:t>
      </w:r>
      <w:r>
        <w:rPr>
          <w:rFonts w:ascii="Times New Roman" w:eastAsia="仿宋_GB2312" w:hAnsi="Times New Roman"/>
          <w:sz w:val="32"/>
          <w:szCs w:val="32"/>
        </w:rPr>
        <w:t>〕</w:t>
      </w:r>
      <w:r w:rsidR="008E4E1B">
        <w:rPr>
          <w:rFonts w:ascii="Times New Roman" w:eastAsia="仿宋_GB2312" w:hAnsi="Times New Roman" w:hint="eastAsia"/>
          <w:sz w:val="32"/>
          <w:szCs w:val="32"/>
        </w:rPr>
        <w:t>35</w:t>
      </w:r>
      <w:r>
        <w:rPr>
          <w:rFonts w:ascii="Times New Roman" w:eastAsia="仿宋_GB2312" w:hAnsi="Times New Roman"/>
          <w:sz w:val="32"/>
          <w:szCs w:val="32"/>
        </w:rPr>
        <w:t>号</w:t>
      </w:r>
    </w:p>
    <w:p w:rsidR="00470B95" w:rsidRDefault="002B2B68" w:rsidP="00470B95">
      <w:pPr>
        <w:widowControl/>
        <w:spacing w:line="576" w:lineRule="exact"/>
        <w:jc w:val="center"/>
        <w:rPr>
          <w:rFonts w:ascii="Times New Roman" w:eastAsia="仿宋" w:hAnsi="Times New Roman"/>
          <w:sz w:val="44"/>
          <w:szCs w:val="44"/>
        </w:rPr>
      </w:pPr>
      <w:r w:rsidRPr="002B2B68">
        <w:rPr>
          <w:rFonts w:ascii="Times New Roman" w:eastAsia="仿宋_GB2312" w:hAnsi="Times New Roman"/>
          <w:noProof/>
          <w:sz w:val="32"/>
          <w:szCs w:val="32"/>
        </w:rPr>
        <w:pict>
          <v:shapetype id="_x0000_t32" coordsize="21600,21600" o:spt="32" o:oned="t" path="m,l21600,21600e" filled="f">
            <v:path arrowok="t" fillok="f" o:connecttype="none"/>
            <o:lock v:ext="edit" shapetype="t"/>
          </v:shapetype>
          <v:shape id="自选图形 4" o:spid="_x0000_s2065" type="#_x0000_t32" style="position:absolute;left:0;text-align:left;margin-left:-.2pt;margin-top:1.2pt;width:442.2pt;height:0;z-index:251660288" strokecolor="red" strokeweight="1.4pt"/>
        </w:pict>
      </w:r>
    </w:p>
    <w:p w:rsidR="00C72249" w:rsidRDefault="00C72249" w:rsidP="00115B05">
      <w:pPr>
        <w:spacing w:line="700" w:lineRule="exact"/>
        <w:jc w:val="center"/>
        <w:rPr>
          <w:rFonts w:ascii="方正小标宋简体" w:eastAsia="方正小标宋简体" w:hAnsi="Times New Roman" w:hint="eastAsia"/>
          <w:sz w:val="44"/>
          <w:szCs w:val="44"/>
        </w:rPr>
      </w:pPr>
    </w:p>
    <w:p w:rsidR="00BF5977" w:rsidRPr="00BF5977" w:rsidRDefault="00BF5977" w:rsidP="00115B05">
      <w:pPr>
        <w:spacing w:line="700" w:lineRule="exact"/>
        <w:jc w:val="center"/>
        <w:rPr>
          <w:rFonts w:ascii="方正小标宋简体" w:eastAsia="方正小标宋简体"/>
          <w:sz w:val="44"/>
          <w:szCs w:val="44"/>
        </w:rPr>
      </w:pPr>
      <w:r w:rsidRPr="008C171F">
        <w:rPr>
          <w:rFonts w:ascii="方正小标宋简体" w:eastAsia="方正小标宋简体" w:hAnsi="Times New Roman" w:hint="eastAsia"/>
          <w:sz w:val="44"/>
          <w:szCs w:val="44"/>
        </w:rPr>
        <w:t>关于印发《</w:t>
      </w:r>
      <w:r w:rsidRPr="00361F63">
        <w:rPr>
          <w:rFonts w:ascii="方正小标宋简体" w:eastAsia="方正小标宋简体" w:hint="eastAsia"/>
          <w:sz w:val="44"/>
          <w:szCs w:val="44"/>
        </w:rPr>
        <w:t>关于全面推进金融纠纷多元化解机制建设的实施意见</w:t>
      </w:r>
      <w:r w:rsidRPr="008C171F">
        <w:rPr>
          <w:rFonts w:ascii="方正小标宋简体" w:eastAsia="方正小标宋简体" w:hAnsi="Times New Roman" w:hint="eastAsia"/>
          <w:sz w:val="44"/>
          <w:szCs w:val="44"/>
        </w:rPr>
        <w:t>》的通知</w:t>
      </w:r>
    </w:p>
    <w:p w:rsidR="00BF5977" w:rsidRDefault="00BF5977" w:rsidP="00BF5977">
      <w:pPr>
        <w:widowControl/>
        <w:spacing w:line="576" w:lineRule="exact"/>
        <w:jc w:val="center"/>
        <w:rPr>
          <w:rFonts w:ascii="方正小标宋简体" w:eastAsia="方正小标宋简体" w:hAnsi="Times New Roman" w:hint="eastAsia"/>
          <w:sz w:val="44"/>
          <w:szCs w:val="44"/>
        </w:rPr>
      </w:pPr>
    </w:p>
    <w:p w:rsidR="00C72249" w:rsidRPr="00C72249" w:rsidRDefault="00C72249" w:rsidP="00BF5977">
      <w:pPr>
        <w:widowControl/>
        <w:spacing w:line="576" w:lineRule="exact"/>
        <w:jc w:val="center"/>
        <w:rPr>
          <w:rFonts w:ascii="方正小标宋简体" w:eastAsia="方正小标宋简体" w:hAnsi="Times New Roman"/>
          <w:sz w:val="44"/>
          <w:szCs w:val="44"/>
        </w:rPr>
      </w:pPr>
    </w:p>
    <w:p w:rsidR="00BF5977" w:rsidRDefault="00BF5977" w:rsidP="0088720C">
      <w:pPr>
        <w:rPr>
          <w:rFonts w:ascii="仿宋" w:eastAsia="仿宋" w:hAnsi="仿宋" w:cs="仿宋"/>
          <w:sz w:val="32"/>
          <w:szCs w:val="32"/>
        </w:rPr>
      </w:pPr>
      <w:r>
        <w:rPr>
          <w:rFonts w:ascii="仿宋" w:eastAsia="仿宋" w:hAnsi="仿宋" w:cs="仿宋" w:hint="eastAsia"/>
          <w:sz w:val="32"/>
          <w:szCs w:val="32"/>
        </w:rPr>
        <w:t>县人民法院、</w:t>
      </w:r>
      <w:r w:rsidR="00C72249">
        <w:rPr>
          <w:rFonts w:ascii="仿宋" w:eastAsia="仿宋" w:hAnsi="仿宋" w:cs="仿宋" w:hint="eastAsia"/>
          <w:sz w:val="32"/>
          <w:szCs w:val="32"/>
        </w:rPr>
        <w:t>县司法局、</w:t>
      </w:r>
      <w:r w:rsidRPr="008C171F">
        <w:rPr>
          <w:rFonts w:ascii="仿宋" w:eastAsia="仿宋" w:hAnsi="仿宋" w:cs="仿宋" w:hint="eastAsia"/>
          <w:sz w:val="32"/>
          <w:szCs w:val="32"/>
        </w:rPr>
        <w:t>中国人民银行通山县支行</w:t>
      </w:r>
      <w:r>
        <w:rPr>
          <w:rFonts w:ascii="仿宋" w:eastAsia="仿宋" w:hAnsi="仿宋" w:cs="仿宋" w:hint="eastAsia"/>
          <w:sz w:val="32"/>
          <w:szCs w:val="32"/>
        </w:rPr>
        <w:t>：</w:t>
      </w:r>
    </w:p>
    <w:p w:rsidR="00BF5977" w:rsidRDefault="00BF5977" w:rsidP="00BF5977">
      <w:pPr>
        <w:ind w:firstLineChars="200" w:firstLine="640"/>
        <w:rPr>
          <w:rFonts w:ascii="仿宋" w:eastAsia="仿宋" w:hAnsi="仿宋" w:cs="仿宋"/>
          <w:sz w:val="32"/>
          <w:szCs w:val="32"/>
        </w:rPr>
      </w:pPr>
      <w:r>
        <w:rPr>
          <w:rFonts w:ascii="仿宋" w:eastAsia="仿宋" w:hAnsi="仿宋" w:cs="仿宋" w:hint="eastAsia"/>
          <w:sz w:val="32"/>
          <w:szCs w:val="32"/>
        </w:rPr>
        <w:t>现将《</w:t>
      </w:r>
      <w:r w:rsidRPr="00BF5977">
        <w:rPr>
          <w:rFonts w:ascii="仿宋" w:eastAsia="仿宋" w:hAnsi="仿宋" w:cs="仿宋" w:hint="eastAsia"/>
          <w:sz w:val="32"/>
          <w:szCs w:val="32"/>
        </w:rPr>
        <w:t>关于全面推进金融纠纷多元化解机制建设的实施意见</w:t>
      </w:r>
      <w:r>
        <w:rPr>
          <w:rFonts w:ascii="仿宋" w:eastAsia="仿宋" w:hAnsi="仿宋" w:cs="仿宋" w:hint="eastAsia"/>
          <w:sz w:val="32"/>
          <w:szCs w:val="32"/>
        </w:rPr>
        <w:t>》印发给你们，请结合实际，认真贯彻落实。</w:t>
      </w:r>
    </w:p>
    <w:p w:rsidR="00BF5977" w:rsidRDefault="00BF5977" w:rsidP="00BF5977">
      <w:pPr>
        <w:ind w:firstLineChars="200" w:firstLine="640"/>
        <w:rPr>
          <w:rFonts w:ascii="仿宋" w:eastAsia="仿宋" w:hAnsi="仿宋" w:cs="仿宋"/>
          <w:sz w:val="32"/>
          <w:szCs w:val="32"/>
        </w:rPr>
      </w:pPr>
    </w:p>
    <w:p w:rsidR="00115B05" w:rsidRDefault="00115B05" w:rsidP="00BF5977">
      <w:pPr>
        <w:ind w:firstLineChars="200" w:firstLine="640"/>
        <w:rPr>
          <w:rFonts w:ascii="仿宋" w:eastAsia="仿宋" w:hAnsi="仿宋" w:cs="仿宋"/>
          <w:sz w:val="32"/>
          <w:szCs w:val="32"/>
        </w:rPr>
      </w:pPr>
    </w:p>
    <w:p w:rsidR="00BF5977" w:rsidRDefault="00BF5977" w:rsidP="00BF5977">
      <w:pPr>
        <w:ind w:firstLineChars="200" w:firstLine="640"/>
        <w:rPr>
          <w:rFonts w:ascii="仿宋" w:eastAsia="仿宋" w:hAnsi="仿宋" w:cs="仿宋"/>
          <w:sz w:val="32"/>
          <w:szCs w:val="32"/>
        </w:rPr>
      </w:pPr>
    </w:p>
    <w:p w:rsidR="00C72249" w:rsidRDefault="00C72249" w:rsidP="00BF5977">
      <w:pPr>
        <w:rPr>
          <w:rFonts w:ascii="仿宋" w:eastAsia="仿宋" w:hAnsi="仿宋" w:cs="仿宋" w:hint="eastAsia"/>
          <w:sz w:val="32"/>
          <w:szCs w:val="32"/>
        </w:rPr>
      </w:pPr>
    </w:p>
    <w:p w:rsidR="00C72249" w:rsidRDefault="00C72249" w:rsidP="00BF5977">
      <w:pPr>
        <w:rPr>
          <w:rFonts w:ascii="仿宋" w:eastAsia="仿宋" w:hAnsi="仿宋" w:cs="仿宋" w:hint="eastAsia"/>
          <w:sz w:val="32"/>
          <w:szCs w:val="32"/>
        </w:rPr>
      </w:pPr>
    </w:p>
    <w:p w:rsidR="00C72249" w:rsidRDefault="00BF5977" w:rsidP="00BF5977">
      <w:pPr>
        <w:rPr>
          <w:rFonts w:ascii="仿宋" w:eastAsia="仿宋" w:hAnsi="仿宋" w:cs="仿宋" w:hint="eastAsia"/>
          <w:sz w:val="32"/>
          <w:szCs w:val="32"/>
        </w:rPr>
      </w:pPr>
      <w:r w:rsidRPr="00511A08">
        <w:rPr>
          <w:rFonts w:ascii="仿宋" w:eastAsia="仿宋" w:hAnsi="仿宋" w:cs="仿宋" w:hint="eastAsia"/>
          <w:sz w:val="32"/>
          <w:szCs w:val="32"/>
        </w:rPr>
        <w:t>通山县人民法院</w:t>
      </w:r>
      <w:r>
        <w:rPr>
          <w:rFonts w:ascii="仿宋" w:eastAsia="仿宋" w:hAnsi="仿宋" w:cs="仿宋" w:hint="eastAsia"/>
          <w:sz w:val="32"/>
          <w:szCs w:val="32"/>
        </w:rPr>
        <w:t xml:space="preserve">        </w:t>
      </w:r>
      <w:r w:rsidR="00C72249">
        <w:rPr>
          <w:rFonts w:ascii="仿宋" w:eastAsia="仿宋" w:hAnsi="仿宋" w:cs="仿宋" w:hint="eastAsia"/>
          <w:sz w:val="32"/>
          <w:szCs w:val="32"/>
        </w:rPr>
        <w:t xml:space="preserve">   </w:t>
      </w:r>
      <w:r>
        <w:rPr>
          <w:rFonts w:ascii="仿宋" w:eastAsia="仿宋" w:hAnsi="仿宋" w:cs="仿宋" w:hint="eastAsia"/>
          <w:sz w:val="32"/>
          <w:szCs w:val="32"/>
        </w:rPr>
        <w:t xml:space="preserve">  </w:t>
      </w:r>
      <w:r w:rsidR="004F5420">
        <w:rPr>
          <w:rFonts w:ascii="仿宋" w:eastAsia="仿宋" w:hAnsi="仿宋" w:cs="仿宋" w:hint="eastAsia"/>
          <w:sz w:val="32"/>
          <w:szCs w:val="32"/>
        </w:rPr>
        <w:t xml:space="preserve">  </w:t>
      </w:r>
      <w:r w:rsidR="00C72249">
        <w:rPr>
          <w:rFonts w:ascii="仿宋" w:eastAsia="仿宋" w:hAnsi="仿宋" w:cs="仿宋" w:hint="eastAsia"/>
          <w:sz w:val="32"/>
          <w:szCs w:val="32"/>
        </w:rPr>
        <w:t xml:space="preserve"> </w:t>
      </w:r>
      <w:r w:rsidR="004F5420">
        <w:rPr>
          <w:rFonts w:ascii="仿宋" w:eastAsia="仿宋" w:hAnsi="仿宋" w:cs="仿宋" w:hint="eastAsia"/>
          <w:sz w:val="32"/>
          <w:szCs w:val="32"/>
        </w:rPr>
        <w:t xml:space="preserve">    </w:t>
      </w:r>
      <w:r w:rsidR="00C72249">
        <w:rPr>
          <w:rFonts w:ascii="仿宋" w:eastAsia="仿宋" w:hAnsi="仿宋" w:cs="仿宋" w:hint="eastAsia"/>
          <w:sz w:val="32"/>
          <w:szCs w:val="32"/>
        </w:rPr>
        <w:t>通山县司法局</w:t>
      </w:r>
      <w:r w:rsidR="004F5420">
        <w:rPr>
          <w:rFonts w:ascii="仿宋" w:eastAsia="仿宋" w:hAnsi="仿宋" w:cs="仿宋" w:hint="eastAsia"/>
          <w:sz w:val="32"/>
          <w:szCs w:val="32"/>
        </w:rPr>
        <w:t xml:space="preserve">  </w:t>
      </w:r>
      <w:r>
        <w:rPr>
          <w:rFonts w:ascii="仿宋" w:eastAsia="仿宋" w:hAnsi="仿宋" w:cs="仿宋" w:hint="eastAsia"/>
          <w:sz w:val="32"/>
          <w:szCs w:val="32"/>
        </w:rPr>
        <w:t xml:space="preserve"> </w:t>
      </w:r>
    </w:p>
    <w:p w:rsidR="00C72249" w:rsidRDefault="00C72249" w:rsidP="00BF5977">
      <w:pPr>
        <w:rPr>
          <w:rFonts w:ascii="仿宋" w:eastAsia="仿宋" w:hAnsi="仿宋" w:cs="仿宋" w:hint="eastAsia"/>
          <w:sz w:val="32"/>
          <w:szCs w:val="32"/>
        </w:rPr>
      </w:pPr>
    </w:p>
    <w:p w:rsidR="00C72249" w:rsidRDefault="00C72249" w:rsidP="00BF5977">
      <w:pPr>
        <w:rPr>
          <w:rFonts w:ascii="仿宋" w:eastAsia="仿宋" w:hAnsi="仿宋" w:cs="仿宋" w:hint="eastAsia"/>
          <w:sz w:val="32"/>
          <w:szCs w:val="32"/>
        </w:rPr>
      </w:pPr>
    </w:p>
    <w:p w:rsidR="00C72249" w:rsidRDefault="00C72249" w:rsidP="00BF5977">
      <w:pPr>
        <w:rPr>
          <w:rFonts w:ascii="仿宋" w:eastAsia="仿宋" w:hAnsi="仿宋" w:cs="仿宋" w:hint="eastAsia"/>
          <w:sz w:val="32"/>
          <w:szCs w:val="32"/>
        </w:rPr>
      </w:pPr>
    </w:p>
    <w:p w:rsidR="00BF5977" w:rsidRPr="00BF5977" w:rsidRDefault="00BF5977" w:rsidP="00C72249">
      <w:pPr>
        <w:jc w:val="left"/>
        <w:rPr>
          <w:rFonts w:ascii="仿宋" w:eastAsia="仿宋" w:hAnsi="仿宋" w:cs="仿宋"/>
          <w:sz w:val="32"/>
          <w:szCs w:val="32"/>
        </w:rPr>
      </w:pPr>
      <w:r w:rsidRPr="00511A08">
        <w:rPr>
          <w:rFonts w:ascii="仿宋" w:eastAsia="仿宋" w:hAnsi="仿宋" w:cs="仿宋" w:hint="eastAsia"/>
          <w:sz w:val="32"/>
          <w:szCs w:val="32"/>
        </w:rPr>
        <w:t>中国人民银行通山县支行</w:t>
      </w:r>
    </w:p>
    <w:p w:rsidR="00BF5977" w:rsidRDefault="00BF5977" w:rsidP="00BF5977">
      <w:pPr>
        <w:ind w:firstLineChars="200" w:firstLine="640"/>
        <w:rPr>
          <w:rFonts w:ascii="仿宋" w:eastAsia="仿宋" w:hAnsi="仿宋" w:cs="仿宋" w:hint="eastAsia"/>
          <w:sz w:val="32"/>
          <w:szCs w:val="32"/>
        </w:rPr>
      </w:pPr>
    </w:p>
    <w:p w:rsidR="00C72249" w:rsidRDefault="00C72249" w:rsidP="00BF5977">
      <w:pPr>
        <w:ind w:firstLineChars="200" w:firstLine="640"/>
        <w:rPr>
          <w:rFonts w:ascii="仿宋" w:eastAsia="仿宋" w:hAnsi="仿宋" w:cs="仿宋" w:hint="eastAsia"/>
          <w:sz w:val="32"/>
          <w:szCs w:val="32"/>
        </w:rPr>
      </w:pPr>
    </w:p>
    <w:p w:rsidR="00C72249" w:rsidRDefault="00C72249" w:rsidP="00BF5977">
      <w:pPr>
        <w:ind w:firstLineChars="200" w:firstLine="640"/>
        <w:rPr>
          <w:rFonts w:ascii="仿宋" w:eastAsia="仿宋" w:hAnsi="仿宋" w:cs="仿宋"/>
          <w:sz w:val="32"/>
          <w:szCs w:val="32"/>
        </w:rPr>
      </w:pPr>
    </w:p>
    <w:p w:rsidR="00BF5977" w:rsidRDefault="00BF5977" w:rsidP="00115B05">
      <w:pPr>
        <w:ind w:rightChars="600" w:right="1260" w:firstLineChars="200" w:firstLine="640"/>
        <w:jc w:val="right"/>
        <w:rPr>
          <w:rFonts w:ascii="仿宋" w:eastAsia="仿宋" w:hAnsi="仿宋" w:cs="仿宋" w:hint="eastAsia"/>
          <w:sz w:val="32"/>
          <w:szCs w:val="32"/>
        </w:rPr>
      </w:pPr>
      <w:r>
        <w:rPr>
          <w:rFonts w:ascii="仿宋" w:eastAsia="仿宋" w:hAnsi="仿宋" w:cs="仿宋" w:hint="eastAsia"/>
          <w:sz w:val="32"/>
          <w:szCs w:val="32"/>
        </w:rPr>
        <w:t>2022年3月10日</w:t>
      </w:r>
    </w:p>
    <w:p w:rsidR="00C72249" w:rsidRDefault="00C72249" w:rsidP="00115B05">
      <w:pPr>
        <w:ind w:rightChars="600" w:right="1260" w:firstLineChars="200" w:firstLine="640"/>
        <w:jc w:val="right"/>
        <w:rPr>
          <w:rFonts w:ascii="仿宋" w:eastAsia="仿宋" w:hAnsi="仿宋" w:cs="仿宋" w:hint="eastAsia"/>
          <w:sz w:val="32"/>
          <w:szCs w:val="32"/>
        </w:rPr>
      </w:pPr>
    </w:p>
    <w:p w:rsidR="00C72249" w:rsidRDefault="00C72249" w:rsidP="00115B05">
      <w:pPr>
        <w:ind w:rightChars="600" w:right="1260" w:firstLineChars="200" w:firstLine="640"/>
        <w:jc w:val="right"/>
        <w:rPr>
          <w:rFonts w:ascii="仿宋" w:eastAsia="仿宋" w:hAnsi="仿宋" w:cs="仿宋" w:hint="eastAsia"/>
          <w:sz w:val="32"/>
          <w:szCs w:val="32"/>
        </w:rPr>
      </w:pPr>
    </w:p>
    <w:p w:rsidR="00C72249" w:rsidRDefault="00C72249" w:rsidP="00115B05">
      <w:pPr>
        <w:ind w:rightChars="600" w:right="1260" w:firstLineChars="200" w:firstLine="640"/>
        <w:jc w:val="right"/>
        <w:rPr>
          <w:rFonts w:ascii="仿宋" w:eastAsia="仿宋" w:hAnsi="仿宋" w:cs="仿宋" w:hint="eastAsia"/>
          <w:sz w:val="32"/>
          <w:szCs w:val="32"/>
        </w:rPr>
      </w:pPr>
    </w:p>
    <w:p w:rsidR="00C72249" w:rsidRDefault="00C72249" w:rsidP="00115B05">
      <w:pPr>
        <w:ind w:rightChars="600" w:right="1260" w:firstLineChars="200" w:firstLine="640"/>
        <w:jc w:val="right"/>
        <w:rPr>
          <w:rFonts w:ascii="仿宋" w:eastAsia="仿宋" w:hAnsi="仿宋" w:cs="仿宋" w:hint="eastAsia"/>
          <w:sz w:val="32"/>
          <w:szCs w:val="32"/>
        </w:rPr>
      </w:pPr>
    </w:p>
    <w:p w:rsidR="00C72249" w:rsidRDefault="00C72249" w:rsidP="00115B05">
      <w:pPr>
        <w:ind w:rightChars="600" w:right="1260" w:firstLineChars="200" w:firstLine="640"/>
        <w:jc w:val="right"/>
        <w:rPr>
          <w:rFonts w:ascii="仿宋" w:eastAsia="仿宋" w:hAnsi="仿宋" w:cs="仿宋" w:hint="eastAsia"/>
          <w:sz w:val="32"/>
          <w:szCs w:val="32"/>
        </w:rPr>
      </w:pPr>
    </w:p>
    <w:p w:rsidR="00C72249" w:rsidRDefault="00C72249" w:rsidP="00115B05">
      <w:pPr>
        <w:ind w:rightChars="600" w:right="1260" w:firstLineChars="200" w:firstLine="640"/>
        <w:jc w:val="right"/>
        <w:rPr>
          <w:rFonts w:ascii="仿宋" w:eastAsia="仿宋" w:hAnsi="仿宋" w:cs="仿宋" w:hint="eastAsia"/>
          <w:sz w:val="32"/>
          <w:szCs w:val="32"/>
        </w:rPr>
      </w:pPr>
    </w:p>
    <w:p w:rsidR="00C72249" w:rsidRDefault="00C72249" w:rsidP="00115B05">
      <w:pPr>
        <w:ind w:rightChars="600" w:right="1260" w:firstLineChars="200" w:firstLine="640"/>
        <w:jc w:val="right"/>
        <w:rPr>
          <w:rFonts w:ascii="仿宋" w:eastAsia="仿宋" w:hAnsi="仿宋" w:cs="仿宋" w:hint="eastAsia"/>
          <w:sz w:val="32"/>
          <w:szCs w:val="32"/>
        </w:rPr>
      </w:pPr>
    </w:p>
    <w:p w:rsidR="00C72249" w:rsidRDefault="00C72249" w:rsidP="00115B05">
      <w:pPr>
        <w:ind w:rightChars="600" w:right="1260" w:firstLineChars="200" w:firstLine="640"/>
        <w:jc w:val="right"/>
        <w:rPr>
          <w:rFonts w:ascii="仿宋" w:eastAsia="仿宋" w:hAnsi="仿宋" w:cs="仿宋" w:hint="eastAsia"/>
          <w:sz w:val="32"/>
          <w:szCs w:val="32"/>
        </w:rPr>
      </w:pPr>
    </w:p>
    <w:p w:rsidR="00C72249" w:rsidRDefault="00C72249" w:rsidP="00115B05">
      <w:pPr>
        <w:ind w:rightChars="600" w:right="1260" w:firstLineChars="200" w:firstLine="640"/>
        <w:jc w:val="right"/>
        <w:rPr>
          <w:rFonts w:ascii="仿宋" w:eastAsia="仿宋" w:hAnsi="仿宋" w:cs="仿宋" w:hint="eastAsia"/>
          <w:sz w:val="32"/>
          <w:szCs w:val="32"/>
        </w:rPr>
      </w:pPr>
    </w:p>
    <w:p w:rsidR="00361F63" w:rsidRDefault="00361F63" w:rsidP="00361F63">
      <w:pPr>
        <w:jc w:val="center"/>
        <w:rPr>
          <w:rFonts w:ascii="方正小标宋简体" w:eastAsia="方正小标宋简体"/>
          <w:sz w:val="44"/>
          <w:szCs w:val="44"/>
        </w:rPr>
      </w:pPr>
      <w:r w:rsidRPr="00361F63">
        <w:rPr>
          <w:rFonts w:ascii="方正小标宋简体" w:eastAsia="方正小标宋简体" w:hint="eastAsia"/>
          <w:sz w:val="44"/>
          <w:szCs w:val="44"/>
        </w:rPr>
        <w:lastRenderedPageBreak/>
        <w:t>关于全面推进金融纠纷多元化解机制建设的</w:t>
      </w:r>
    </w:p>
    <w:p w:rsidR="00361F63" w:rsidRPr="00361F63" w:rsidRDefault="00361F63" w:rsidP="00361F63">
      <w:pPr>
        <w:jc w:val="center"/>
        <w:rPr>
          <w:rFonts w:ascii="方正小标宋简体" w:eastAsia="方正小标宋简体"/>
          <w:sz w:val="44"/>
          <w:szCs w:val="44"/>
        </w:rPr>
      </w:pPr>
      <w:r w:rsidRPr="00361F63">
        <w:rPr>
          <w:rFonts w:ascii="方正小标宋简体" w:eastAsia="方正小标宋简体" w:hint="eastAsia"/>
          <w:sz w:val="44"/>
          <w:szCs w:val="44"/>
        </w:rPr>
        <w:t>实</w:t>
      </w:r>
      <w:r>
        <w:rPr>
          <w:rFonts w:ascii="方正小标宋简体" w:eastAsia="方正小标宋简体" w:hint="eastAsia"/>
          <w:sz w:val="44"/>
          <w:szCs w:val="44"/>
        </w:rPr>
        <w:t xml:space="preserve"> </w:t>
      </w:r>
      <w:r w:rsidRPr="00361F63">
        <w:rPr>
          <w:rFonts w:ascii="方正小标宋简体" w:eastAsia="方正小标宋简体" w:hint="eastAsia"/>
          <w:sz w:val="44"/>
          <w:szCs w:val="44"/>
        </w:rPr>
        <w:t>施</w:t>
      </w:r>
      <w:r>
        <w:rPr>
          <w:rFonts w:ascii="方正小标宋简体" w:eastAsia="方正小标宋简体" w:hint="eastAsia"/>
          <w:sz w:val="44"/>
          <w:szCs w:val="44"/>
        </w:rPr>
        <w:t xml:space="preserve"> </w:t>
      </w:r>
      <w:r w:rsidRPr="00361F63">
        <w:rPr>
          <w:rFonts w:ascii="方正小标宋简体" w:eastAsia="方正小标宋简体" w:hint="eastAsia"/>
          <w:sz w:val="44"/>
          <w:szCs w:val="44"/>
        </w:rPr>
        <w:t>意</w:t>
      </w:r>
      <w:r>
        <w:rPr>
          <w:rFonts w:ascii="方正小标宋简体" w:eastAsia="方正小标宋简体" w:hint="eastAsia"/>
          <w:sz w:val="44"/>
          <w:szCs w:val="44"/>
        </w:rPr>
        <w:t xml:space="preserve"> </w:t>
      </w:r>
      <w:r w:rsidRPr="00361F63">
        <w:rPr>
          <w:rFonts w:ascii="方正小标宋简体" w:eastAsia="方正小标宋简体" w:hint="eastAsia"/>
          <w:sz w:val="44"/>
          <w:szCs w:val="44"/>
        </w:rPr>
        <w:t>见</w:t>
      </w:r>
    </w:p>
    <w:p w:rsidR="00361F63" w:rsidRDefault="00361F63" w:rsidP="00361F63">
      <w:pPr>
        <w:jc w:val="left"/>
        <w:rPr>
          <w:rFonts w:ascii="仿宋_GB2312" w:eastAsia="仿宋_GB2312"/>
          <w:sz w:val="32"/>
          <w:szCs w:val="32"/>
        </w:rPr>
      </w:pPr>
    </w:p>
    <w:p w:rsidR="00361F63" w:rsidRPr="00361F63" w:rsidRDefault="00361F63" w:rsidP="00361F63">
      <w:pPr>
        <w:ind w:firstLineChars="200" w:firstLine="640"/>
        <w:jc w:val="left"/>
        <w:rPr>
          <w:rFonts w:ascii="仿宋_GB2312" w:eastAsia="仿宋_GB2312"/>
          <w:sz w:val="32"/>
          <w:szCs w:val="32"/>
        </w:rPr>
      </w:pPr>
      <w:r w:rsidRPr="00361F63">
        <w:rPr>
          <w:rFonts w:ascii="仿宋_GB2312" w:eastAsia="仿宋_GB2312" w:hint="eastAsia"/>
          <w:sz w:val="32"/>
          <w:szCs w:val="32"/>
        </w:rPr>
        <w:t>为进一步完善辖区金融纠纷多元化解机制，防范化解金融风险，充分发挥人民法院、金融管理部门、金融调解组织化解矛盾纠纷的作用，据最高人民法院《关于深化人民法院一站式解纷机制建设推动矛盾纠纷源头化解的实施意见》和湖北省高级人民法院转发最高人民法院办公厅关于印发《姜伟副院长在“总对总”在线诉调对接工作推进会上的讲话的通知》，结合本县实际，通山县人民法院、</w:t>
      </w:r>
      <w:r w:rsidR="00C72249">
        <w:rPr>
          <w:rFonts w:ascii="仿宋_GB2312" w:eastAsia="仿宋_GB2312" w:hint="eastAsia"/>
          <w:sz w:val="32"/>
          <w:szCs w:val="32"/>
        </w:rPr>
        <w:t>通山县司法局、</w:t>
      </w:r>
      <w:r w:rsidRPr="00361F63">
        <w:rPr>
          <w:rFonts w:ascii="仿宋_GB2312" w:eastAsia="仿宋_GB2312" w:hint="eastAsia"/>
          <w:sz w:val="32"/>
          <w:szCs w:val="32"/>
        </w:rPr>
        <w:t>中国人民银行通山县支行共同制定本实施意见。</w:t>
      </w:r>
    </w:p>
    <w:p w:rsidR="00361F63" w:rsidRPr="00361F63" w:rsidRDefault="00361F63" w:rsidP="00361F63">
      <w:pPr>
        <w:ind w:firstLineChars="200" w:firstLine="640"/>
        <w:jc w:val="left"/>
        <w:rPr>
          <w:rFonts w:ascii="黑体" w:eastAsia="黑体" w:hAnsi="黑体"/>
          <w:sz w:val="32"/>
          <w:szCs w:val="32"/>
        </w:rPr>
      </w:pPr>
      <w:r w:rsidRPr="00361F63">
        <w:rPr>
          <w:rFonts w:ascii="黑体" w:eastAsia="黑体" w:hAnsi="黑体" w:hint="eastAsia"/>
          <w:sz w:val="32"/>
          <w:szCs w:val="32"/>
        </w:rPr>
        <w:t>一、工作目标</w:t>
      </w:r>
      <w:bookmarkStart w:id="0" w:name="_GoBack"/>
      <w:bookmarkEnd w:id="0"/>
    </w:p>
    <w:p w:rsidR="00361F63" w:rsidRDefault="00361F63" w:rsidP="00361F63">
      <w:pPr>
        <w:ind w:firstLineChars="200" w:firstLine="640"/>
        <w:jc w:val="left"/>
        <w:rPr>
          <w:rFonts w:ascii="仿宋_GB2312" w:eastAsia="仿宋_GB2312"/>
          <w:sz w:val="32"/>
          <w:szCs w:val="32"/>
        </w:rPr>
      </w:pPr>
      <w:r w:rsidRPr="00361F63">
        <w:rPr>
          <w:rFonts w:ascii="仿宋_GB2312" w:eastAsia="仿宋_GB2312" w:hint="eastAsia"/>
          <w:sz w:val="32"/>
          <w:szCs w:val="32"/>
        </w:rPr>
        <w:t>坚持以习近平新时代中国特色社会主义思想为指导，全面贯彻党的十九大和十九届二中、三中、四中全会精神，坚持党对司法工作和金融工作的绝对领导，坚持把非诉讼纠纷解决机制挺在前面，建立健全专业高效、有机接、便捷便民的金融纠纷多元化解机制，合理配置纠纷解决资源，保护金融消费者合法权益，促进金融业持续健康发展，全方位提升人民群众的获得感、幸福感、安全感。</w:t>
      </w:r>
    </w:p>
    <w:p w:rsidR="00361F63" w:rsidRPr="00361F63" w:rsidRDefault="00361F63" w:rsidP="00361F63">
      <w:pPr>
        <w:ind w:firstLineChars="200" w:firstLine="640"/>
        <w:jc w:val="left"/>
        <w:rPr>
          <w:rFonts w:ascii="黑体" w:eastAsia="黑体" w:hAnsi="黑体"/>
          <w:sz w:val="32"/>
          <w:szCs w:val="32"/>
        </w:rPr>
      </w:pPr>
      <w:r w:rsidRPr="00361F63">
        <w:rPr>
          <w:rFonts w:ascii="黑体" w:eastAsia="黑体" w:hAnsi="黑体" w:hint="eastAsia"/>
          <w:sz w:val="32"/>
          <w:szCs w:val="32"/>
        </w:rPr>
        <w:lastRenderedPageBreak/>
        <w:t>二、工作原则</w:t>
      </w:r>
    </w:p>
    <w:p w:rsidR="00361F63" w:rsidRDefault="00361F63" w:rsidP="00361F63">
      <w:pPr>
        <w:ind w:firstLineChars="200" w:firstLine="640"/>
        <w:jc w:val="left"/>
        <w:rPr>
          <w:rFonts w:ascii="仿宋_GB2312" w:eastAsia="仿宋_GB2312"/>
          <w:sz w:val="32"/>
          <w:szCs w:val="32"/>
        </w:rPr>
      </w:pPr>
      <w:r w:rsidRPr="00361F63">
        <w:rPr>
          <w:rFonts w:ascii="仿宋_GB2312" w:eastAsia="仿宋_GB2312" w:hint="eastAsia"/>
          <w:sz w:val="32"/>
          <w:szCs w:val="32"/>
        </w:rPr>
        <w:t>1.依法公正原则。充分尊重当事人的程序选择权，严格遵守法定程序。金融纠纷多元化解工作，不得违反法律的基本原则，不得损害国家利益、集体利益和第三人合法权益。</w:t>
      </w:r>
    </w:p>
    <w:p w:rsidR="00361F63" w:rsidRDefault="00361F63" w:rsidP="00361F63">
      <w:pPr>
        <w:ind w:firstLineChars="200" w:firstLine="640"/>
        <w:jc w:val="left"/>
        <w:rPr>
          <w:rFonts w:ascii="仿宋_GB2312" w:eastAsia="仿宋_GB2312"/>
          <w:sz w:val="32"/>
          <w:szCs w:val="32"/>
        </w:rPr>
      </w:pPr>
      <w:r w:rsidRPr="00361F63">
        <w:rPr>
          <w:rFonts w:ascii="仿宋_GB2312" w:eastAsia="仿宋_GB2312" w:hint="eastAsia"/>
          <w:sz w:val="32"/>
          <w:szCs w:val="32"/>
        </w:rPr>
        <w:t>2.调解自愿原则。充分尊重各方当事人意愿，保障当事人依法行使自己的民事权利和诉讼权利。</w:t>
      </w:r>
    </w:p>
    <w:p w:rsidR="00361F63" w:rsidRDefault="00361F63" w:rsidP="00361F63">
      <w:pPr>
        <w:ind w:firstLineChars="200" w:firstLine="640"/>
        <w:jc w:val="left"/>
        <w:rPr>
          <w:rFonts w:ascii="仿宋_GB2312" w:eastAsia="仿宋_GB2312"/>
          <w:sz w:val="32"/>
          <w:szCs w:val="32"/>
        </w:rPr>
      </w:pPr>
      <w:r w:rsidRPr="00361F63">
        <w:rPr>
          <w:rFonts w:ascii="仿宋_GB2312" w:eastAsia="仿宋_GB2312" w:hint="eastAsia"/>
          <w:sz w:val="32"/>
          <w:szCs w:val="32"/>
        </w:rPr>
        <w:t>3.高效便民原则。根据金融纠纷实际，灵活确定解纷方式，强化信息技术深度应用，提升解纷效率，降低当事人解纷成本。</w:t>
      </w:r>
    </w:p>
    <w:p w:rsidR="00361F63" w:rsidRPr="00361F63" w:rsidRDefault="00361F63" w:rsidP="00361F63">
      <w:pPr>
        <w:ind w:firstLineChars="200" w:firstLine="640"/>
        <w:jc w:val="left"/>
        <w:rPr>
          <w:rFonts w:ascii="黑体" w:eastAsia="黑体" w:hAnsi="黑体"/>
          <w:sz w:val="32"/>
          <w:szCs w:val="32"/>
        </w:rPr>
      </w:pPr>
      <w:r w:rsidRPr="00361F63">
        <w:rPr>
          <w:rFonts w:ascii="黑体" w:eastAsia="黑体" w:hAnsi="黑体" w:hint="eastAsia"/>
          <w:sz w:val="32"/>
          <w:szCs w:val="32"/>
        </w:rPr>
        <w:t>三、工作范围</w:t>
      </w:r>
    </w:p>
    <w:p w:rsidR="00361F63" w:rsidRDefault="00361F63" w:rsidP="00361F63">
      <w:pPr>
        <w:ind w:firstLineChars="200" w:firstLine="640"/>
        <w:jc w:val="left"/>
        <w:rPr>
          <w:rFonts w:ascii="仿宋_GB2312" w:eastAsia="仿宋_GB2312"/>
          <w:sz w:val="32"/>
          <w:szCs w:val="32"/>
        </w:rPr>
      </w:pPr>
      <w:r w:rsidRPr="00361F63">
        <w:rPr>
          <w:rFonts w:ascii="仿宋_GB2312" w:eastAsia="仿宋_GB2312" w:hint="eastAsia"/>
          <w:sz w:val="32"/>
          <w:szCs w:val="32"/>
        </w:rPr>
        <w:t>自然人、法人和其他组织因金融业务与金融机构等市场主体产生的合同和侵权责任纠纷，均属化解范围。</w:t>
      </w:r>
    </w:p>
    <w:p w:rsidR="00361F63" w:rsidRPr="00361F63" w:rsidRDefault="00361F63" w:rsidP="00361F63">
      <w:pPr>
        <w:ind w:firstLineChars="200" w:firstLine="640"/>
        <w:jc w:val="left"/>
        <w:rPr>
          <w:rFonts w:ascii="黑体" w:eastAsia="黑体" w:hAnsi="黑体"/>
          <w:sz w:val="32"/>
          <w:szCs w:val="32"/>
        </w:rPr>
      </w:pPr>
      <w:r w:rsidRPr="00361F63">
        <w:rPr>
          <w:rFonts w:ascii="黑体" w:eastAsia="黑体" w:hAnsi="黑体" w:hint="eastAsia"/>
          <w:sz w:val="32"/>
          <w:szCs w:val="32"/>
        </w:rPr>
        <w:t>四、工作内容</w:t>
      </w:r>
    </w:p>
    <w:p w:rsidR="00361F63" w:rsidRPr="00361F63" w:rsidRDefault="00361F63" w:rsidP="00361F63">
      <w:pPr>
        <w:ind w:firstLineChars="200" w:firstLine="643"/>
        <w:jc w:val="left"/>
        <w:rPr>
          <w:rFonts w:ascii="楷体" w:eastAsia="楷体" w:hAnsi="楷体"/>
          <w:b/>
          <w:sz w:val="32"/>
          <w:szCs w:val="32"/>
        </w:rPr>
      </w:pPr>
      <w:r w:rsidRPr="00361F63">
        <w:rPr>
          <w:rFonts w:ascii="楷体" w:eastAsia="楷体" w:hAnsi="楷体" w:hint="eastAsia"/>
          <w:b/>
          <w:sz w:val="32"/>
          <w:szCs w:val="32"/>
        </w:rPr>
        <w:t>(一)加强分工协作</w:t>
      </w:r>
    </w:p>
    <w:p w:rsidR="00361F63" w:rsidRDefault="00361F63" w:rsidP="00361F63">
      <w:pPr>
        <w:ind w:firstLineChars="200" w:firstLine="640"/>
        <w:jc w:val="left"/>
        <w:rPr>
          <w:rFonts w:ascii="仿宋_GB2312" w:eastAsia="仿宋_GB2312"/>
          <w:sz w:val="32"/>
          <w:szCs w:val="32"/>
        </w:rPr>
      </w:pPr>
      <w:r w:rsidRPr="00361F63">
        <w:rPr>
          <w:rFonts w:ascii="仿宋_GB2312" w:eastAsia="仿宋_GB2312" w:hint="eastAsia"/>
          <w:sz w:val="32"/>
          <w:szCs w:val="32"/>
        </w:rPr>
        <w:t>1.法院:负责指导、督促、检查辖区内人民法院落实金融纠纷多元化解机制各项工作要求;积极推动并动态管理调解组织和调解员名册。辖区其他各</w:t>
      </w:r>
      <w:r w:rsidRPr="00361F63">
        <w:rPr>
          <w:rFonts w:ascii="仿宋_GB2312" w:hint="eastAsia"/>
          <w:sz w:val="32"/>
          <w:szCs w:val="32"/>
        </w:rPr>
        <w:t>級</w:t>
      </w:r>
      <w:r w:rsidRPr="00361F63">
        <w:rPr>
          <w:rFonts w:ascii="仿宋_GB2312" w:eastAsia="仿宋_GB2312" w:hint="eastAsia"/>
          <w:sz w:val="32"/>
          <w:szCs w:val="32"/>
        </w:rPr>
        <w:t>法院负责:在金融纠纷案件中积极落实委派、委托调解等多元调解工作机制;向金融纠纷当事人提供完整、准确的调解组织和调解员信息;把金融纠纷调解组织及调解员引入诉讼服务中心，有条件的地区要积极设立金融纠纷调解室;邀请金融纠纷调解组织调解员担任人民陪审员，提升审判专</w:t>
      </w:r>
      <w:r w:rsidRPr="00361F63">
        <w:rPr>
          <w:rFonts w:ascii="仿宋_GB2312" w:eastAsia="仿宋_GB2312" w:hint="eastAsia"/>
          <w:sz w:val="32"/>
          <w:szCs w:val="32"/>
        </w:rPr>
        <w:lastRenderedPageBreak/>
        <w:t>业化水平。</w:t>
      </w:r>
    </w:p>
    <w:p w:rsidR="00361F63" w:rsidRDefault="00361F63" w:rsidP="00361F63">
      <w:pPr>
        <w:ind w:firstLineChars="200" w:firstLine="640"/>
        <w:jc w:val="left"/>
        <w:rPr>
          <w:rFonts w:ascii="仿宋_GB2312" w:eastAsia="仿宋_GB2312"/>
          <w:sz w:val="32"/>
          <w:szCs w:val="32"/>
        </w:rPr>
      </w:pPr>
      <w:r w:rsidRPr="00361F63">
        <w:rPr>
          <w:rFonts w:ascii="仿宋_GB2312" w:eastAsia="仿宋_GB2312" w:hint="eastAsia"/>
          <w:sz w:val="32"/>
          <w:szCs w:val="32"/>
        </w:rPr>
        <w:t>2．司法:根据行业性专业性人民调解工作要求，加强对金融纠纷调解工作的指导，推进金融纠纷调解组织和调解员队伍建设，健全工作制度，完善诉调对接机制，充分发挥调解在化解金融纠纷中的作用。</w:t>
      </w:r>
    </w:p>
    <w:p w:rsidR="00361F63" w:rsidRDefault="00361F63" w:rsidP="00361F63">
      <w:pPr>
        <w:ind w:firstLineChars="200" w:firstLine="640"/>
        <w:jc w:val="left"/>
        <w:rPr>
          <w:rFonts w:ascii="仿宋_GB2312" w:eastAsia="仿宋_GB2312"/>
          <w:sz w:val="32"/>
          <w:szCs w:val="32"/>
        </w:rPr>
      </w:pPr>
      <w:r w:rsidRPr="00361F63">
        <w:rPr>
          <w:rFonts w:ascii="仿宋_GB2312" w:eastAsia="仿宋_GB2312" w:hint="eastAsia"/>
          <w:sz w:val="32"/>
          <w:szCs w:val="32"/>
        </w:rPr>
        <w:t>3．人民银行通山县支行：负责推动建立金融纠纷调解组织体系，指导并支持各金融纠纷调解组织开展工作，鼓励金融机构积极履行调解协议，引导金融纠纷调解组织在实际工作中不断完善金融纠纷化解机制，提高调解质量和效率。</w:t>
      </w:r>
    </w:p>
    <w:p w:rsidR="00361F63" w:rsidRPr="00361F63" w:rsidRDefault="00361F63" w:rsidP="00361F63">
      <w:pPr>
        <w:ind w:firstLineChars="200" w:firstLine="643"/>
        <w:jc w:val="left"/>
        <w:rPr>
          <w:rFonts w:ascii="楷体" w:eastAsia="楷体" w:hAnsi="楷体"/>
          <w:b/>
          <w:sz w:val="32"/>
          <w:szCs w:val="32"/>
        </w:rPr>
      </w:pPr>
      <w:r w:rsidRPr="00361F63">
        <w:rPr>
          <w:rFonts w:ascii="楷体" w:eastAsia="楷体" w:hAnsi="楷体" w:hint="eastAsia"/>
          <w:b/>
          <w:sz w:val="32"/>
          <w:szCs w:val="32"/>
        </w:rPr>
        <w:t>(二)完善金融纠纷调解组织，加强调解员队伍建设</w:t>
      </w:r>
    </w:p>
    <w:p w:rsidR="00361F63" w:rsidRDefault="00361F63" w:rsidP="00361F63">
      <w:pPr>
        <w:ind w:firstLineChars="200" w:firstLine="640"/>
        <w:jc w:val="left"/>
        <w:rPr>
          <w:rFonts w:ascii="仿宋_GB2312" w:eastAsia="仿宋_GB2312"/>
          <w:sz w:val="32"/>
          <w:szCs w:val="32"/>
        </w:rPr>
      </w:pPr>
      <w:r w:rsidRPr="00361F63">
        <w:rPr>
          <w:rFonts w:ascii="仿宋_GB2312" w:eastAsia="仿宋_GB2312" w:hint="eastAsia"/>
          <w:sz w:val="32"/>
          <w:szCs w:val="32"/>
        </w:rPr>
        <w:t>1.建立完善金融纠纷调解组织。坚持实事求是、因地制宜的原则，从化解矛盾纠纷的实际需要出发，积极推动设立金融纠纷人民调解组织。在金融纠纷易发、多发地区，指导社会团体或其他组织建立金融纠纷专业调解组织，其他地区可依托现有人民调解组织开展金融纠纷调解工作。根据调解工作实际需要，积极发展金融纠纷调解工作室，建立调解专家库。推动在全省形成覆盖面广、适应性强、高效便民的金融纠纷调解组织体系。金融纠纷调解组织要注重优化治理，建立健全规章制度，提升服务效能。鼓励金融管理部门、金融机构为金融纠纷调解组织提供必要的办公场地、人员支持。</w:t>
      </w:r>
    </w:p>
    <w:p w:rsidR="00361F63" w:rsidRDefault="00361F63" w:rsidP="00361F63">
      <w:pPr>
        <w:ind w:firstLineChars="200" w:firstLine="640"/>
        <w:jc w:val="left"/>
        <w:rPr>
          <w:rFonts w:ascii="仿宋_GB2312" w:eastAsia="仿宋_GB2312"/>
          <w:sz w:val="32"/>
          <w:szCs w:val="32"/>
        </w:rPr>
      </w:pPr>
      <w:r w:rsidRPr="00361F63">
        <w:rPr>
          <w:rFonts w:ascii="仿宋_GB2312" w:eastAsia="仿宋_GB2312" w:hint="eastAsia"/>
          <w:sz w:val="32"/>
          <w:szCs w:val="32"/>
        </w:rPr>
        <w:lastRenderedPageBreak/>
        <w:t>2.强化调解员队伍建设和经费保障。金融纠纷调解组织要建立和完善调解员的选、认证、考核、奖惩、退出机制，以中立公正、专业为标准避选调解员，注重选任具有法律、金融、管理等专业知识和调解经验的专业人员担任调解员，建立高素质的专、兼职相结合的调解员队伍。加强调解员政治素养、职业道、调解技能、法律金融知识培训，提高调解员化解金融纠纷的能力和水平。调解员要严格遵守调解保密要求，对于在履行职责过程中获取的案件信息，不得违反规定向第三人透露。建立经费保障机制，调解员办案补贴应当弥补调解员误工、误餐、交通等方面的费用。</w:t>
      </w:r>
    </w:p>
    <w:p w:rsidR="00361F63" w:rsidRPr="00361F63" w:rsidRDefault="00361F63" w:rsidP="00361F63">
      <w:pPr>
        <w:ind w:firstLineChars="200" w:firstLine="643"/>
        <w:jc w:val="left"/>
        <w:rPr>
          <w:rFonts w:ascii="楷体" w:eastAsia="楷体" w:hAnsi="楷体"/>
          <w:b/>
          <w:sz w:val="32"/>
          <w:szCs w:val="32"/>
        </w:rPr>
      </w:pPr>
      <w:r w:rsidRPr="00361F63">
        <w:rPr>
          <w:rFonts w:ascii="楷体" w:eastAsia="楷体" w:hAnsi="楷体" w:hint="eastAsia"/>
          <w:b/>
          <w:sz w:val="32"/>
          <w:szCs w:val="32"/>
        </w:rPr>
        <w:t>(三)规范工作流程</w:t>
      </w:r>
    </w:p>
    <w:p w:rsidR="00361F63" w:rsidRDefault="00361F63" w:rsidP="00361F63">
      <w:pPr>
        <w:ind w:firstLineChars="200" w:firstLine="640"/>
        <w:jc w:val="left"/>
        <w:rPr>
          <w:rFonts w:ascii="仿宋_GB2312" w:eastAsia="仿宋_GB2312"/>
          <w:sz w:val="32"/>
          <w:szCs w:val="32"/>
        </w:rPr>
      </w:pPr>
      <w:r w:rsidRPr="00361F63">
        <w:rPr>
          <w:rFonts w:ascii="仿宋_GB2312" w:eastAsia="仿宋_GB2312" w:hint="eastAsia"/>
          <w:sz w:val="32"/>
          <w:szCs w:val="32"/>
        </w:rPr>
        <w:t>1.落实委派、委托调解。人民法院在受理和审理金融纠纷案件过程中，应当落实“调解优先、调判结合”方针，对于具备调解基础的案件，按照自愿合法原则，采取立案前委派，立案后委托，诉中邀请等方式引导当事人通过金融纠纷调解组织解决纠纷。人民法院委派、委托调解时，应当自当事人同意调解之日起5 个工作日内，向金融纠纷调解组织发送《委派、委托调解函》并将相关材料移送金融纠纷调解组织。</w:t>
      </w:r>
    </w:p>
    <w:p w:rsidR="00361F63" w:rsidRDefault="00361F63" w:rsidP="00361F63">
      <w:pPr>
        <w:ind w:firstLineChars="200" w:firstLine="640"/>
        <w:jc w:val="left"/>
        <w:rPr>
          <w:rFonts w:ascii="仿宋_GB2312" w:eastAsia="仿宋_GB2312"/>
          <w:sz w:val="32"/>
          <w:szCs w:val="32"/>
        </w:rPr>
      </w:pPr>
      <w:r w:rsidRPr="00361F63">
        <w:rPr>
          <w:rFonts w:ascii="仿宋_GB2312" w:eastAsia="仿宋_GB2312" w:hint="eastAsia"/>
          <w:sz w:val="32"/>
          <w:szCs w:val="32"/>
        </w:rPr>
        <w:t>2.组织调解。金融纠纷调解组织及调解员组织调解，各方当事人达成一致意见的，金融纠纷调解组织应当制作调解协议书，由调解员和各方当事人签字确认并加盖金融纠纷调解组织公章；</w:t>
      </w:r>
      <w:r w:rsidRPr="00361F63">
        <w:rPr>
          <w:rFonts w:ascii="仿宋_GB2312" w:eastAsia="仿宋_GB2312" w:hint="eastAsia"/>
          <w:sz w:val="32"/>
          <w:szCs w:val="32"/>
        </w:rPr>
        <w:lastRenderedPageBreak/>
        <w:t>对于人民法院委派、委托调解的案件，调解结束后，金融纠纷调解组织应当在5个工作日内出具《委派、委托调解反馈函》向委派、委托的人民法院报送调解结果并退回相关材料，调解不成的，金融纠纷调解组织应当告知当事人可通过仲裁诉讼等途径解决纠纷。人民法院根据相关规定及时登记立案或者恢复审理。</w:t>
      </w:r>
    </w:p>
    <w:p w:rsidR="00361F63" w:rsidRDefault="00361F63" w:rsidP="00361F63">
      <w:pPr>
        <w:ind w:firstLineChars="200" w:firstLine="640"/>
        <w:jc w:val="left"/>
        <w:rPr>
          <w:rFonts w:ascii="仿宋_GB2312" w:eastAsia="仿宋_GB2312"/>
          <w:sz w:val="32"/>
          <w:szCs w:val="32"/>
        </w:rPr>
      </w:pPr>
      <w:r w:rsidRPr="00361F63">
        <w:rPr>
          <w:rFonts w:ascii="仿宋_GB2312" w:eastAsia="仿宋_GB2312" w:hint="eastAsia"/>
          <w:sz w:val="32"/>
          <w:szCs w:val="32"/>
        </w:rPr>
        <w:t>3.调解时限。人民法院委派调解的金融纠纷案件，调解时限为30日，人民法院委托调解的金融纠纷案件，适用普通程序的调解期限为15日适用简易程序的调解期限为7日。上述案件，各方当事人同意延长调解期限的，不受此限。延长的调解期限不计入审理期限。委派调解和委托调解的期限，自金融纠纷调解组织签收法院移交材料之日起计算。</w:t>
      </w:r>
    </w:p>
    <w:p w:rsidR="00361F63" w:rsidRDefault="00361F63" w:rsidP="00361F63">
      <w:pPr>
        <w:ind w:firstLineChars="200" w:firstLine="640"/>
        <w:jc w:val="left"/>
        <w:rPr>
          <w:rFonts w:ascii="仿宋_GB2312" w:eastAsia="仿宋_GB2312"/>
          <w:sz w:val="32"/>
          <w:szCs w:val="32"/>
        </w:rPr>
      </w:pPr>
      <w:r w:rsidRPr="00361F63">
        <w:rPr>
          <w:rFonts w:ascii="仿宋_GB2312" w:eastAsia="仿宋_GB2312" w:hint="eastAsia"/>
          <w:sz w:val="32"/>
          <w:szCs w:val="32"/>
        </w:rPr>
        <w:t>4.申请司法确认。经金融纠纷调解组织调解员主持调解达成的调解协议，具有民事合同性质。经调解员签字和金融纠纷调解组织盖章后，当事人可以向有管辖权的人民法院申请确认其效力受人民法院委派、委托调解，达成调解协议，当事人申请司法确认的，由委派或委托调解的人民法院依法受理。经人民法院确认有效的具有明确给付主体和给付内容的调解协议，一方拒绝履行的，对方当事人可以申请人民法院强制执行;人民法院依法确认调解协议无效的，当事人可以通过人民调解方式变更原调解协议或者达成新的调解协议，也可以向人民法院提起诉讼。</w:t>
      </w:r>
    </w:p>
    <w:p w:rsidR="00361F63" w:rsidRDefault="00361F63" w:rsidP="00361F63">
      <w:pPr>
        <w:ind w:firstLineChars="200" w:firstLine="640"/>
        <w:jc w:val="left"/>
        <w:rPr>
          <w:rFonts w:ascii="仿宋_GB2312" w:eastAsia="仿宋_GB2312"/>
          <w:sz w:val="32"/>
          <w:szCs w:val="32"/>
        </w:rPr>
      </w:pPr>
      <w:r w:rsidRPr="00361F63">
        <w:rPr>
          <w:rFonts w:ascii="仿宋_GB2312" w:eastAsia="仿宋_GB2312" w:hint="eastAsia"/>
          <w:sz w:val="32"/>
          <w:szCs w:val="32"/>
        </w:rPr>
        <w:lastRenderedPageBreak/>
        <w:t>5.充分利用“人民法院调解平台”在线调解平台开展工作，为我省在线调解平台，可以为当事人提供在线调解、在线申请司法确认等在线服务。人民法院和金融调解组织应积极向当事人宣</w:t>
      </w:r>
      <w:r w:rsidRPr="00C72249">
        <w:rPr>
          <w:rFonts w:ascii="仿宋_GB2312" w:eastAsia="仿宋_GB2312" w:hint="eastAsia"/>
          <w:spacing w:val="-6"/>
          <w:sz w:val="32"/>
          <w:szCs w:val="32"/>
        </w:rPr>
        <w:t>传在线调解的优势，引导当事人主动选择在线调解方式解决纠纷。</w:t>
      </w:r>
    </w:p>
    <w:p w:rsidR="00361F63" w:rsidRPr="00361F63" w:rsidRDefault="00361F63" w:rsidP="00361F63">
      <w:pPr>
        <w:ind w:firstLineChars="200" w:firstLine="643"/>
        <w:jc w:val="left"/>
        <w:rPr>
          <w:rFonts w:ascii="楷体" w:eastAsia="楷体" w:hAnsi="楷体"/>
          <w:b/>
          <w:sz w:val="32"/>
          <w:szCs w:val="32"/>
        </w:rPr>
      </w:pPr>
      <w:r w:rsidRPr="00361F63">
        <w:rPr>
          <w:rFonts w:ascii="楷体" w:eastAsia="楷体" w:hAnsi="楷体" w:hint="eastAsia"/>
          <w:b/>
          <w:sz w:val="32"/>
          <w:szCs w:val="32"/>
        </w:rPr>
        <w:t>(四)发展创新金融纠纷多元化解协调机制新模式</w:t>
      </w:r>
    </w:p>
    <w:p w:rsidR="00361F63" w:rsidRDefault="00361F63" w:rsidP="00361F63">
      <w:pPr>
        <w:ind w:firstLineChars="200" w:firstLine="640"/>
        <w:jc w:val="left"/>
        <w:rPr>
          <w:rFonts w:ascii="仿宋_GB2312" w:eastAsia="仿宋_GB2312"/>
          <w:sz w:val="32"/>
          <w:szCs w:val="32"/>
        </w:rPr>
      </w:pPr>
      <w:r w:rsidRPr="00361F63">
        <w:rPr>
          <w:rFonts w:ascii="仿宋_GB2312" w:eastAsia="仿宋_GB2312" w:hint="eastAsia"/>
          <w:sz w:val="32"/>
          <w:szCs w:val="32"/>
        </w:rPr>
        <w:t>1.示范判决。在处置大规模群体性金融纠纷的过程中，可以将涉及金融消费者权益保护的相关事宜委托调解组织进行集中调解。对于民事赔偿群体性纠纷，需要人民法院通过司法判决宣示法律规则、统一法律适用的，受诉人民法院可选取在事实认定法律适用上具有代表性的若个案作为示范案件，先行审理并及时作出判决;通过示范判决所确立的事实认定和法律适用标准引导其他当事人通过金融纠纷多元化解机制解决纠纷，降低金融消费者维权成本，提高矛盾化解效率。</w:t>
      </w:r>
    </w:p>
    <w:p w:rsidR="00361F63" w:rsidRDefault="00361F63" w:rsidP="00361F63">
      <w:pPr>
        <w:ind w:firstLineChars="200" w:firstLine="640"/>
        <w:jc w:val="left"/>
        <w:rPr>
          <w:rFonts w:ascii="仿宋_GB2312" w:eastAsia="仿宋_GB2312"/>
          <w:sz w:val="32"/>
          <w:szCs w:val="32"/>
        </w:rPr>
      </w:pPr>
      <w:r w:rsidRPr="00361F63">
        <w:rPr>
          <w:rFonts w:ascii="仿宋_GB2312" w:eastAsia="仿宋_GB2312" w:hint="eastAsia"/>
          <w:sz w:val="32"/>
          <w:szCs w:val="32"/>
        </w:rPr>
        <w:t>2.探索建立小额纠纷快速调解机制。鼓励金融纠纷调解组织通过与金融机构签订备忘录或者协议的方式，推出小额纠纷快速解决机制。对赔付金额在一定数额内的金融纠纷，调解员可以根据法律、行政法规、司法解释、行业惯例，依照公平公正的原则，提出纠纷解决意见。如果金融消费者接受该意见的，则争议各方当事人均应当接受并承诺履行该调解意见。如果金融消费者不接受该意见的，则调解意见对各方当事人均无约束力，作为专家意</w:t>
      </w:r>
      <w:r w:rsidRPr="00361F63">
        <w:rPr>
          <w:rFonts w:ascii="仿宋_GB2312" w:eastAsia="仿宋_GB2312" w:hint="eastAsia"/>
          <w:sz w:val="32"/>
          <w:szCs w:val="32"/>
        </w:rPr>
        <w:lastRenderedPageBreak/>
        <w:t>见供当事人参考。金融纠纷调解组织要评估小额纠纷快速解决机制的效果，及时调整适用的金额范围和业务领域。</w:t>
      </w:r>
    </w:p>
    <w:p w:rsidR="00361F63" w:rsidRDefault="00361F63" w:rsidP="00361F63">
      <w:pPr>
        <w:ind w:firstLineChars="200" w:firstLine="640"/>
        <w:jc w:val="left"/>
        <w:rPr>
          <w:rFonts w:ascii="仿宋_GB2312" w:eastAsia="仿宋_GB2312"/>
          <w:sz w:val="32"/>
          <w:szCs w:val="32"/>
        </w:rPr>
      </w:pPr>
      <w:r w:rsidRPr="00361F63">
        <w:rPr>
          <w:rFonts w:ascii="仿宋_GB2312" w:eastAsia="仿宋_GB2312" w:hint="eastAsia"/>
          <w:sz w:val="32"/>
          <w:szCs w:val="32"/>
        </w:rPr>
        <w:t>3.建立中立评估机制。对于争议较大，具有典型性的金融纠纷，金融纠纷调解组织可聘请无利害关系的独立专家，基于对各方陈述及所提交证据材料的综合考量，做出建设性评估报告，供当事人参考。金融机构处理疑难、复杂投诉，可申请调解机构指派独立专家出具金融消费纠纷中立评估意见，以中立评估意见为参考，与投诉人协商处理方案。</w:t>
      </w:r>
    </w:p>
    <w:p w:rsidR="00361F63" w:rsidRPr="00361F63" w:rsidRDefault="00361F63" w:rsidP="00361F63">
      <w:pPr>
        <w:ind w:firstLineChars="200" w:firstLine="640"/>
        <w:jc w:val="left"/>
        <w:rPr>
          <w:rFonts w:ascii="黑体" w:eastAsia="黑体" w:hAnsi="黑体"/>
          <w:sz w:val="32"/>
          <w:szCs w:val="32"/>
        </w:rPr>
      </w:pPr>
      <w:r w:rsidRPr="00361F63">
        <w:rPr>
          <w:rFonts w:ascii="黑体" w:eastAsia="黑体" w:hAnsi="黑体" w:hint="eastAsia"/>
          <w:sz w:val="32"/>
          <w:szCs w:val="32"/>
        </w:rPr>
        <w:t>五、工作要求</w:t>
      </w:r>
    </w:p>
    <w:p w:rsidR="00361F63" w:rsidRDefault="00361F63" w:rsidP="00361F63">
      <w:pPr>
        <w:ind w:firstLineChars="200" w:firstLine="640"/>
        <w:jc w:val="left"/>
        <w:rPr>
          <w:rFonts w:ascii="仿宋_GB2312" w:eastAsia="仿宋_GB2312"/>
          <w:sz w:val="32"/>
          <w:szCs w:val="32"/>
        </w:rPr>
      </w:pPr>
      <w:r w:rsidRPr="00361F63">
        <w:rPr>
          <w:rFonts w:ascii="仿宋_GB2312" w:eastAsia="仿宋_GB2312" w:hint="eastAsia"/>
          <w:sz w:val="32"/>
          <w:szCs w:val="32"/>
        </w:rPr>
        <w:t>1.建立工作小组。通工作情况，加强信息共享，协调重大典型金融纠纷案件调解工作;对金融纠纷多元化解工作情况进行评估总结，不断优化金融纠纷多元化解机制;注重共同构建金融风险提示预警机制，防止因个案引发系统性金融风险。</w:t>
      </w:r>
    </w:p>
    <w:p w:rsidR="00361F63" w:rsidRDefault="00361F63" w:rsidP="00361F63">
      <w:pPr>
        <w:ind w:firstLineChars="200" w:firstLine="640"/>
        <w:jc w:val="left"/>
        <w:rPr>
          <w:rFonts w:ascii="仿宋_GB2312" w:eastAsia="仿宋_GB2312"/>
          <w:sz w:val="32"/>
          <w:szCs w:val="32"/>
        </w:rPr>
      </w:pPr>
      <w:r w:rsidRPr="00361F63">
        <w:rPr>
          <w:rFonts w:ascii="仿宋_GB2312" w:eastAsia="仿宋_GB2312" w:hint="eastAsia"/>
          <w:sz w:val="32"/>
          <w:szCs w:val="32"/>
        </w:rPr>
        <w:t>2.加强宣传引导。全省各级人民法院、司法行政机关、金融管理部门、金融纠纷调解组织，要通过示范案例引导，加大宣传力度，加强金融消费者教育等多种方式，共同提升金融纠纷当事人及社会公众对金融纠纷多元化解机制的知晓度和信任度，积极引导当事人通过调解方式解决金融纠纷。</w:t>
      </w:r>
    </w:p>
    <w:p w:rsidR="00361F63" w:rsidRDefault="00361F63" w:rsidP="00361F63">
      <w:pPr>
        <w:ind w:firstLineChars="200" w:firstLine="640"/>
        <w:jc w:val="left"/>
        <w:rPr>
          <w:rFonts w:ascii="仿宋_GB2312" w:eastAsia="仿宋_GB2312"/>
          <w:sz w:val="32"/>
          <w:szCs w:val="32"/>
        </w:rPr>
      </w:pPr>
      <w:r w:rsidRPr="00361F63">
        <w:rPr>
          <w:rFonts w:ascii="仿宋_GB2312" w:eastAsia="仿宋_GB2312" w:hint="eastAsia"/>
          <w:sz w:val="32"/>
          <w:szCs w:val="32"/>
        </w:rPr>
        <w:t>3.强化金融机构对金融纠纷多元化解机制建设的参与度和认可度。金融机构应当提升对调解协议的认可度，在权范围内达</w:t>
      </w:r>
      <w:r w:rsidRPr="00361F63">
        <w:rPr>
          <w:rFonts w:ascii="仿宋_GB2312" w:eastAsia="仿宋_GB2312" w:hint="eastAsia"/>
          <w:sz w:val="32"/>
          <w:szCs w:val="32"/>
        </w:rPr>
        <w:lastRenderedPageBreak/>
        <w:t>成的调解协议作为金融机构会计核销的依据之一。各级人民法院司法行政机关、金融管理部门和金融纠纷调解组织可以对金融纠纷多元化解工作中表现突出的集体和个人予以表彰和宣传。</w:t>
      </w:r>
    </w:p>
    <w:p w:rsidR="00A734D0" w:rsidRDefault="00361F63" w:rsidP="00361F63">
      <w:pPr>
        <w:ind w:firstLineChars="200" w:firstLine="640"/>
        <w:jc w:val="left"/>
        <w:rPr>
          <w:rFonts w:ascii="仿宋_GB2312" w:eastAsia="仿宋_GB2312"/>
          <w:sz w:val="32"/>
          <w:szCs w:val="32"/>
        </w:rPr>
      </w:pPr>
      <w:r w:rsidRPr="00361F63">
        <w:rPr>
          <w:rFonts w:ascii="仿宋_GB2312" w:eastAsia="仿宋_GB2312" w:hint="eastAsia"/>
          <w:sz w:val="32"/>
          <w:szCs w:val="32"/>
        </w:rPr>
        <w:t>4.压实金融机构作为金融纠纷处理第一责任人的主体责任，通过提升合规经营水平、优化金融产品服务、依法强化信息披露等方式，从源头减少金融纠纷，强化矛盾纠纷的诉源治理水平金融机构应当在营业柜台、官方网站等醒目位置公示金融消费纠纷内、外部纠纷处理渠道及当地金融纠纷调解组织联系方式。</w:t>
      </w:r>
    </w:p>
    <w:p w:rsidR="00361F63" w:rsidRDefault="00361F63" w:rsidP="00361F63">
      <w:pPr>
        <w:ind w:firstLineChars="200" w:firstLine="640"/>
        <w:jc w:val="left"/>
        <w:rPr>
          <w:rFonts w:ascii="仿宋_GB2312" w:eastAsia="仿宋_GB2312"/>
          <w:sz w:val="32"/>
          <w:szCs w:val="32"/>
        </w:rPr>
      </w:pPr>
    </w:p>
    <w:p w:rsidR="00361F63" w:rsidRDefault="00361F63" w:rsidP="00361F63">
      <w:pPr>
        <w:ind w:firstLineChars="200" w:firstLine="640"/>
        <w:jc w:val="left"/>
        <w:rPr>
          <w:rFonts w:ascii="仿宋_GB2312" w:eastAsia="仿宋_GB2312"/>
          <w:sz w:val="32"/>
          <w:szCs w:val="32"/>
        </w:rPr>
      </w:pPr>
    </w:p>
    <w:p w:rsidR="00361F63" w:rsidRPr="00361F63" w:rsidRDefault="00361F63" w:rsidP="00361F63">
      <w:pPr>
        <w:ind w:rightChars="600" w:right="1260" w:firstLineChars="200" w:firstLine="640"/>
        <w:jc w:val="right"/>
        <w:rPr>
          <w:rFonts w:ascii="仿宋_GB2312" w:eastAsia="仿宋_GB2312" w:hAnsi="仿宋" w:cs="仿宋"/>
          <w:sz w:val="32"/>
          <w:szCs w:val="32"/>
        </w:rPr>
      </w:pPr>
    </w:p>
    <w:sectPr w:rsidR="00361F63" w:rsidRPr="00361F63" w:rsidSect="007D39FB">
      <w:footerReference w:type="even" r:id="rId9"/>
      <w:footerReference w:type="default" r:id="rId10"/>
      <w:pgSz w:w="11906" w:h="16838"/>
      <w:pgMar w:top="2098" w:right="1531" w:bottom="1985" w:left="1531" w:header="1361" w:footer="136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7CC" w:rsidRDefault="006127CC">
      <w:r>
        <w:separator/>
      </w:r>
    </w:p>
  </w:endnote>
  <w:endnote w:type="continuationSeparator" w:id="1">
    <w:p w:rsidR="006127CC" w:rsidRDefault="006127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1055747"/>
      <w:docPartObj>
        <w:docPartGallery w:val="Page Numbers (Bottom of Page)"/>
        <w:docPartUnique/>
      </w:docPartObj>
    </w:sdtPr>
    <w:sdtContent>
      <w:p w:rsidR="007D39FB" w:rsidRPr="007D39FB" w:rsidRDefault="007D39FB">
        <w:pPr>
          <w:pStyle w:val="a4"/>
          <w:rPr>
            <w:rFonts w:asciiTheme="minorEastAsia" w:hAnsiTheme="minorEastAsia"/>
            <w:sz w:val="28"/>
            <w:szCs w:val="28"/>
          </w:rPr>
        </w:pPr>
        <w:r w:rsidRPr="007D39FB">
          <w:rPr>
            <w:rFonts w:asciiTheme="minorEastAsia" w:hAnsiTheme="minorEastAsia" w:hint="eastAsia"/>
            <w:sz w:val="28"/>
            <w:szCs w:val="28"/>
          </w:rPr>
          <w:t>-</w:t>
        </w:r>
        <w:r w:rsidR="002B2B68" w:rsidRPr="007D39FB">
          <w:rPr>
            <w:rFonts w:asciiTheme="minorEastAsia" w:hAnsiTheme="minorEastAsia"/>
            <w:sz w:val="28"/>
            <w:szCs w:val="28"/>
          </w:rPr>
          <w:fldChar w:fldCharType="begin"/>
        </w:r>
        <w:r w:rsidRPr="007D39FB">
          <w:rPr>
            <w:rFonts w:asciiTheme="minorEastAsia" w:hAnsiTheme="minorEastAsia"/>
            <w:sz w:val="28"/>
            <w:szCs w:val="28"/>
          </w:rPr>
          <w:instrText xml:space="preserve"> PAGE   \* MERGEFORMAT </w:instrText>
        </w:r>
        <w:r w:rsidR="002B2B68" w:rsidRPr="007D39FB">
          <w:rPr>
            <w:rFonts w:asciiTheme="minorEastAsia" w:hAnsiTheme="minorEastAsia"/>
            <w:sz w:val="28"/>
            <w:szCs w:val="28"/>
          </w:rPr>
          <w:fldChar w:fldCharType="separate"/>
        </w:r>
        <w:r w:rsidR="00C72249" w:rsidRPr="00C72249">
          <w:rPr>
            <w:rFonts w:asciiTheme="minorEastAsia" w:hAnsiTheme="minorEastAsia"/>
            <w:noProof/>
            <w:sz w:val="28"/>
            <w:szCs w:val="28"/>
            <w:lang w:val="zh-CN"/>
          </w:rPr>
          <w:t>10</w:t>
        </w:r>
        <w:r w:rsidR="002B2B68" w:rsidRPr="007D39FB">
          <w:rPr>
            <w:rFonts w:asciiTheme="minorEastAsia" w:hAnsiTheme="minorEastAsia"/>
            <w:sz w:val="28"/>
            <w:szCs w:val="28"/>
          </w:rPr>
          <w:fldChar w:fldCharType="end"/>
        </w:r>
        <w:r w:rsidRPr="007D39FB">
          <w:rPr>
            <w:rFonts w:asciiTheme="minorEastAsia" w:hAnsiTheme="minorEastAsia" w:hint="eastAsia"/>
            <w:sz w:val="28"/>
            <w:szCs w:val="28"/>
          </w:rPr>
          <w:t>-</w:t>
        </w:r>
      </w:p>
    </w:sdtContent>
  </w:sdt>
  <w:p w:rsidR="007D39FB" w:rsidRDefault="007D39F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727"/>
      <w:docPartObj>
        <w:docPartGallery w:val="Page Numbers (Bottom of Page)"/>
        <w:docPartUnique/>
      </w:docPartObj>
    </w:sdtPr>
    <w:sdtContent>
      <w:p w:rsidR="007D39FB" w:rsidRDefault="007D39FB">
        <w:pPr>
          <w:pStyle w:val="a4"/>
          <w:jc w:val="right"/>
        </w:pPr>
        <w:r w:rsidRPr="007D39FB">
          <w:rPr>
            <w:rFonts w:asciiTheme="minorEastAsia" w:hAnsiTheme="minorEastAsia" w:hint="eastAsia"/>
            <w:sz w:val="28"/>
            <w:szCs w:val="28"/>
          </w:rPr>
          <w:t>-</w:t>
        </w:r>
        <w:r w:rsidR="002B2B68" w:rsidRPr="007D39FB">
          <w:rPr>
            <w:rFonts w:asciiTheme="minorEastAsia" w:hAnsiTheme="minorEastAsia"/>
            <w:sz w:val="28"/>
            <w:szCs w:val="28"/>
          </w:rPr>
          <w:fldChar w:fldCharType="begin"/>
        </w:r>
        <w:r w:rsidRPr="007D39FB">
          <w:rPr>
            <w:rFonts w:asciiTheme="minorEastAsia" w:hAnsiTheme="minorEastAsia"/>
            <w:sz w:val="28"/>
            <w:szCs w:val="28"/>
          </w:rPr>
          <w:instrText xml:space="preserve"> PAGE   \* MERGEFORMAT </w:instrText>
        </w:r>
        <w:r w:rsidR="002B2B68" w:rsidRPr="007D39FB">
          <w:rPr>
            <w:rFonts w:asciiTheme="minorEastAsia" w:hAnsiTheme="minorEastAsia"/>
            <w:sz w:val="28"/>
            <w:szCs w:val="28"/>
          </w:rPr>
          <w:fldChar w:fldCharType="separate"/>
        </w:r>
        <w:r w:rsidR="00C72249" w:rsidRPr="00C72249">
          <w:rPr>
            <w:rFonts w:asciiTheme="minorEastAsia" w:hAnsiTheme="minorEastAsia"/>
            <w:noProof/>
            <w:sz w:val="28"/>
            <w:szCs w:val="28"/>
            <w:lang w:val="zh-CN"/>
          </w:rPr>
          <w:t>9</w:t>
        </w:r>
        <w:r w:rsidR="002B2B68" w:rsidRPr="007D39FB">
          <w:rPr>
            <w:rFonts w:asciiTheme="minorEastAsia" w:hAnsiTheme="minorEastAsia"/>
            <w:sz w:val="28"/>
            <w:szCs w:val="28"/>
          </w:rPr>
          <w:fldChar w:fldCharType="end"/>
        </w:r>
        <w:r w:rsidRPr="007D39FB">
          <w:rPr>
            <w:rFonts w:asciiTheme="minorEastAsia" w:hAnsiTheme="minorEastAsia" w:hint="eastAsia"/>
            <w:sz w:val="28"/>
            <w:szCs w:val="28"/>
          </w:rPr>
          <w:t>-</w:t>
        </w:r>
      </w:p>
    </w:sdtContent>
  </w:sdt>
  <w:p w:rsidR="007D39FB" w:rsidRDefault="007D39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7CC" w:rsidRDefault="006127CC">
      <w:r>
        <w:separator/>
      </w:r>
    </w:p>
  </w:footnote>
  <w:footnote w:type="continuationSeparator" w:id="1">
    <w:p w:rsidR="006127CC" w:rsidRDefault="006127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0227BD"/>
    <w:multiLevelType w:val="singleLevel"/>
    <w:tmpl w:val="8F0227BD"/>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8194" fillcolor="red" strokecolor="red">
      <v:fill color="red"/>
      <v:stroke color="red" weight="1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455CF"/>
    <w:rsid w:val="00002A6C"/>
    <w:rsid w:val="00042E90"/>
    <w:rsid w:val="00055F42"/>
    <w:rsid w:val="000645C0"/>
    <w:rsid w:val="0010281E"/>
    <w:rsid w:val="00115B05"/>
    <w:rsid w:val="00174E1C"/>
    <w:rsid w:val="00234F66"/>
    <w:rsid w:val="002360AC"/>
    <w:rsid w:val="002454DD"/>
    <w:rsid w:val="002455CF"/>
    <w:rsid w:val="00247754"/>
    <w:rsid w:val="00267BD5"/>
    <w:rsid w:val="002825CF"/>
    <w:rsid w:val="00290D89"/>
    <w:rsid w:val="002B2B68"/>
    <w:rsid w:val="00353D69"/>
    <w:rsid w:val="003550CE"/>
    <w:rsid w:val="00361F63"/>
    <w:rsid w:val="0036375C"/>
    <w:rsid w:val="003E5709"/>
    <w:rsid w:val="003E5938"/>
    <w:rsid w:val="003F21AA"/>
    <w:rsid w:val="003F4E81"/>
    <w:rsid w:val="00470B95"/>
    <w:rsid w:val="00477669"/>
    <w:rsid w:val="0049164B"/>
    <w:rsid w:val="004E36A7"/>
    <w:rsid w:val="004F5420"/>
    <w:rsid w:val="00562744"/>
    <w:rsid w:val="00572F6C"/>
    <w:rsid w:val="005C5FDA"/>
    <w:rsid w:val="00604FB1"/>
    <w:rsid w:val="006127CC"/>
    <w:rsid w:val="00617A28"/>
    <w:rsid w:val="00647FD7"/>
    <w:rsid w:val="006805B8"/>
    <w:rsid w:val="006A75B0"/>
    <w:rsid w:val="006F1522"/>
    <w:rsid w:val="00732613"/>
    <w:rsid w:val="0074746B"/>
    <w:rsid w:val="00762F51"/>
    <w:rsid w:val="007C1CBA"/>
    <w:rsid w:val="007D39FB"/>
    <w:rsid w:val="0088720C"/>
    <w:rsid w:val="008E4E1B"/>
    <w:rsid w:val="009315EA"/>
    <w:rsid w:val="009464F7"/>
    <w:rsid w:val="009B6299"/>
    <w:rsid w:val="00A2200B"/>
    <w:rsid w:val="00A734D0"/>
    <w:rsid w:val="00A90963"/>
    <w:rsid w:val="00AA49EC"/>
    <w:rsid w:val="00AB19C2"/>
    <w:rsid w:val="00AB4FB0"/>
    <w:rsid w:val="00AE1608"/>
    <w:rsid w:val="00AF3687"/>
    <w:rsid w:val="00B21F6B"/>
    <w:rsid w:val="00B730F9"/>
    <w:rsid w:val="00BF5977"/>
    <w:rsid w:val="00C03B9A"/>
    <w:rsid w:val="00C46E05"/>
    <w:rsid w:val="00C72249"/>
    <w:rsid w:val="00CE1941"/>
    <w:rsid w:val="00CE7014"/>
    <w:rsid w:val="00DA79A2"/>
    <w:rsid w:val="00DB2188"/>
    <w:rsid w:val="00DC0EBC"/>
    <w:rsid w:val="00E124CF"/>
    <w:rsid w:val="00E52909"/>
    <w:rsid w:val="00EB3DAE"/>
    <w:rsid w:val="00F5140B"/>
    <w:rsid w:val="00F90CDD"/>
    <w:rsid w:val="00FB42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red" strokecolor="red">
      <v:fill color="red"/>
      <v:stroke color="red" weight="1pt"/>
    </o:shapedefaults>
    <o:shapelayout v:ext="edit">
      <o:idmap v:ext="edit" data="2"/>
      <o:rules v:ext="edit">
        <o:r id="V:Rule2" type="connector" idref="#自选图形 4"/>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5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455CF"/>
    <w:rPr>
      <w:sz w:val="18"/>
      <w:szCs w:val="18"/>
    </w:rPr>
  </w:style>
  <w:style w:type="paragraph" w:styleId="a4">
    <w:name w:val="footer"/>
    <w:basedOn w:val="a"/>
    <w:link w:val="Char0"/>
    <w:uiPriority w:val="99"/>
    <w:unhideWhenUsed/>
    <w:qFormat/>
    <w:rsid w:val="002455CF"/>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semiHidden/>
    <w:unhideWhenUsed/>
    <w:qFormat/>
    <w:rsid w:val="002455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qFormat/>
    <w:rsid w:val="002455CF"/>
    <w:pPr>
      <w:spacing w:beforeAutospacing="1" w:afterAutospacing="1"/>
      <w:jc w:val="left"/>
    </w:pPr>
    <w:rPr>
      <w:kern w:val="0"/>
      <w:sz w:val="24"/>
    </w:rPr>
  </w:style>
  <w:style w:type="character" w:customStyle="1" w:styleId="Char1">
    <w:name w:val="页眉 Char"/>
    <w:basedOn w:val="a0"/>
    <w:link w:val="a5"/>
    <w:uiPriority w:val="99"/>
    <w:semiHidden/>
    <w:qFormat/>
    <w:rsid w:val="002455CF"/>
    <w:rPr>
      <w:sz w:val="18"/>
      <w:szCs w:val="18"/>
    </w:rPr>
  </w:style>
  <w:style w:type="character" w:customStyle="1" w:styleId="Char0">
    <w:name w:val="页脚 Char"/>
    <w:basedOn w:val="a0"/>
    <w:link w:val="a4"/>
    <w:uiPriority w:val="99"/>
    <w:qFormat/>
    <w:rsid w:val="002455CF"/>
    <w:rPr>
      <w:sz w:val="18"/>
      <w:szCs w:val="18"/>
    </w:rPr>
  </w:style>
  <w:style w:type="character" w:customStyle="1" w:styleId="bjh-p">
    <w:name w:val="bjh-p"/>
    <w:basedOn w:val="a0"/>
    <w:qFormat/>
    <w:rsid w:val="002455CF"/>
  </w:style>
  <w:style w:type="character" w:customStyle="1" w:styleId="Char">
    <w:name w:val="批注框文本 Char"/>
    <w:basedOn w:val="a0"/>
    <w:link w:val="a3"/>
    <w:uiPriority w:val="99"/>
    <w:semiHidden/>
    <w:rsid w:val="002455CF"/>
    <w:rPr>
      <w:rFonts w:ascii="Calibri" w:hAnsi="Calibri"/>
      <w:kern w:val="2"/>
      <w:sz w:val="18"/>
      <w:szCs w:val="18"/>
    </w:rPr>
  </w:style>
  <w:style w:type="paragraph" w:styleId="a7">
    <w:name w:val="List Paragraph"/>
    <w:basedOn w:val="a"/>
    <w:uiPriority w:val="99"/>
    <w:unhideWhenUsed/>
    <w:rsid w:val="002455CF"/>
    <w:pPr>
      <w:ind w:firstLineChars="200" w:firstLine="420"/>
    </w:pPr>
  </w:style>
  <w:style w:type="character" w:styleId="a8">
    <w:name w:val="Hyperlink"/>
    <w:basedOn w:val="a0"/>
    <w:uiPriority w:val="99"/>
    <w:unhideWhenUsed/>
    <w:rsid w:val="00FB4231"/>
    <w:rPr>
      <w:color w:val="0000FF" w:themeColor="hyperlink"/>
      <w:u w:val="single"/>
    </w:rPr>
  </w:style>
  <w:style w:type="paragraph" w:styleId="a9">
    <w:name w:val="Date"/>
    <w:basedOn w:val="a"/>
    <w:next w:val="a"/>
    <w:link w:val="Char2"/>
    <w:uiPriority w:val="99"/>
    <w:semiHidden/>
    <w:unhideWhenUsed/>
    <w:rsid w:val="00C03B9A"/>
    <w:pPr>
      <w:ind w:leftChars="2500" w:left="100"/>
    </w:pPr>
  </w:style>
  <w:style w:type="character" w:customStyle="1" w:styleId="Char2">
    <w:name w:val="日期 Char"/>
    <w:basedOn w:val="a0"/>
    <w:link w:val="a9"/>
    <w:uiPriority w:val="99"/>
    <w:semiHidden/>
    <w:rsid w:val="00C03B9A"/>
    <w:rPr>
      <w:kern w:val="2"/>
      <w:sz w:val="21"/>
      <w:szCs w:val="24"/>
    </w:rPr>
  </w:style>
  <w:style w:type="table" w:customStyle="1" w:styleId="TableNormal">
    <w:name w:val="Table Normal"/>
    <w:semiHidden/>
    <w:unhideWhenUsed/>
    <w:qFormat/>
    <w:rsid w:val="006F1522"/>
    <w:rPr>
      <w:rFonts w:ascii="Arial" w:eastAsiaTheme="minorEastAsia" w:hAnsi="Arial" w:cs="Arial"/>
      <w:snapToGrid w:val="0"/>
      <w:color w:val="000000"/>
      <w:sz w:val="21"/>
      <w:szCs w:val="21"/>
    </w:rPr>
    <w:tblPr>
      <w:tblCellMar>
        <w:top w:w="0" w:type="dxa"/>
        <w:left w:w="0" w:type="dxa"/>
        <w:bottom w:w="0" w:type="dxa"/>
        <w:right w:w="0" w:type="dxa"/>
      </w:tblCellMar>
    </w:tblPr>
  </w:style>
  <w:style w:type="table" w:styleId="aa">
    <w:name w:val="Table Grid"/>
    <w:basedOn w:val="a1"/>
    <w:uiPriority w:val="59"/>
    <w:rsid w:val="00470B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basedOn w:val="a0"/>
    <w:qFormat/>
    <w:rsid w:val="00470B95"/>
    <w:rPr>
      <w: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CC08B454-123B-49FA-96E2-A80386302E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586</Words>
  <Characters>3344</Characters>
  <Application>Microsoft Office Word</Application>
  <DocSecurity>0</DocSecurity>
  <Lines>27</Lines>
  <Paragraphs>7</Paragraphs>
  <ScaleCrop>false</ScaleCrop>
  <Company>微软中国</Company>
  <LinksUpToDate>false</LinksUpToDate>
  <CharactersWithSpaces>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未定义</cp:lastModifiedBy>
  <cp:revision>7</cp:revision>
  <cp:lastPrinted>2022-10-23T01:41:00Z</cp:lastPrinted>
  <dcterms:created xsi:type="dcterms:W3CDTF">2022-10-20T07:08:00Z</dcterms:created>
  <dcterms:modified xsi:type="dcterms:W3CDTF">2022-10-23T03:13:00Z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