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20" w:lineRule="exact"/>
        <w:jc w:val="center"/>
        <w:textAlignment w:val="auto"/>
        <w:rPr>
          <w:rFonts w:hint="default" w:ascii="Times New Roman" w:hAnsi="Times New Roman" w:eastAsia="方正小标宋简体" w:cs="Times New Roman"/>
          <w:color w:val="auto"/>
          <w:sz w:val="44"/>
          <w:szCs w:val="44"/>
          <w:shd w:val="clear" w:color="auto" w:fill="FFFFFF"/>
        </w:rPr>
      </w:pPr>
      <w:bookmarkStart w:id="2" w:name="_GoBack"/>
      <w:r>
        <w:rPr>
          <w:rFonts w:hint="default" w:ascii="Times New Roman" w:hAnsi="Times New Roman" w:eastAsia="方正小标宋简体" w:cs="Times New Roman"/>
          <w:color w:val="auto"/>
          <w:sz w:val="44"/>
          <w:szCs w:val="44"/>
          <w:shd w:val="clear" w:color="auto" w:fill="FFFFFF"/>
        </w:rPr>
        <w:t>湖北通山（大幕山）抽水蓄能电站建设</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20" w:lineRule="exact"/>
        <w:jc w:val="center"/>
        <w:textAlignment w:val="auto"/>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rPr>
        <w:t>征地补偿和移民安置实施方案</w:t>
      </w:r>
    </w:p>
    <w:bookmarkEnd w:id="2"/>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20" w:lineRule="exact"/>
        <w:jc w:val="center"/>
        <w:textAlignment w:val="auto"/>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征求意见稿</w:t>
      </w:r>
      <w:r>
        <w:rPr>
          <w:rFonts w:hint="eastAsia" w:ascii="Times New Roman" w:hAnsi="Times New Roman" w:eastAsia="仿宋_GB2312" w:cs="Times New Roman"/>
          <w:color w:val="auto"/>
          <w:sz w:val="32"/>
          <w:szCs w:val="32"/>
          <w:shd w:val="clear" w:color="auto" w:fill="FFFFFF"/>
          <w:lang w:eastAsia="zh-CN"/>
        </w:rPr>
        <w:t>）</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20" w:lineRule="exact"/>
        <w:ind w:firstLine="640"/>
        <w:jc w:val="both"/>
        <w:textAlignment w:val="auto"/>
        <w:rPr>
          <w:rFonts w:hint="default" w:ascii="Times New Roman" w:hAnsi="Times New Roman" w:eastAsia="仿宋_GB2312" w:cs="Times New Roman"/>
          <w:color w:val="auto"/>
          <w:sz w:val="32"/>
          <w:szCs w:val="32"/>
          <w:shd w:val="clear" w:color="auto" w:fill="FFFFFF"/>
        </w:rPr>
      </w:pP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2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为做好湖北通山（大幕山）抽水蓄能电站建设征地和移民搬迁安置工作，根据《中华人民共和国土地管理法》《中华人民共和国城乡规划法》《中华人民共和国森林法》、《大中型水利水电工程建设征地补偿和移民安置条例》（国务院第679号令）等法律法规及《湖北省人民政府关于禁止在湖北通山抽水蓄能电站工程建设控制范围内新增建设项目及迁入人口的通告》《湖北通山（大幕山）抽水蓄能电站建设征地移民安置规划大纲》《湖北通山（大幕山）抽水蓄能电站建设征地移民安置规划报告》等有关规定，结合我县实际，制定本实施方案。</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2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黑体" w:cs="Times New Roman"/>
          <w:color w:val="auto"/>
          <w:sz w:val="32"/>
          <w:szCs w:val="32"/>
          <w:shd w:val="clear" w:color="auto" w:fill="FFFFFF"/>
        </w:rPr>
        <w:t>一、指导思想</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2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color w:val="auto"/>
          <w:sz w:val="32"/>
          <w:szCs w:val="32"/>
          <w:shd w:val="clear" w:color="auto" w:fill="FFFFFF"/>
        </w:rPr>
        <w:t>以习近平新时代中国特色社会主义思想为指导，全面贯彻落实党的二十大精神，坚持以人为本、统筹兼顾、区域一致、公开公平、严格管理的原则，在县委县政府的统一领导下，属地乡镇具体负责，坚持顾全大局，兼顾国家、集体和个人的利益，坚持移民搬迁安置与乡村振兴相结合，坚持搬迁与安置并重，快速推进移民安置点建设及移民搬迁安置工作，确保按时完成移民工作任务和实现移民“搬得出、稳得住、能发展、可致富”的目标。</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20" w:lineRule="exact"/>
        <w:ind w:firstLine="64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二、组织领导</w:t>
      </w:r>
    </w:p>
    <w:p>
      <w:pPr>
        <w:keepNext w:val="0"/>
        <w:keepLines w:val="0"/>
        <w:pageBreakBefore w:val="0"/>
        <w:widowControl w:val="0"/>
        <w:kinsoku/>
        <w:wordWrap/>
        <w:overflowPunct/>
        <w:topLinePunct/>
        <w:autoSpaceDE w:val="0"/>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抽水蓄能电站建设的征地移民工作，在上级移民主管部门的指导下，实行“县级统一领导、部门业务指导、项目公司参与、乡镇具体实施”的组织管理模式。</w:t>
      </w:r>
    </w:p>
    <w:p>
      <w:pPr>
        <w:pStyle w:val="3"/>
        <w:keepNext w:val="0"/>
        <w:keepLines w:val="0"/>
        <w:pageBreakBefore w:val="0"/>
        <w:widowControl/>
        <w:shd w:val="clear" w:color="auto" w:fill="FFFFFF"/>
        <w:kinsoku/>
        <w:wordWrap/>
        <w:overflowPunct/>
        <w:topLinePunct/>
        <w:autoSpaceDE w:val="0"/>
        <w:autoSpaceDN/>
        <w:bidi w:val="0"/>
        <w:adjustRightInd/>
        <w:snapToGrid/>
        <w:spacing w:before="0" w:beforeAutospacing="0" w:after="0" w:afterAutospacing="0" w:line="600" w:lineRule="exact"/>
        <w:ind w:firstLine="643"/>
        <w:jc w:val="both"/>
        <w:textAlignment w:val="auto"/>
        <w:rPr>
          <w:rFonts w:hint="default" w:ascii="Times New Roman" w:hAnsi="Times New Roman" w:eastAsia="微软雅黑" w:cs="Times New Roman"/>
          <w:color w:val="auto"/>
          <w:sz w:val="32"/>
          <w:szCs w:val="32"/>
        </w:rPr>
      </w:pPr>
      <w:r>
        <w:rPr>
          <w:rFonts w:hint="default" w:ascii="Times New Roman" w:hAnsi="Times New Roman" w:eastAsia="楷体_GB2312" w:cs="Times New Roman"/>
          <w:b/>
          <w:color w:val="auto"/>
          <w:sz w:val="32"/>
          <w:szCs w:val="32"/>
          <w:shd w:val="clear" w:color="auto" w:fill="FFFFFF"/>
        </w:rPr>
        <w:t>（一）县大幕山抽水蓄能电站建设指挥部职责。</w:t>
      </w:r>
    </w:p>
    <w:p>
      <w:pPr>
        <w:keepNext w:val="0"/>
        <w:keepLines w:val="0"/>
        <w:pageBreakBefore w:val="0"/>
        <w:widowControl/>
        <w:shd w:val="clear" w:color="auto" w:fill="FFFFFF"/>
        <w:kinsoku/>
        <w:wordWrap/>
        <w:overflowPunct/>
        <w:topLinePunct/>
        <w:autoSpaceDE w:val="0"/>
        <w:autoSpaceDN/>
        <w:bidi w:val="0"/>
        <w:adjustRightInd/>
        <w:snapToGrid/>
        <w:spacing w:line="600" w:lineRule="exact"/>
        <w:ind w:firstLine="640"/>
        <w:textAlignment w:val="auto"/>
        <w:rPr>
          <w:rFonts w:hint="default" w:ascii="Times New Roman" w:hAnsi="Times New Roman" w:eastAsia="微软雅黑"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在县政府的统一领导下，负责全面统筹协调移民搬迁安置的各项工作，指导部门和乡（镇）做好相关政策的解答等。</w:t>
      </w:r>
    </w:p>
    <w:p>
      <w:pPr>
        <w:keepNext w:val="0"/>
        <w:keepLines w:val="0"/>
        <w:pageBreakBefore w:val="0"/>
        <w:widowControl/>
        <w:shd w:val="clear" w:color="auto" w:fill="FFFFFF"/>
        <w:kinsoku/>
        <w:wordWrap/>
        <w:overflowPunct/>
        <w:topLinePunct/>
        <w:autoSpaceDE w:val="0"/>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1.负责建设征地移民安置工作的组织、检查、指导和协调；</w:t>
      </w:r>
    </w:p>
    <w:p>
      <w:pPr>
        <w:keepNext w:val="0"/>
        <w:keepLines w:val="0"/>
        <w:pageBreakBefore w:val="0"/>
        <w:widowControl/>
        <w:shd w:val="clear" w:color="auto" w:fill="FFFFFF"/>
        <w:kinsoku/>
        <w:wordWrap/>
        <w:overflowPunct/>
        <w:topLinePunct/>
        <w:autoSpaceDE w:val="0"/>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2.及时组织召开相关协调会议，解决建设征地移民安置实施中遇到的困难和问题，保证各项工作顺利开展；</w:t>
      </w:r>
    </w:p>
    <w:p>
      <w:pPr>
        <w:keepNext w:val="0"/>
        <w:keepLines w:val="0"/>
        <w:pageBreakBefore w:val="0"/>
        <w:widowControl/>
        <w:shd w:val="clear" w:color="auto" w:fill="FFFFFF"/>
        <w:kinsoku/>
        <w:wordWrap/>
        <w:overflowPunct/>
        <w:topLinePunct/>
        <w:autoSpaceDE w:val="0"/>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3.对移民搬迁各项工作进行督查、指导和调度，督导相关单位及时拨付工作经费和建设资金； </w:t>
      </w:r>
    </w:p>
    <w:p>
      <w:pPr>
        <w:keepNext w:val="0"/>
        <w:keepLines w:val="0"/>
        <w:pageBreakBefore w:val="0"/>
        <w:widowControl/>
        <w:shd w:val="clear" w:color="auto" w:fill="FFFFFF"/>
        <w:kinsoku/>
        <w:wordWrap/>
        <w:overflowPunct/>
        <w:topLinePunct/>
        <w:autoSpaceDE w:val="0"/>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4.定期督导各单位工作，对先进的单位和个人进行表彰奖励，对落后的进行通报批评。</w:t>
      </w:r>
    </w:p>
    <w:p>
      <w:pPr>
        <w:pStyle w:val="3"/>
        <w:keepNext w:val="0"/>
        <w:keepLines w:val="0"/>
        <w:pageBreakBefore w:val="0"/>
        <w:widowControl/>
        <w:shd w:val="clear" w:color="auto" w:fill="FFFFFF"/>
        <w:kinsoku/>
        <w:wordWrap/>
        <w:overflowPunct/>
        <w:topLinePunct/>
        <w:autoSpaceDE w:val="0"/>
        <w:autoSpaceDN/>
        <w:bidi w:val="0"/>
        <w:adjustRightInd/>
        <w:snapToGrid/>
        <w:spacing w:before="0" w:beforeAutospacing="0" w:after="0" w:afterAutospacing="0" w:line="60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（二）湖北通山抽水蓄能有限公司职责。</w:t>
      </w:r>
    </w:p>
    <w:p>
      <w:pPr>
        <w:keepNext w:val="0"/>
        <w:keepLines w:val="0"/>
        <w:pageBreakBefore w:val="0"/>
        <w:widowControl/>
        <w:shd w:val="clear" w:color="auto" w:fill="FFFFFF"/>
        <w:kinsoku/>
        <w:wordWrap/>
        <w:overflowPunct/>
        <w:topLinePunct/>
        <w:autoSpaceDE w:val="0"/>
        <w:autoSpaceDN/>
        <w:bidi w:val="0"/>
        <w:adjustRightInd/>
        <w:snapToGrid/>
        <w:spacing w:line="60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1.参与有关政策制定的起草、政策解释、培训及宣传动员工作； </w:t>
      </w:r>
    </w:p>
    <w:p>
      <w:pPr>
        <w:keepNext w:val="0"/>
        <w:keepLines w:val="0"/>
        <w:pageBreakBefore w:val="0"/>
        <w:widowControl/>
        <w:shd w:val="clear" w:color="auto" w:fill="FFFFFF"/>
        <w:kinsoku/>
        <w:wordWrap/>
        <w:overflowPunct/>
        <w:topLinePunct/>
        <w:autoSpaceDE w:val="0"/>
        <w:autoSpaceDN/>
        <w:bidi w:val="0"/>
        <w:adjustRightInd/>
        <w:snapToGrid/>
        <w:spacing w:line="60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2.负责协调中南勘测设计研究院提供实物指标调查成果数据；</w:t>
      </w:r>
    </w:p>
    <w:p>
      <w:pPr>
        <w:keepNext w:val="0"/>
        <w:keepLines w:val="0"/>
        <w:pageBreakBefore w:val="0"/>
        <w:widowControl/>
        <w:shd w:val="clear" w:color="auto" w:fill="FFFFFF"/>
        <w:kinsoku/>
        <w:wordWrap/>
        <w:overflowPunct/>
        <w:topLinePunct/>
        <w:autoSpaceDE w:val="0"/>
        <w:autoSpaceDN/>
        <w:bidi w:val="0"/>
        <w:adjustRightInd/>
        <w:snapToGrid/>
        <w:spacing w:line="60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3.根据移民安置年度计划和移民安置实施进度，及时支付征地补偿和移民安置资金；</w:t>
      </w:r>
    </w:p>
    <w:p>
      <w:pPr>
        <w:keepNext w:val="0"/>
        <w:keepLines w:val="0"/>
        <w:pageBreakBefore w:val="0"/>
        <w:widowControl/>
        <w:shd w:val="clear" w:color="auto" w:fill="FFFFFF"/>
        <w:kinsoku/>
        <w:wordWrap/>
        <w:overflowPunct/>
        <w:topLinePunct/>
        <w:autoSpaceDE w:val="0"/>
        <w:autoSpaceDN/>
        <w:bidi w:val="0"/>
        <w:adjustRightInd/>
        <w:snapToGrid/>
        <w:spacing w:line="60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4.参与指挥部组织的移民工程招标、工程验收等相关工作；</w:t>
      </w:r>
    </w:p>
    <w:p>
      <w:pPr>
        <w:keepNext w:val="0"/>
        <w:keepLines w:val="0"/>
        <w:pageBreakBefore w:val="0"/>
        <w:widowControl/>
        <w:shd w:val="clear" w:color="auto" w:fill="FFFFFF"/>
        <w:kinsoku/>
        <w:wordWrap/>
        <w:overflowPunct/>
        <w:topLinePunct/>
        <w:autoSpaceDE w:val="0"/>
        <w:autoSpaceDN/>
        <w:bidi w:val="0"/>
        <w:adjustRightInd/>
        <w:snapToGrid/>
        <w:spacing w:line="60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5.配合开展库底清理验收、各阶段移民验收和移民工程专项验收；</w:t>
      </w:r>
    </w:p>
    <w:p>
      <w:pPr>
        <w:pStyle w:val="3"/>
        <w:keepNext w:val="0"/>
        <w:keepLines w:val="0"/>
        <w:pageBreakBefore w:val="0"/>
        <w:widowControl/>
        <w:shd w:val="clear" w:color="auto" w:fill="FFFFFF"/>
        <w:kinsoku/>
        <w:wordWrap/>
        <w:overflowPunct/>
        <w:topLinePunct/>
        <w:autoSpaceDE w:val="0"/>
        <w:autoSpaceDN/>
        <w:bidi w:val="0"/>
        <w:adjustRightInd/>
        <w:snapToGrid/>
        <w:spacing w:before="0" w:beforeAutospacing="0" w:after="0" w:afterAutospacing="0" w:line="60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6.负责按《规划报告》确定的原则和适用标准缴纳被征地农民养老保险金；</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7．完成服务保障征地和移民安置的其他工作。</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（三）黄沙铺镇职责。</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1.负责做好移民搬迁宣传发动、教育引导工作，动员移民积极搬迁、主动搬迁；</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2.负责搬迁前的移民安全教育，提高移民安全意识，确保不发生安全事故；</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3.负责做好移民土地征收征用和房屋搬迁补偿等协议签订、房屋拆除、资金兑付及安置工作；</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4.负责做好征地移民信访稳定工作，及时协调、解决好各类矛盾纠纷；</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5.负责按时完成坟墓搬迁和墓地规划、基础设施设计、配套建设工作；</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6.负责</w:t>
      </w:r>
      <w:r>
        <w:rPr>
          <w:rFonts w:hint="eastAsia" w:ascii="Times New Roman" w:hAnsi="Times New Roman" w:eastAsia="仿宋_GB2312" w:cs="Times New Roman"/>
          <w:color w:val="auto"/>
          <w:kern w:val="0"/>
          <w:sz w:val="32"/>
          <w:szCs w:val="32"/>
          <w:u w:val="none"/>
          <w:shd w:val="clear" w:color="auto" w:fill="FFFFFF"/>
          <w:lang w:val="en-US" w:eastAsia="zh-CN" w:bidi="ar"/>
        </w:rPr>
        <w:t>组织</w:t>
      </w:r>
      <w:r>
        <w:rPr>
          <w:rFonts w:hint="default" w:ascii="Times New Roman" w:hAnsi="Times New Roman" w:eastAsia="仿宋_GB2312" w:cs="Times New Roman"/>
          <w:color w:val="auto"/>
          <w:kern w:val="0"/>
          <w:sz w:val="32"/>
          <w:szCs w:val="32"/>
          <w:shd w:val="clear" w:color="auto" w:fill="FFFFFF"/>
          <w:lang w:bidi="ar"/>
        </w:rPr>
        <w:t>对移民干部进行业务培训和移民技能培训；</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7.根据审批的移民安置规划，负责组织实施电站建设涉及的土地和房屋征收补偿、移民安置点建设、库底清理等工作，及时协调、解决建设征地移民工作中出现的问题，收集汇总移民搬迁工作的具体情况，做好移民档案收集、整理、归集，按期完成征地移民安置及协调工作；</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8.牵头制定移民突发事件应急管理预案，遇到突发事件及时启动执行，确保工程建设的顺利实施；</w:t>
      </w:r>
    </w:p>
    <w:p>
      <w:pPr>
        <w:keepNext w:val="0"/>
        <w:keepLines w:val="0"/>
        <w:pageBreakBefore w:val="0"/>
        <w:widowControl w:val="0"/>
        <w:shd w:val="clear" w:color="auto" w:fill="FFFFFF"/>
        <w:kinsoku/>
        <w:wordWrap/>
        <w:overflowPunct/>
        <w:topLinePunct/>
        <w:autoSpaceDE w:val="0"/>
        <w:autoSpaceDN/>
        <w:bidi w:val="0"/>
        <w:adjustRightInd/>
        <w:snapToGrid/>
        <w:spacing w:line="580" w:lineRule="exact"/>
        <w:ind w:firstLine="64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9.负责专户专账管理和使用建设征地和移民专项资金，按照包干协议的约定及政策管理使用移民资金，定期向县人民政府及移民管理机构报告并向项目公司通报有关资金的拨付、使用和管理情况。配合项目公司做好涉及建设征地移民安置工作的各项审计、监察、监督、检查验收工作。全部工作结束后，负责及时编制完成征地移民安置工程竣工决算，并接受第三方审计；</w:t>
      </w:r>
    </w:p>
    <w:p>
      <w:pPr>
        <w:keepNext w:val="0"/>
        <w:keepLines w:val="0"/>
        <w:pageBreakBefore w:val="0"/>
        <w:widowControl w:val="0"/>
        <w:shd w:val="clear" w:color="auto" w:fill="FFFFFF"/>
        <w:kinsoku/>
        <w:wordWrap/>
        <w:overflowPunct/>
        <w:topLinePunct/>
        <w:autoSpaceDE w:val="0"/>
        <w:autoSpaceDN/>
        <w:bidi w:val="0"/>
        <w:adjustRightInd/>
        <w:snapToGrid/>
        <w:spacing w:line="580" w:lineRule="exact"/>
        <w:ind w:firstLine="640"/>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eastAsia" w:ascii="Times New Roman" w:hAnsi="Times New Roman" w:eastAsia="仿宋_GB2312" w:cs="Times New Roman"/>
          <w:color w:val="auto"/>
          <w:kern w:val="0"/>
          <w:sz w:val="32"/>
          <w:szCs w:val="32"/>
          <w:shd w:val="clear" w:color="auto" w:fill="FFFFFF"/>
          <w:lang w:val="en-US" w:eastAsia="zh-CN" w:bidi="ar"/>
        </w:rPr>
        <w:t>10.负责通过一户一卡的方式由银行向移民发放补偿补助费用；</w:t>
      </w:r>
    </w:p>
    <w:p>
      <w:pPr>
        <w:keepNext w:val="0"/>
        <w:keepLines w:val="0"/>
        <w:pageBreakBefore w:val="0"/>
        <w:widowControl w:val="0"/>
        <w:shd w:val="clear" w:color="auto" w:fill="FFFFFF"/>
        <w:kinsoku/>
        <w:wordWrap/>
        <w:overflowPunct/>
        <w:topLinePunct/>
        <w:autoSpaceDE w:val="0"/>
        <w:autoSpaceDN/>
        <w:bidi w:val="0"/>
        <w:adjustRightInd/>
        <w:snapToGrid/>
        <w:spacing w:line="580" w:lineRule="exact"/>
        <w:ind w:firstLine="64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1</w:t>
      </w:r>
      <w:r>
        <w:rPr>
          <w:rFonts w:hint="eastAsia" w:ascii="Times New Roman" w:hAnsi="Times New Roman" w:eastAsia="仿宋_GB2312" w:cs="Times New Roman"/>
          <w:color w:val="auto"/>
          <w:kern w:val="0"/>
          <w:sz w:val="32"/>
          <w:szCs w:val="32"/>
          <w:shd w:val="clear" w:color="auto" w:fill="FFFFFF"/>
          <w:lang w:val="en-US" w:eastAsia="zh-CN" w:bidi="ar"/>
        </w:rPr>
        <w:t>1</w:t>
      </w:r>
      <w:r>
        <w:rPr>
          <w:rFonts w:hint="default" w:ascii="Times New Roman" w:hAnsi="Times New Roman" w:eastAsia="仿宋_GB2312" w:cs="Times New Roman"/>
          <w:color w:val="auto"/>
          <w:kern w:val="0"/>
          <w:sz w:val="32"/>
          <w:szCs w:val="32"/>
          <w:shd w:val="clear" w:color="auto" w:fill="FFFFFF"/>
          <w:lang w:bidi="ar"/>
        </w:rPr>
        <w:t>.完成县指挥部安排的其他征地移民相关工作。</w:t>
      </w:r>
    </w:p>
    <w:p>
      <w:pPr>
        <w:keepNext w:val="0"/>
        <w:keepLines w:val="0"/>
        <w:pageBreakBefore w:val="0"/>
        <w:widowControl w:val="0"/>
        <w:shd w:val="clear" w:color="auto" w:fill="FFFFFF"/>
        <w:kinsoku/>
        <w:wordWrap/>
        <w:overflowPunct/>
        <w:topLinePunct/>
        <w:autoSpaceDE w:val="0"/>
        <w:autoSpaceDN/>
        <w:bidi w:val="0"/>
        <w:adjustRightInd/>
        <w:snapToGrid/>
        <w:spacing w:line="580" w:lineRule="exact"/>
        <w:ind w:firstLine="640"/>
        <w:textAlignment w:val="auto"/>
        <w:rPr>
          <w:rFonts w:hint="default" w:ascii="Times New Roman" w:hAnsi="Times New Roman" w:eastAsia="仿宋_GB2312" w:cs="Times New Roman"/>
          <w:color w:val="auto"/>
          <w:kern w:val="0"/>
          <w:sz w:val="32"/>
          <w:szCs w:val="32"/>
          <w:shd w:val="clear" w:color="auto" w:fill="FFFFFF"/>
          <w:lang w:val="en-US" w:eastAsia="zh-CN" w:bidi="ar"/>
        </w:rPr>
      </w:pP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（四）县直相关部门职责。</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主要包括县发改局、财政局、公安局、应急管理局、自然资源和规划局、水利和湖泊局、交通局、林业局、农业农村局、市生态环境局通山县分局、人社局、文旅局、住建局、</w:t>
      </w:r>
      <w:r>
        <w:rPr>
          <w:rFonts w:hint="eastAsia" w:ascii="Times New Roman" w:hAnsi="Times New Roman" w:eastAsia="仿宋_GB2312" w:cs="Times New Roman"/>
          <w:color w:val="auto"/>
          <w:sz w:val="32"/>
          <w:szCs w:val="32"/>
          <w:shd w:val="clear" w:color="auto" w:fill="FFFFFF"/>
          <w:lang w:eastAsia="zh-CN"/>
        </w:rPr>
        <w:t>城投公司、</w:t>
      </w:r>
      <w:r>
        <w:rPr>
          <w:rFonts w:hint="default" w:ascii="Times New Roman" w:hAnsi="Times New Roman" w:eastAsia="仿宋_GB2312" w:cs="Times New Roman"/>
          <w:color w:val="auto"/>
          <w:sz w:val="32"/>
          <w:szCs w:val="32"/>
          <w:shd w:val="clear" w:color="auto" w:fill="FFFFFF"/>
        </w:rPr>
        <w:t>供电公司、移动公司、联通公司、电信公司、铁塔公司</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u w:val="none"/>
          <w:shd w:val="clear" w:color="auto" w:fill="FFFFFF"/>
          <w:lang w:val="en-US" w:eastAsia="zh-CN"/>
        </w:rPr>
        <w:t>楚天视讯公司</w:t>
      </w:r>
      <w:r>
        <w:rPr>
          <w:rFonts w:hint="default" w:ascii="Times New Roman" w:hAnsi="Times New Roman" w:eastAsia="仿宋_GB2312" w:cs="Times New Roman"/>
          <w:color w:val="auto"/>
          <w:sz w:val="32"/>
          <w:szCs w:val="32"/>
          <w:shd w:val="clear" w:color="auto" w:fill="FFFFFF"/>
        </w:rPr>
        <w:t>等单位。</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1.根据各自职能，完成好服务电站建设征地和移民安置的各项任务，负责配套相关政策到位；</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2.指导乡镇做好征地移民安置工作；</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3.配合完成所属专业项目复建及补偿工作。</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lang w:bidi="ar"/>
        </w:rPr>
        <w:t>4.县财政局负责建设征地和移民安置专户的管理和移民资金的调度拨付。</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sz w:val="32"/>
          <w:szCs w:val="32"/>
          <w:shd w:val="clear" w:color="auto" w:fill="FFFFFF"/>
        </w:rPr>
        <w:t>三、主要工作任务</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（一）农村部分。</w:t>
      </w:r>
      <w:r>
        <w:rPr>
          <w:rFonts w:hint="default" w:ascii="Times New Roman" w:hAnsi="Times New Roman" w:eastAsia="仿宋_GB2312" w:cs="Times New Roman"/>
          <w:color w:val="auto"/>
          <w:sz w:val="32"/>
          <w:szCs w:val="32"/>
          <w:shd w:val="clear" w:color="auto" w:fill="FFFFFF"/>
          <w:lang w:bidi="ar"/>
        </w:rPr>
        <w:t>通山(大幕山)抽水蓄能电站建设征地涉及咸宁市通山县1个镇1个国有林场3个行政村11个村民小组。征地总面积为3594.27亩，永久占地1660.46亩，临时用地733.24亩；水库淹没影响区涉及土地面积1200.57亩；规划水平年生产安置人口428人，搬迁安置人口121户444人。涉及房屋面积30312.95m</w:t>
      </w:r>
      <w:r>
        <w:rPr>
          <w:rFonts w:hint="default" w:ascii="Times New Roman" w:hAnsi="Times New Roman" w:eastAsia="仿宋_GB2312" w:cs="Times New Roman"/>
          <w:color w:val="auto"/>
          <w:sz w:val="32"/>
          <w:szCs w:val="32"/>
          <w:shd w:val="clear" w:color="auto" w:fill="FFFFFF"/>
          <w:vertAlign w:val="superscript"/>
          <w:lang w:bidi="ar"/>
        </w:rPr>
        <w:t>2</w:t>
      </w:r>
      <w:r>
        <w:rPr>
          <w:rFonts w:hint="default" w:ascii="Times New Roman" w:hAnsi="Times New Roman" w:eastAsia="仿宋_GB2312" w:cs="Times New Roman"/>
          <w:color w:val="auto"/>
          <w:sz w:val="32"/>
          <w:szCs w:val="32"/>
          <w:shd w:val="clear" w:color="auto" w:fill="FFFFFF"/>
          <w:lang w:bidi="ar"/>
        </w:rPr>
        <w:t>。农村小型专项包括</w:t>
      </w:r>
      <w:r>
        <w:rPr>
          <w:rFonts w:hint="default" w:ascii="Times New Roman" w:hAnsi="Times New Roman" w:eastAsia="仿宋_GB2312" w:cs="Times New Roman"/>
          <w:color w:val="auto"/>
          <w:sz w:val="32"/>
          <w:szCs w:val="32"/>
          <w:shd w:val="clear" w:color="auto" w:fill="FFFFFF"/>
          <w:lang w:val="zh-CN" w:bidi="ar"/>
        </w:rPr>
        <w:t>水池132.54 m</w:t>
      </w:r>
      <w:r>
        <w:rPr>
          <w:rFonts w:hint="default" w:ascii="Times New Roman" w:hAnsi="Times New Roman" w:eastAsia="仿宋_GB2312" w:cs="Times New Roman"/>
          <w:color w:val="auto"/>
          <w:sz w:val="32"/>
          <w:szCs w:val="32"/>
          <w:shd w:val="clear" w:color="auto" w:fill="FFFFFF"/>
          <w:vertAlign w:val="superscript"/>
          <w:lang w:val="zh-CN" w:bidi="ar"/>
        </w:rPr>
        <w:t>3</w:t>
      </w:r>
      <w:r>
        <w:rPr>
          <w:rFonts w:hint="default" w:ascii="Times New Roman" w:hAnsi="Times New Roman" w:eastAsia="仿宋_GB2312" w:cs="Times New Roman"/>
          <w:color w:val="auto"/>
          <w:sz w:val="32"/>
          <w:szCs w:val="32"/>
          <w:shd w:val="clear" w:color="auto" w:fill="FFFFFF"/>
          <w:lang w:val="zh-CN" w:bidi="ar"/>
        </w:rPr>
        <w:t>，供水管线10.82km，灌溉渠道1.5km，排洪管344.3m，拦水坝21m，机耕道3.33km，人行道5.49km，人行桥6座。涉及坟墓1584冢。涉及个体工商户3户。</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（二）专业项目。</w:t>
      </w:r>
      <w:bookmarkStart w:id="0" w:name="_Hlk110088620"/>
      <w:r>
        <w:rPr>
          <w:rFonts w:hint="default" w:ascii="Times New Roman" w:hAnsi="Times New Roman" w:eastAsia="仿宋_GB2312" w:cs="Times New Roman"/>
          <w:color w:val="auto"/>
          <w:sz w:val="32"/>
          <w:szCs w:val="32"/>
          <w:shd w:val="clear" w:color="auto" w:fill="FFFFFF"/>
          <w:lang w:bidi="ar"/>
        </w:rPr>
        <w:t>通山(大幕山)抽水蓄能电站建设征地涉及交通设施包括汽车便道8.44km。涉及水电水利设施包括水库2座，小水电站装机1270kW，供水水池15m</w:t>
      </w:r>
      <w:r>
        <w:rPr>
          <w:rFonts w:hint="default" w:ascii="Times New Roman" w:hAnsi="Times New Roman" w:eastAsia="仿宋_GB2312" w:cs="Times New Roman"/>
          <w:color w:val="auto"/>
          <w:sz w:val="32"/>
          <w:szCs w:val="32"/>
          <w:shd w:val="clear" w:color="auto" w:fill="FFFFFF"/>
          <w:vertAlign w:val="superscript"/>
          <w:lang w:bidi="ar"/>
        </w:rPr>
        <w:t>3</w:t>
      </w:r>
      <w:r>
        <w:rPr>
          <w:rFonts w:hint="default" w:ascii="Times New Roman" w:hAnsi="Times New Roman" w:eastAsia="仿宋_GB2312" w:cs="Times New Roman"/>
          <w:color w:val="auto"/>
          <w:sz w:val="32"/>
          <w:szCs w:val="32"/>
          <w:shd w:val="clear" w:color="auto" w:fill="FFFFFF"/>
          <w:lang w:bidi="ar"/>
        </w:rPr>
        <w:t>，供水管线长3.3km。涉及电力设施包括10kV架空电力线路7回，共6.75km，10/0.4kV配电台变5台，总容量为455kVA。涉及电信、广播电视设施情况为：通信杆路4段，共5.35km，24芯光缆线路11条，共21.8km，12芯光缆线路5条，共7.8km。涉及大幕山盘龙溪漂流公司1个企业。</w:t>
      </w:r>
    </w:p>
    <w:bookmarkEnd w:id="0"/>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（三）库底清理。</w:t>
      </w:r>
      <w:r>
        <w:rPr>
          <w:rFonts w:hint="default" w:ascii="Times New Roman" w:hAnsi="Times New Roman" w:eastAsia="仿宋_GB2312" w:cs="Times New Roman"/>
          <w:color w:val="auto"/>
          <w:sz w:val="32"/>
          <w:szCs w:val="32"/>
          <w:shd w:val="clear" w:color="auto" w:fill="FFFFFF"/>
        </w:rPr>
        <w:t>分为一般清理范围和专项清理范围。一般清理中建筑物清理30958.14</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，构筑物清理包括围墙526.17</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，水池96.44 m</w:t>
      </w:r>
      <w:r>
        <w:rPr>
          <w:rFonts w:hint="default" w:ascii="Times New Roman" w:hAnsi="Times New Roman" w:eastAsia="仿宋_GB2312" w:cs="Times New Roman"/>
          <w:color w:val="auto"/>
          <w:sz w:val="32"/>
          <w:szCs w:val="32"/>
          <w:shd w:val="clear" w:color="auto" w:fill="FFFFFF"/>
          <w:vertAlign w:val="superscript"/>
        </w:rPr>
        <w:t>3</w:t>
      </w:r>
      <w:r>
        <w:rPr>
          <w:rFonts w:hint="default" w:ascii="Times New Roman" w:hAnsi="Times New Roman" w:eastAsia="仿宋_GB2312" w:cs="Times New Roman"/>
          <w:color w:val="auto"/>
          <w:sz w:val="32"/>
          <w:szCs w:val="32"/>
          <w:shd w:val="clear" w:color="auto" w:fill="FFFFFF"/>
        </w:rPr>
        <w:t xml:space="preserve">，线杆137杆，门楼3.85 </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；易漂浮物清理4375.86</w:t>
      </w:r>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m</w:t>
      </w:r>
      <w:r>
        <w:rPr>
          <w:rFonts w:hint="default" w:ascii="Times New Roman" w:hAnsi="Times New Roman" w:eastAsia="仿宋_GB2312" w:cs="Times New Roman"/>
          <w:color w:val="auto"/>
          <w:sz w:val="32"/>
          <w:szCs w:val="32"/>
          <w:shd w:val="clear" w:color="auto" w:fill="FFFFFF"/>
          <w:vertAlign w:val="superscript"/>
        </w:rPr>
        <w:t>3</w:t>
      </w:r>
      <w:r>
        <w:rPr>
          <w:rFonts w:hint="default" w:ascii="Times New Roman" w:hAnsi="Times New Roman" w:eastAsia="仿宋_GB2312" w:cs="Times New Roman"/>
          <w:color w:val="auto"/>
          <w:sz w:val="32"/>
          <w:szCs w:val="32"/>
          <w:shd w:val="clear" w:color="auto" w:fill="FFFFFF"/>
        </w:rPr>
        <w:t>；林木清理中成片林木清理824.33亩，零星树木清理1980株。</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专项清理中一般污染源涉及粪便清掏1248 m</w:t>
      </w:r>
      <w:r>
        <w:rPr>
          <w:rFonts w:hint="default" w:ascii="Times New Roman" w:hAnsi="Times New Roman" w:eastAsia="仿宋_GB2312" w:cs="Times New Roman"/>
          <w:color w:val="auto"/>
          <w:sz w:val="32"/>
          <w:szCs w:val="32"/>
          <w:shd w:val="clear" w:color="auto" w:fill="FFFFFF"/>
          <w:vertAlign w:val="superscript"/>
        </w:rPr>
        <w:t>3</w:t>
      </w:r>
      <w:r>
        <w:rPr>
          <w:rFonts w:hint="default" w:ascii="Times New Roman" w:hAnsi="Times New Roman" w:eastAsia="仿宋_GB2312" w:cs="Times New Roman"/>
          <w:color w:val="auto"/>
          <w:sz w:val="32"/>
          <w:szCs w:val="32"/>
          <w:shd w:val="clear" w:color="auto" w:fill="FFFFFF"/>
        </w:rPr>
        <w:t>，坑穴消毒832</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，坑穴覆土1248m</w:t>
      </w:r>
      <w:r>
        <w:rPr>
          <w:rFonts w:hint="default" w:ascii="Times New Roman" w:hAnsi="Times New Roman" w:eastAsia="仿宋_GB2312" w:cs="Times New Roman"/>
          <w:color w:val="auto"/>
          <w:sz w:val="32"/>
          <w:szCs w:val="32"/>
          <w:shd w:val="clear" w:color="auto" w:fill="FFFFFF"/>
          <w:vertAlign w:val="superscript"/>
        </w:rPr>
        <w:t>3</w:t>
      </w:r>
      <w:r>
        <w:rPr>
          <w:rFonts w:hint="default" w:ascii="Times New Roman" w:hAnsi="Times New Roman" w:eastAsia="仿宋_GB2312" w:cs="Times New Roman"/>
          <w:color w:val="auto"/>
          <w:sz w:val="32"/>
          <w:szCs w:val="32"/>
          <w:shd w:val="clear" w:color="auto" w:fill="FFFFFF"/>
        </w:rPr>
        <w:t>，坟墓清理1584冢，灭鼠103405.17</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黑体" w:cs="Times New Roman"/>
          <w:color w:val="auto"/>
          <w:sz w:val="32"/>
          <w:szCs w:val="32"/>
          <w:shd w:val="clear" w:color="auto" w:fill="FFFFFF"/>
        </w:rPr>
        <w:t>四、实物指标认定</w:t>
      </w:r>
    </w:p>
    <w:p>
      <w:pPr>
        <w:keepNext w:val="0"/>
        <w:keepLines w:val="0"/>
        <w:pageBreakBefore w:val="0"/>
        <w:widowControl w:val="0"/>
        <w:kinsoku/>
        <w:wordWrap/>
        <w:overflowPunct/>
        <w:topLinePunct/>
        <w:autoSpaceDE w:val="0"/>
        <w:autoSpaceDN/>
        <w:bidi w:val="0"/>
        <w:adjustRightInd/>
        <w:snapToGrid/>
        <w:ind w:firstLine="643" w:firstLineChars="200"/>
        <w:textAlignment w:val="auto"/>
        <w:rPr>
          <w:rFonts w:hint="default" w:ascii="Times New Roman" w:hAnsi="Times New Roman" w:eastAsia="楷体_GB2312" w:cs="Times New Roman"/>
          <w:b/>
          <w:color w:val="auto"/>
          <w:kern w:val="0"/>
          <w:sz w:val="32"/>
          <w:szCs w:val="32"/>
          <w:shd w:val="clear" w:color="auto" w:fill="FFFFFF"/>
        </w:rPr>
      </w:pPr>
      <w:r>
        <w:rPr>
          <w:rFonts w:hint="default" w:ascii="Times New Roman" w:hAnsi="Times New Roman" w:eastAsia="楷体_GB2312" w:cs="Times New Roman"/>
          <w:b/>
          <w:color w:val="auto"/>
          <w:kern w:val="0"/>
          <w:sz w:val="32"/>
          <w:szCs w:val="32"/>
          <w:shd w:val="clear" w:color="auto" w:fill="FFFFFF"/>
        </w:rPr>
        <w:t>（一）征地实物。</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1.封（禁）库令下达以后，封禁范围内新增实物原则上不予认可。</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u w:val="none"/>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rPr>
        <w:t>2.工程建设需征收的土地、房屋及附属建筑物、零星树</w:t>
      </w:r>
      <w:r>
        <w:rPr>
          <w:rFonts w:hint="default" w:ascii="Times New Roman" w:hAnsi="Times New Roman" w:eastAsia="仿宋_GB2312" w:cs="Times New Roman"/>
          <w:color w:val="auto"/>
          <w:spacing w:val="-4"/>
          <w:kern w:val="0"/>
          <w:sz w:val="32"/>
          <w:szCs w:val="32"/>
          <w:shd w:val="clear" w:color="auto" w:fill="FFFFFF"/>
        </w:rPr>
        <w:t>木、坟墓</w:t>
      </w:r>
      <w:r>
        <w:rPr>
          <w:rFonts w:hint="eastAsia" w:ascii="Times New Roman" w:hAnsi="Times New Roman" w:eastAsia="仿宋_GB2312" w:cs="Times New Roman"/>
          <w:color w:val="auto"/>
          <w:spacing w:val="-4"/>
          <w:kern w:val="0"/>
          <w:sz w:val="32"/>
          <w:szCs w:val="32"/>
          <w:shd w:val="clear" w:color="auto" w:fill="FFFFFF"/>
          <w:lang w:val="en-US" w:eastAsia="zh-CN"/>
        </w:rPr>
        <w:t>等</w:t>
      </w:r>
      <w:r>
        <w:rPr>
          <w:rFonts w:hint="default" w:ascii="Times New Roman" w:hAnsi="Times New Roman" w:eastAsia="仿宋_GB2312" w:cs="Times New Roman"/>
          <w:color w:val="auto"/>
          <w:spacing w:val="-4"/>
          <w:kern w:val="0"/>
          <w:sz w:val="32"/>
          <w:szCs w:val="32"/>
          <w:shd w:val="clear" w:color="auto" w:fill="FFFFFF"/>
        </w:rPr>
        <w:t>，以实物指标调查成果为依据，原则上不得随意变更。</w:t>
      </w:r>
      <w:r>
        <w:rPr>
          <w:rFonts w:hint="eastAsia" w:ascii="Times New Roman" w:hAnsi="Times New Roman" w:eastAsia="仿宋_GB2312" w:cs="Times New Roman"/>
          <w:color w:val="auto"/>
          <w:kern w:val="0"/>
          <w:sz w:val="32"/>
          <w:szCs w:val="32"/>
          <w:u w:val="none"/>
          <w:shd w:val="clear" w:color="auto" w:fill="FFFFFF"/>
          <w:lang w:val="en-US" w:eastAsia="zh-CN"/>
        </w:rPr>
        <w:t>确有错、漏的，原则上由权属人向村委会提出书面申请，经乡镇人民政府审核后，报指挥部组织复核认定。</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3.确因项目建设需要，新增用地范围内的实物指标，按以下程序和原则进行受理：</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（1）由施工单位提出用地申请，现场监理单位、业主单位审核用地需求，并将签署意见后的用地申请送至县指挥部，由业主单位负责向自然资源规划部门申请办理用地报批手续；</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2）县指挥部组织业主单位、设计单位、现场监理单位、监督评估单位、乡（镇）人民政府、村委会和申请人，按照实事求是的原则进行调查，由权属人或经营者签字认可，经属地公示和逐级确认后，作为兑现补偿的依据。</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（二）搬迁人口。</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1.农村移民搬迁人口以实物指标调查成果为主要依据，最终人口认定以移民搬迁安置补偿协议签约之日的人口数为准。</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2.搬迁安置过程中，下列人口可计为新增搬迁人口：</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（1）因工程建设需要，新增区域内符合政策需搬迁的人口；</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（2）人口调查登记后至移民搬迁安置补偿协议签约之日止，期间合法婚姻出生且户籍在搬迁范围内的人口；</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（3）其他合法新增人口。</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3.搬迁范围内的下列人口不计为移民搬迁安置人口：</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（1）国家机关、事业单位、国有企业正式在编的人口（含离退休人员）；</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（2）搬迁安置补偿协议签约之日前已死亡人员；</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（3）符合退伍退役安置条件的现役军人和已担任军官的现役军人（含已考入各类军官院校的学生）；</w:t>
      </w:r>
    </w:p>
    <w:p>
      <w:pPr>
        <w:keepNext w:val="0"/>
        <w:keepLines w:val="0"/>
        <w:pageBreakBefore w:val="0"/>
        <w:widowControl w:val="0"/>
        <w:kinsoku/>
        <w:wordWrap/>
        <w:overflowPunct/>
        <w:topLinePunct/>
        <w:autoSpaceDE w:val="0"/>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（4）“禁建令”下达后违法迁入、户籍挂靠在搬迁范围内的外来人口以及提供虚假资料骗取户籍登记的人口；</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（5）其他不应计为农村移民搬迁安置人口情形的人口。</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黑体" w:cs="Times New Roman"/>
          <w:color w:val="auto"/>
          <w:sz w:val="32"/>
          <w:szCs w:val="32"/>
          <w:shd w:val="clear" w:color="auto" w:fill="FFFFFF"/>
        </w:rPr>
        <w:t>五、移民安置</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湖北通山（大幕山）抽水蓄能电站规划设计基准年为 2022 年，规划设计水平年为 2024 年。</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生产和搬迁安置方式的选择，以移民安置意愿调查成果为依据，按照“本人申请、逐级审核、签订协议、依法公证、张榜公布”的程序确认。</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（一）生产安置。</w:t>
      </w:r>
      <w:r>
        <w:rPr>
          <w:rFonts w:hint="default" w:ascii="Times New Roman" w:hAnsi="Times New Roman" w:eastAsia="仿宋_GB2312" w:cs="Times New Roman"/>
          <w:color w:val="auto"/>
          <w:sz w:val="32"/>
          <w:szCs w:val="32"/>
          <w:shd w:val="clear" w:color="auto" w:fill="FFFFFF"/>
          <w:lang w:bidi="ar"/>
        </w:rPr>
        <w:t>电站建设征地涉及生产安置人口428人，以复合安置为主、自行安置为辅。</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b/>
          <w:color w:val="auto"/>
          <w:sz w:val="32"/>
          <w:szCs w:val="32"/>
          <w:shd w:val="clear" w:color="auto" w:fill="FFFFFF"/>
        </w:rPr>
        <w:t>1.复合安置。</w:t>
      </w:r>
      <w:r>
        <w:rPr>
          <w:rFonts w:hint="default" w:ascii="Times New Roman" w:hAnsi="Times New Roman" w:eastAsia="仿宋_GB2312" w:cs="Times New Roman"/>
          <w:color w:val="auto"/>
          <w:sz w:val="32"/>
          <w:szCs w:val="32"/>
          <w:shd w:val="clear" w:color="auto" w:fill="FFFFFF"/>
        </w:rPr>
        <w:t>复合安置对象为源头村的425人。复合安置的生产安置人口，经本人与属地乡镇政府签订安置补偿协议后，由乡镇统一按0.1亩/人标准调配耕地。</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复合安置移民人口对应的被征收土地补偿费，在剔除0.1亩调剂耕地补偿费后的余额，作为复合安置移民人口的产业发展资金。产业发展资金由集体经济组织按照民主决策程序确定用途，既可统筹用于发展农家乐等旅游配套产业或其他等同的第二三产业，也可以按规定细化到移民个人。</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3"/>
        <w:textAlignment w:val="auto"/>
        <w:rPr>
          <w:rFonts w:hint="default" w:ascii="Times New Roman" w:hAnsi="Times New Roman" w:eastAsia="微软雅黑" w:cs="Times New Roman"/>
          <w:color w:val="auto"/>
          <w:sz w:val="24"/>
        </w:rPr>
      </w:pPr>
      <w:r>
        <w:rPr>
          <w:rFonts w:hint="default" w:ascii="Times New Roman" w:hAnsi="Times New Roman" w:eastAsia="仿宋_GB2312" w:cs="Times New Roman"/>
          <w:b/>
          <w:color w:val="auto"/>
          <w:kern w:val="0"/>
          <w:sz w:val="32"/>
          <w:szCs w:val="32"/>
          <w:shd w:val="clear" w:color="auto" w:fill="FFFFFF"/>
          <w:lang w:bidi="ar"/>
        </w:rPr>
        <w:t>2.自行安置。</w:t>
      </w:r>
      <w:r>
        <w:rPr>
          <w:rFonts w:hint="default" w:ascii="Times New Roman" w:hAnsi="Times New Roman" w:eastAsia="仿宋_GB2312" w:cs="Times New Roman"/>
          <w:color w:val="auto"/>
          <w:kern w:val="0"/>
          <w:sz w:val="32"/>
          <w:szCs w:val="32"/>
          <w:shd w:val="clear" w:color="auto" w:fill="FFFFFF"/>
          <w:lang w:bidi="ar"/>
        </w:rPr>
        <w:t>自行安置3人，安置补偿标准为被征收耕园地相应的土地补偿补助费。本项目征地补偿单价执行《省人民政府关于公布实施湖北省征地区片综合地价标准的通知》（鄂政发〔2019〕22号）文件标准。</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（二）搬迁安置。</w:t>
      </w:r>
      <w:r>
        <w:rPr>
          <w:rFonts w:hint="default" w:ascii="Times New Roman" w:hAnsi="Times New Roman" w:eastAsia="仿宋_GB2312" w:cs="Times New Roman"/>
          <w:color w:val="auto"/>
          <w:sz w:val="32"/>
          <w:szCs w:val="32"/>
          <w:shd w:val="clear" w:color="auto" w:fill="FFFFFF"/>
          <w:lang w:bidi="ar"/>
        </w:rPr>
        <w:t>至规划水平年搬迁安置人口121户444人，以集中安置为主，分散安置为辅。在移民安置意愿调查成果中，集中安置116户426人、分散安置5户18人。具体搬迁安置人口按程序确认的成果实施。</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3" w:firstLineChars="200"/>
        <w:textAlignment w:val="auto"/>
        <w:rPr>
          <w:rFonts w:hint="default" w:ascii="Times New Roman" w:hAnsi="Times New Roman" w:eastAsia="微软雅黑" w:cs="Times New Roman"/>
          <w:color w:val="auto"/>
          <w:sz w:val="24"/>
        </w:rPr>
      </w:pPr>
      <w:r>
        <w:rPr>
          <w:rFonts w:hint="default" w:ascii="Times New Roman" w:hAnsi="Times New Roman" w:eastAsia="仿宋_GB2312" w:cs="Times New Roman"/>
          <w:b/>
          <w:color w:val="auto"/>
          <w:kern w:val="0"/>
          <w:sz w:val="32"/>
          <w:szCs w:val="32"/>
          <w:shd w:val="clear" w:color="auto" w:fill="FFFFFF"/>
          <w:lang w:bidi="ar"/>
        </w:rPr>
        <w:t>1.集中安置。</w:t>
      </w:r>
      <w:r>
        <w:rPr>
          <w:rFonts w:hint="default" w:ascii="Times New Roman" w:hAnsi="Times New Roman" w:eastAsia="仿宋_GB2312" w:cs="Times New Roman"/>
          <w:color w:val="auto"/>
          <w:kern w:val="0"/>
          <w:sz w:val="32"/>
          <w:szCs w:val="32"/>
          <w:shd w:val="clear" w:color="auto" w:fill="FFFFFF"/>
          <w:lang w:val="zh-CN" w:bidi="ar"/>
        </w:rPr>
        <w:t>进入</w:t>
      </w:r>
      <w:r>
        <w:rPr>
          <w:rFonts w:hint="default" w:ascii="Times New Roman" w:hAnsi="Times New Roman" w:eastAsia="仿宋_GB2312" w:cs="Times New Roman"/>
          <w:color w:val="auto"/>
          <w:kern w:val="0"/>
          <w:sz w:val="32"/>
          <w:szCs w:val="32"/>
          <w:shd w:val="clear" w:color="auto" w:fill="FFFFFF"/>
          <w:lang w:bidi="ar"/>
        </w:rPr>
        <w:t>源头新村</w:t>
      </w:r>
      <w:r>
        <w:rPr>
          <w:rFonts w:hint="default" w:ascii="Times New Roman" w:hAnsi="Times New Roman" w:eastAsia="仿宋_GB2312" w:cs="Times New Roman"/>
          <w:color w:val="auto"/>
          <w:kern w:val="0"/>
          <w:sz w:val="32"/>
          <w:szCs w:val="32"/>
          <w:shd w:val="clear" w:color="auto" w:fill="FFFFFF"/>
          <w:lang w:val="zh-CN" w:bidi="ar"/>
        </w:rPr>
        <w:t>集中居民点的规划搬迁人口为</w:t>
      </w:r>
      <w:r>
        <w:rPr>
          <w:rFonts w:hint="default" w:ascii="Times New Roman" w:hAnsi="Times New Roman" w:eastAsia="仿宋_GB2312" w:cs="Times New Roman"/>
          <w:color w:val="auto"/>
          <w:kern w:val="0"/>
          <w:sz w:val="32"/>
          <w:szCs w:val="32"/>
          <w:shd w:val="clear" w:color="auto" w:fill="FFFFFF"/>
          <w:lang w:bidi="ar"/>
        </w:rPr>
        <w:t>116</w:t>
      </w:r>
      <w:r>
        <w:rPr>
          <w:rFonts w:hint="default" w:ascii="Times New Roman" w:hAnsi="Times New Roman" w:eastAsia="仿宋_GB2312" w:cs="Times New Roman"/>
          <w:color w:val="auto"/>
          <w:kern w:val="0"/>
          <w:sz w:val="32"/>
          <w:szCs w:val="32"/>
          <w:shd w:val="clear" w:color="auto" w:fill="FFFFFF"/>
          <w:lang w:val="zh-CN" w:bidi="ar"/>
        </w:rPr>
        <w:t>户</w:t>
      </w:r>
      <w:r>
        <w:rPr>
          <w:rFonts w:hint="default" w:ascii="Times New Roman" w:hAnsi="Times New Roman" w:eastAsia="仿宋_GB2312" w:cs="Times New Roman"/>
          <w:color w:val="auto"/>
          <w:kern w:val="0"/>
          <w:sz w:val="32"/>
          <w:szCs w:val="32"/>
          <w:shd w:val="clear" w:color="auto" w:fill="FFFFFF"/>
          <w:lang w:bidi="ar"/>
        </w:rPr>
        <w:t>426</w:t>
      </w:r>
      <w:r>
        <w:rPr>
          <w:rFonts w:hint="default" w:ascii="Times New Roman" w:hAnsi="Times New Roman" w:eastAsia="仿宋_GB2312" w:cs="Times New Roman"/>
          <w:color w:val="auto"/>
          <w:kern w:val="0"/>
          <w:sz w:val="32"/>
          <w:szCs w:val="32"/>
          <w:shd w:val="clear" w:color="auto" w:fill="FFFFFF"/>
          <w:lang w:val="zh-CN" w:bidi="ar"/>
        </w:rPr>
        <w:t>人。</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微软雅黑"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（1）移民集中安置点按照“统一规划、统一设计、统一建设”的原则，开展</w:t>
      </w:r>
      <w:r>
        <w:rPr>
          <w:rFonts w:hint="eastAsia" w:ascii="Times New Roman" w:hAnsi="Times New Roman" w:eastAsia="仿宋_GB2312" w:cs="Times New Roman"/>
          <w:color w:val="auto"/>
          <w:kern w:val="0"/>
          <w:sz w:val="32"/>
          <w:szCs w:val="32"/>
          <w:shd w:val="clear" w:color="auto" w:fill="FFFFFF"/>
          <w:lang w:eastAsia="zh-CN" w:bidi="ar"/>
        </w:rPr>
        <w:t>场地统一平整及基础设施建设</w:t>
      </w:r>
      <w:r>
        <w:rPr>
          <w:rFonts w:hint="default" w:ascii="Times New Roman" w:hAnsi="Times New Roman" w:eastAsia="仿宋_GB2312" w:cs="Times New Roman"/>
          <w:color w:val="auto"/>
          <w:kern w:val="0"/>
          <w:sz w:val="32"/>
          <w:szCs w:val="32"/>
          <w:shd w:val="clear" w:color="auto" w:fill="FFFFFF"/>
          <w:lang w:bidi="ar"/>
        </w:rPr>
        <w:t>；</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（2）安置房按照“统一设计、统一风格、</w:t>
      </w:r>
      <w:r>
        <w:rPr>
          <w:rFonts w:hint="eastAsia" w:ascii="Times New Roman" w:hAnsi="Times New Roman" w:eastAsia="仿宋_GB2312" w:cs="Times New Roman"/>
          <w:color w:val="auto"/>
          <w:kern w:val="0"/>
          <w:sz w:val="32"/>
          <w:szCs w:val="32"/>
          <w:shd w:val="clear" w:color="auto" w:fill="FFFFFF"/>
          <w:lang w:val="en-US" w:eastAsia="zh-CN" w:bidi="ar"/>
        </w:rPr>
        <w:t>村民理事会统一自建</w:t>
      </w:r>
      <w:r>
        <w:rPr>
          <w:rFonts w:hint="default" w:ascii="Times New Roman" w:hAnsi="Times New Roman" w:eastAsia="仿宋_GB2312" w:cs="Times New Roman"/>
          <w:color w:val="auto"/>
          <w:kern w:val="0"/>
          <w:sz w:val="32"/>
          <w:szCs w:val="32"/>
          <w:shd w:val="clear" w:color="auto" w:fill="FFFFFF"/>
          <w:lang w:bidi="ar"/>
        </w:rPr>
        <w:t>”的原则，由安置户根据个人财产补偿情况和经济承受能力，按典型户型设计方案，</w:t>
      </w:r>
      <w:r>
        <w:rPr>
          <w:rFonts w:hint="eastAsia" w:ascii="Times New Roman" w:hAnsi="Times New Roman" w:eastAsia="仿宋_GB2312" w:cs="Times New Roman"/>
          <w:color w:val="auto"/>
          <w:kern w:val="0"/>
          <w:sz w:val="32"/>
          <w:szCs w:val="32"/>
          <w:shd w:val="clear" w:color="auto" w:fill="FFFFFF"/>
          <w:lang w:val="en-US" w:eastAsia="zh-CN" w:bidi="ar"/>
        </w:rPr>
        <w:t>根据</w:t>
      </w:r>
      <w:r>
        <w:rPr>
          <w:rFonts w:hint="default" w:ascii="Times New Roman" w:hAnsi="Times New Roman" w:eastAsia="仿宋_GB2312" w:cs="Times New Roman"/>
          <w:color w:val="auto"/>
          <w:kern w:val="0"/>
          <w:sz w:val="32"/>
          <w:szCs w:val="32"/>
          <w:shd w:val="clear" w:color="auto" w:fill="FFFFFF"/>
          <w:lang w:bidi="ar"/>
        </w:rPr>
        <w:t>安置合同约定时间完成房屋建设。为确保施工质量和安全，</w:t>
      </w:r>
      <w:r>
        <w:rPr>
          <w:rFonts w:hint="eastAsia" w:ascii="Times New Roman" w:hAnsi="Times New Roman" w:eastAsia="仿宋_GB2312" w:cs="Times New Roman"/>
          <w:color w:val="auto"/>
          <w:kern w:val="0"/>
          <w:sz w:val="32"/>
          <w:szCs w:val="32"/>
          <w:shd w:val="clear" w:color="auto" w:fill="FFFFFF"/>
          <w:lang w:val="en-US" w:eastAsia="zh-CN" w:bidi="ar"/>
        </w:rPr>
        <w:t>村民理事会</w:t>
      </w:r>
      <w:r>
        <w:rPr>
          <w:rFonts w:hint="default" w:ascii="Times New Roman" w:hAnsi="Times New Roman" w:eastAsia="仿宋_GB2312" w:cs="Times New Roman"/>
          <w:color w:val="auto"/>
          <w:kern w:val="0"/>
          <w:sz w:val="32"/>
          <w:szCs w:val="32"/>
          <w:shd w:val="clear" w:color="auto" w:fill="FFFFFF"/>
          <w:lang w:bidi="ar"/>
        </w:rPr>
        <w:t>选择具有正规施工资质的建筑企业承建安置房；</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微软雅黑"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3）安置房地基选择实行“先签、先拆、先建、先选”，即按照房屋征收补偿合同的签约顺序，先签约并腾空房屋交付拆除、先开展安置房建设的，优先选择宅基地。同时签约的，先腾空房屋交付拆除的先选，同时交付拆除的，先建安置房的先选；</w:t>
      </w:r>
    </w:p>
    <w:p>
      <w:pPr>
        <w:keepNext w:val="0"/>
        <w:keepLines w:val="0"/>
        <w:pageBreakBefore w:val="0"/>
        <w:widowControl w:val="0"/>
        <w:shd w:val="clear" w:color="auto" w:fill="FFFFFF"/>
        <w:kinsoku/>
        <w:wordWrap/>
        <w:overflowPunct/>
        <w:topLinePunct/>
        <w:autoSpaceDE w:val="0"/>
        <w:autoSpaceDN/>
        <w:bidi w:val="0"/>
        <w:adjustRightInd/>
        <w:snapToGrid/>
        <w:spacing w:line="540" w:lineRule="exact"/>
        <w:ind w:firstLine="640"/>
        <w:textAlignment w:val="auto"/>
        <w:rPr>
          <w:rFonts w:hint="default" w:ascii="Times New Roman" w:hAnsi="Times New Roman" w:eastAsia="微软雅黑"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（4）安置点宅基地不得转让、买卖。</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b/>
          <w:color w:val="auto"/>
          <w:sz w:val="32"/>
          <w:szCs w:val="32"/>
          <w:shd w:val="clear" w:color="auto" w:fill="FFFFFF"/>
        </w:rPr>
        <w:t>2.分散安置。</w:t>
      </w:r>
      <w:r>
        <w:rPr>
          <w:rFonts w:hint="default" w:ascii="Times New Roman" w:hAnsi="Times New Roman" w:eastAsia="仿宋_GB2312" w:cs="Times New Roman"/>
          <w:color w:val="auto"/>
          <w:sz w:val="32"/>
          <w:szCs w:val="32"/>
          <w:shd w:val="clear" w:color="auto" w:fill="FFFFFF"/>
        </w:rPr>
        <w:t>分散安置5户18人。选择分散安置并领取分散安置补助费的，其安置宅基地及配套基础设施建设由安置户自行解决。</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黑体" w:cs="Times New Roman"/>
          <w:color w:val="auto"/>
          <w:sz w:val="32"/>
          <w:szCs w:val="32"/>
          <w:shd w:val="clear" w:color="auto" w:fill="FFFFFF"/>
        </w:rPr>
        <w:t>六、补偿标准</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4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（一）土地补偿标准。</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b/>
          <w:color w:val="auto"/>
          <w:sz w:val="32"/>
          <w:szCs w:val="32"/>
          <w:shd w:val="clear" w:color="auto" w:fill="FFFFFF"/>
        </w:rPr>
        <w:t>1.永久征地。</w:t>
      </w:r>
      <w:r>
        <w:rPr>
          <w:rFonts w:hint="default" w:ascii="Times New Roman" w:hAnsi="Times New Roman" w:eastAsia="仿宋_GB2312" w:cs="Times New Roman"/>
          <w:color w:val="auto"/>
          <w:sz w:val="32"/>
          <w:szCs w:val="32"/>
          <w:shd w:val="clear" w:color="auto" w:fill="FFFFFF"/>
        </w:rPr>
        <w:t>根据《省人民政府关于公布实施湖北省征地区片综合地价标准的通知》（鄂政发〔2019〕22 号）的文件精神，湖北省咸宁市通山县黄沙铺镇晨光村、中通村位于区片级别Ⅱ类地区，征地区片综合地价为40300元/亩；黄沙铺镇源头村、柏树村、大幕山村、大幕山林场位于区片级别Ⅲ类地区，征地区片综合地价为38500元/亩。</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b/>
          <w:color w:val="auto"/>
          <w:sz w:val="32"/>
          <w:szCs w:val="32"/>
          <w:shd w:val="clear" w:color="auto" w:fill="FFFFFF"/>
        </w:rPr>
        <w:t>2.临时用地。</w:t>
      </w:r>
      <w:r>
        <w:rPr>
          <w:rFonts w:hint="default" w:ascii="Times New Roman" w:hAnsi="Times New Roman" w:eastAsia="仿宋_GB2312" w:cs="Times New Roman"/>
          <w:color w:val="auto"/>
          <w:sz w:val="32"/>
          <w:szCs w:val="32"/>
          <w:shd w:val="clear" w:color="auto" w:fill="FFFFFF"/>
          <w:lang w:bidi="ar"/>
        </w:rPr>
        <w:t>征用土地补偿单价=年亩产值×用地年限+每亩复垦工程费用+每亩土地恢复期补助费。</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color w:val="auto"/>
          <w:sz w:val="32"/>
          <w:szCs w:val="32"/>
          <w:shd w:val="clear" w:color="auto" w:fill="FFFFFF"/>
          <w:lang w:bidi="ar"/>
        </w:rPr>
        <w:t>土地恢复期补助按1年亩产值计列，黄沙铺镇晨光村年产值1850/亩，黄沙铺镇源头村、柏树村1750/亩。</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b/>
          <w:color w:val="auto"/>
          <w:sz w:val="32"/>
          <w:szCs w:val="32"/>
          <w:shd w:val="clear" w:color="auto" w:fill="FFFFFF"/>
        </w:rPr>
        <w:t>3.青苗补偿。</w:t>
      </w:r>
      <w:bookmarkStart w:id="1" w:name="_Hlk103884020"/>
      <w:r>
        <w:rPr>
          <w:rFonts w:hint="default" w:ascii="Times New Roman" w:hAnsi="Times New Roman" w:eastAsia="仿宋_GB2312" w:cs="Times New Roman"/>
          <w:color w:val="auto"/>
          <w:sz w:val="32"/>
          <w:szCs w:val="32"/>
          <w:shd w:val="clear" w:color="auto" w:fill="FFFFFF"/>
          <w:lang w:bidi="ar"/>
        </w:rPr>
        <w:t>青苗补偿参照《湖北省咸宁市人民政府办公室关于公布咸宁市被征收土地地上附着物和青苗补偿标准的通知》(咸政办函〔2021〕9号)补偿标准政策文件确定，黄沙铺镇晨光村、中通村为1850元/亩，</w:t>
      </w:r>
      <w:r>
        <w:rPr>
          <w:rFonts w:hint="default" w:ascii="Times New Roman" w:hAnsi="Times New Roman" w:eastAsia="仿宋_GB2312" w:cs="Times New Roman"/>
          <w:color w:val="auto"/>
          <w:sz w:val="32"/>
          <w:szCs w:val="32"/>
          <w:shd w:val="clear" w:color="auto" w:fill="FFFFFF"/>
        </w:rPr>
        <w:t>源头村、柏树村、大幕山村、大幕山林场</w:t>
      </w:r>
      <w:r>
        <w:rPr>
          <w:rFonts w:hint="default" w:ascii="Times New Roman" w:hAnsi="Times New Roman" w:eastAsia="仿宋_GB2312" w:cs="Times New Roman"/>
          <w:color w:val="auto"/>
          <w:sz w:val="32"/>
          <w:szCs w:val="32"/>
          <w:shd w:val="clear" w:color="auto" w:fill="FFFFFF"/>
          <w:lang w:bidi="ar"/>
        </w:rPr>
        <w:t>为1750元/亩。</w:t>
      </w:r>
    </w:p>
    <w:bookmarkEnd w:id="1"/>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b/>
          <w:color w:val="auto"/>
          <w:sz w:val="32"/>
          <w:szCs w:val="32"/>
          <w:shd w:val="clear" w:color="auto" w:fill="FFFFFF"/>
        </w:rPr>
        <w:t>4.林木补偿。</w:t>
      </w:r>
      <w:r>
        <w:rPr>
          <w:rFonts w:hint="default" w:ascii="Times New Roman" w:hAnsi="Times New Roman" w:eastAsia="仿宋_GB2312" w:cs="Times New Roman"/>
          <w:color w:val="auto"/>
          <w:sz w:val="32"/>
          <w:szCs w:val="32"/>
          <w:shd w:val="clear" w:color="auto" w:fill="FFFFFF"/>
        </w:rPr>
        <w:t>乔木林地7380元/亩、灌木林地2450元/亩、竹林地7600元/亩、油茶园林7700元/亩、果园林木10100元/亩。</w:t>
      </w:r>
    </w:p>
    <w:p>
      <w:pPr>
        <w:pStyle w:val="3"/>
        <w:keepNext w:val="0"/>
        <w:keepLines w:val="0"/>
        <w:pageBreakBefore w:val="0"/>
        <w:widowControl w:val="0"/>
        <w:shd w:val="clear" w:color="auto" w:fill="FFFFFF"/>
        <w:kinsoku/>
        <w:wordWrap/>
        <w:overflowPunct/>
        <w:topLinePunct/>
        <w:autoSpaceDE w:val="0"/>
        <w:autoSpaceDN/>
        <w:bidi w:val="0"/>
        <w:adjustRightInd/>
        <w:snapToGrid/>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（二）房屋及附属构筑物补偿、装修补助。</w:t>
      </w:r>
      <w:r>
        <w:rPr>
          <w:rFonts w:hint="default" w:ascii="Times New Roman" w:hAnsi="Times New Roman" w:eastAsia="仿宋_GB2312" w:cs="Times New Roman"/>
          <w:color w:val="auto"/>
          <w:sz w:val="32"/>
          <w:szCs w:val="32"/>
          <w:shd w:val="clear" w:color="auto" w:fill="FFFFFF"/>
        </w:rPr>
        <w:t>移民被征收房屋的主体及附属建（构）筑物的建筑面积、建筑结构、装修补偿等级认定以实物指标调查结果为准，</w:t>
      </w:r>
      <w:r>
        <w:rPr>
          <w:rFonts w:hint="eastAsia" w:ascii="Times New Roman" w:hAnsi="Times New Roman" w:eastAsia="仿宋_GB2312" w:cs="Times New Roman"/>
          <w:color w:val="auto"/>
          <w:sz w:val="32"/>
          <w:szCs w:val="32"/>
          <w:shd w:val="clear" w:color="auto" w:fill="FFFFFF"/>
          <w:lang w:eastAsia="zh-CN"/>
        </w:rPr>
        <w:t>如有异议，可申请复核。</w:t>
      </w:r>
      <w:r>
        <w:rPr>
          <w:rFonts w:hint="default" w:ascii="Times New Roman" w:hAnsi="Times New Roman" w:eastAsia="仿宋" w:cs="Times New Roman"/>
          <w:color w:val="auto"/>
          <w:sz w:val="32"/>
          <w:szCs w:val="32"/>
          <w:shd w:val="clear" w:color="auto" w:fill="FFFFFF"/>
        </w:rPr>
        <w:t>在省政府“禁建令”下达后新建、扩建、改建房屋和改变房屋用途的，一律不予补偿。</w:t>
      </w:r>
    </w:p>
    <w:p>
      <w:pPr>
        <w:pStyle w:val="3"/>
        <w:keepNext w:val="0"/>
        <w:keepLines w:val="0"/>
        <w:pageBreakBefore w:val="0"/>
        <w:widowControl w:val="0"/>
        <w:shd w:val="clear" w:color="auto" w:fill="FFFFFF"/>
        <w:kinsoku/>
        <w:wordWrap/>
        <w:overflowPunct w:val="0"/>
        <w:topLinePunct/>
        <w:autoSpaceDE w:val="0"/>
        <w:autoSpaceDN/>
        <w:bidi w:val="0"/>
        <w:adjustRightInd/>
        <w:snapToGrid/>
        <w:spacing w:before="0" w:beforeAutospacing="0" w:after="0" w:afterAutospacing="0" w:line="580" w:lineRule="exact"/>
        <w:ind w:firstLine="641"/>
        <w:jc w:val="both"/>
        <w:textAlignment w:val="auto"/>
        <w:rPr>
          <w:rFonts w:ascii="仿宋" w:hAnsi="仿宋" w:eastAsia="仿宋" w:cs="仿宋"/>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框架结构房屋补偿单价1340元/</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，砖混结构房屋补偿单价1100元/</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 w:cs="Times New Roman"/>
          <w:color w:val="auto"/>
          <w:sz w:val="32"/>
          <w:szCs w:val="32"/>
          <w:shd w:val="clear" w:color="auto" w:fill="FFFFFF"/>
        </w:rPr>
        <w:t>，砖木结构房屋补偿单价</w:t>
      </w:r>
      <w:r>
        <w:rPr>
          <w:rFonts w:hint="default" w:ascii="Times New Roman" w:hAnsi="Times New Roman" w:eastAsia="仿宋_GB2312" w:cs="Times New Roman"/>
          <w:color w:val="auto"/>
          <w:sz w:val="32"/>
          <w:szCs w:val="32"/>
          <w:shd w:val="clear" w:color="auto" w:fill="FFFFFF"/>
        </w:rPr>
        <w:t>900元/</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 w:cs="Times New Roman"/>
          <w:color w:val="auto"/>
          <w:sz w:val="32"/>
          <w:szCs w:val="32"/>
          <w:shd w:val="clear" w:color="auto" w:fill="FFFFFF"/>
        </w:rPr>
        <w:t>，土木结</w:t>
      </w:r>
      <w:r>
        <w:rPr>
          <w:rFonts w:hint="default" w:ascii="Times New Roman" w:hAnsi="Times New Roman" w:eastAsia="仿宋_GB2312" w:cs="Times New Roman"/>
          <w:color w:val="auto"/>
          <w:sz w:val="32"/>
          <w:szCs w:val="32"/>
          <w:shd w:val="clear" w:color="auto" w:fill="FFFFFF"/>
        </w:rPr>
        <w:t>构房屋补偿单价为750元/</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，简易房屋补偿单价为600元/</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。房屋装修补助单价为高级装修700元/</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中级装修450元/</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低级装修250元/</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 w:cs="Times New Roman"/>
          <w:color w:val="auto"/>
          <w:sz w:val="32"/>
          <w:szCs w:val="32"/>
          <w:shd w:val="clear" w:color="auto" w:fill="FFFFFF"/>
        </w:rPr>
        <w:t>。附属建筑物补偿单价见表1。</w:t>
      </w:r>
    </w:p>
    <w:p>
      <w:pPr>
        <w:pStyle w:val="6"/>
        <w:spacing w:before="218"/>
        <w:rPr>
          <w:rFonts w:hint="eastAsia" w:ascii="仿宋" w:hAnsi="仿宋" w:eastAsia="仿宋" w:cs="仿宋"/>
          <w:color w:val="auto"/>
          <w:sz w:val="30"/>
          <w:szCs w:val="30"/>
          <w:shd w:val="clear" w:color="auto" w:fill="FFFFFF"/>
        </w:rPr>
      </w:pPr>
      <w:r>
        <w:rPr>
          <w:rFonts w:ascii="黑体" w:hAnsi="黑体"/>
          <w:color w:val="auto"/>
          <w:sz w:val="30"/>
          <w:szCs w:val="30"/>
        </w:rPr>
        <w:t xml:space="preserve">表1 </w:t>
      </w:r>
      <w:r>
        <w:rPr>
          <w:rFonts w:hint="eastAsia" w:ascii="黑体" w:hAnsi="黑体"/>
          <w:color w:val="auto"/>
          <w:sz w:val="30"/>
          <w:szCs w:val="30"/>
        </w:rPr>
        <w:t>通山</w:t>
      </w:r>
      <w:r>
        <w:rPr>
          <w:rFonts w:ascii="黑体" w:hAnsi="黑体"/>
          <w:color w:val="auto"/>
          <w:sz w:val="30"/>
          <w:szCs w:val="30"/>
        </w:rPr>
        <w:t>抽水蓄能电站建设征地涉及</w:t>
      </w:r>
      <w:r>
        <w:rPr>
          <w:rFonts w:hint="eastAsia" w:ascii="黑体" w:hAnsi="黑体"/>
          <w:color w:val="auto"/>
          <w:sz w:val="30"/>
          <w:szCs w:val="30"/>
        </w:rPr>
        <w:t>附属建筑物补偿单价</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489"/>
        <w:gridCol w:w="1972"/>
        <w:gridCol w:w="18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序号</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项目</w:t>
            </w:r>
          </w:p>
        </w:tc>
        <w:tc>
          <w:tcPr>
            <w:tcW w:w="1157"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单位</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单价</w:t>
            </w:r>
            <w:r>
              <w:rPr>
                <w:rFonts w:ascii="Times New Roman" w:hAnsi="Times New Roman"/>
                <w:color w:val="auto"/>
                <w:kern w:val="0"/>
                <w:szCs w:val="21"/>
              </w:rPr>
              <w:t>(</w:t>
            </w:r>
            <w:r>
              <w:rPr>
                <w:rFonts w:ascii="Times New Roman" w:hAnsi="宋体"/>
                <w:color w:val="auto"/>
                <w:kern w:val="0"/>
                <w:szCs w:val="21"/>
              </w:rPr>
              <w:t>元</w:t>
            </w:r>
            <w:r>
              <w:rPr>
                <w:rFonts w:ascii="Times New Roman" w:hAnsi="Times New Roman"/>
                <w:color w:val="auto"/>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围墙</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r>
              <w:rPr>
                <w:rFonts w:ascii="Times New Roman" w:hAnsi="Times New Roman"/>
                <w:color w:val="auto"/>
                <w:kern w:val="0"/>
                <w:szCs w:val="21"/>
                <w:vertAlign w:val="superscript"/>
              </w:rPr>
              <w:t>2</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12</w:t>
            </w:r>
            <w:r>
              <w:rPr>
                <w:rFonts w:ascii="Times New Roman" w:hAnsi="宋体"/>
                <w:color w:val="auto"/>
                <w:kern w:val="0"/>
                <w:szCs w:val="21"/>
              </w:rPr>
              <w:t>墙</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r>
              <w:rPr>
                <w:rFonts w:ascii="Times New Roman" w:hAnsi="Times New Roman"/>
                <w:color w:val="auto"/>
                <w:kern w:val="0"/>
                <w:szCs w:val="21"/>
                <w:vertAlign w:val="superscript"/>
              </w:rPr>
              <w:t>2</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24</w:t>
            </w:r>
            <w:r>
              <w:rPr>
                <w:rFonts w:ascii="Times New Roman" w:hAnsi="宋体"/>
                <w:color w:val="auto"/>
                <w:kern w:val="0"/>
                <w:szCs w:val="21"/>
              </w:rPr>
              <w:t>墙</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r>
              <w:rPr>
                <w:rFonts w:ascii="Times New Roman" w:hAnsi="Times New Roman"/>
                <w:color w:val="auto"/>
                <w:kern w:val="0"/>
                <w:szCs w:val="21"/>
                <w:vertAlign w:val="superscript"/>
              </w:rPr>
              <w:t>2</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粪池</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个</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雨棚</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r>
              <w:rPr>
                <w:rFonts w:ascii="Times New Roman" w:hAnsi="Times New Roman"/>
                <w:color w:val="auto"/>
                <w:kern w:val="0"/>
                <w:szCs w:val="21"/>
                <w:vertAlign w:val="superscript"/>
              </w:rPr>
              <w:t>2</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室外地坪</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水泥地坪</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r>
              <w:rPr>
                <w:rFonts w:ascii="Times New Roman" w:hAnsi="Times New Roman"/>
                <w:color w:val="auto"/>
                <w:kern w:val="0"/>
                <w:szCs w:val="21"/>
                <w:vertAlign w:val="superscript"/>
              </w:rPr>
              <w:t>2</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花砖地坪</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r>
              <w:rPr>
                <w:rFonts w:ascii="Times New Roman" w:hAnsi="Times New Roman"/>
                <w:color w:val="auto"/>
                <w:kern w:val="0"/>
                <w:szCs w:val="21"/>
                <w:vertAlign w:val="superscript"/>
              </w:rPr>
              <w:t>2</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壁柜</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m³</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粮仓</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m³</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水池</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m³</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地窖</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口</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可移装设施</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卫星接收器</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个</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网络</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户</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空调</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台</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太阳能</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台</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jc w:val="left"/>
              <w:rPr>
                <w:rFonts w:ascii="Times New Roman" w:hAnsi="Times New Roman"/>
                <w:color w:val="auto"/>
                <w:kern w:val="0"/>
                <w:szCs w:val="21"/>
              </w:rPr>
            </w:pP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电热水器</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个</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圈舍</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个</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11</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室外不锈钢防护栏</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12</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灶</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眼</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13</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钢架棚</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r>
              <w:rPr>
                <w:rFonts w:ascii="Times New Roman" w:hAnsi="Times New Roman"/>
                <w:color w:val="auto"/>
                <w:kern w:val="0"/>
                <w:szCs w:val="21"/>
                <w:vertAlign w:val="superscript"/>
              </w:rPr>
              <w:t>2</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14</w:t>
            </w:r>
          </w:p>
        </w:tc>
        <w:tc>
          <w:tcPr>
            <w:tcW w:w="204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门楼</w:t>
            </w:r>
          </w:p>
        </w:tc>
        <w:tc>
          <w:tcPr>
            <w:tcW w:w="115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r>
              <w:rPr>
                <w:rFonts w:ascii="Times New Roman" w:hAnsi="Times New Roman"/>
                <w:color w:val="auto"/>
                <w:kern w:val="0"/>
                <w:szCs w:val="21"/>
                <w:vertAlign w:val="superscript"/>
              </w:rPr>
              <w:t>2</w:t>
            </w:r>
          </w:p>
        </w:tc>
        <w:tc>
          <w:tcPr>
            <w:tcW w:w="108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150</w:t>
            </w:r>
          </w:p>
        </w:tc>
      </w:tr>
    </w:tbl>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b/>
          <w:color w:val="auto"/>
          <w:sz w:val="32"/>
          <w:szCs w:val="32"/>
          <w:shd w:val="clear" w:color="auto" w:fill="FFFFFF"/>
        </w:rPr>
        <w:t>（三）其他地上附着物补偿费。</w:t>
      </w:r>
      <w:r>
        <w:rPr>
          <w:rFonts w:hint="default" w:ascii="Times New Roman" w:hAnsi="Times New Roman" w:eastAsia="仿宋_GB2312" w:cs="Times New Roman"/>
          <w:color w:val="auto"/>
          <w:sz w:val="32"/>
          <w:szCs w:val="32"/>
          <w:shd w:val="clear" w:color="auto" w:fill="FFFFFF"/>
        </w:rPr>
        <w:t>包括房前屋后零星果木补偿费、农村小型专项设施补偿费和农副业设施搬迁补助费，其数量以实物指标调查结果为准，零星果木补偿单价见表2，农村小型专项设施补偿单价见表3，农副业设施搬迁补助单价见表4。</w:t>
      </w:r>
    </w:p>
    <w:p>
      <w:pPr>
        <w:widowControl/>
        <w:suppressAutoHyphens w:val="0"/>
        <w:adjustRightInd w:val="0"/>
        <w:snapToGrid w:val="0"/>
        <w:spacing w:line="480" w:lineRule="exact"/>
        <w:jc w:val="center"/>
        <w:rPr>
          <w:rFonts w:ascii="Times New Roman" w:hAnsi="Times New Roman" w:eastAsia="黑体" w:cs="Times New Roman"/>
          <w:color w:val="auto"/>
          <w:kern w:val="0"/>
          <w:sz w:val="28"/>
          <w:szCs w:val="28"/>
          <w:lang w:val="en-US" w:eastAsia="zh-CN"/>
        </w:rPr>
      </w:pPr>
      <w:r>
        <w:rPr>
          <w:rFonts w:ascii="Times New Roman" w:hAnsi="Times New Roman" w:eastAsia="黑体" w:cs="Times New Roman"/>
          <w:color w:val="auto"/>
          <w:kern w:val="0"/>
          <w:sz w:val="28"/>
          <w:szCs w:val="28"/>
          <w:lang w:val="en-US" w:eastAsia="zh-CN"/>
        </w:rPr>
        <w:t xml:space="preserve">表2  </w:t>
      </w:r>
      <w:r>
        <w:rPr>
          <w:rFonts w:hint="eastAsia" w:ascii="Times New Roman" w:hAnsi="Times New Roman" w:eastAsia="黑体" w:cs="Times New Roman"/>
          <w:color w:val="auto"/>
          <w:kern w:val="0"/>
          <w:sz w:val="28"/>
          <w:szCs w:val="28"/>
          <w:lang w:val="en-US" w:eastAsia="zh-CN"/>
        </w:rPr>
        <w:t>通山(大幕山</w:t>
      </w:r>
      <w:r>
        <w:rPr>
          <w:rFonts w:ascii="Times New Roman" w:hAnsi="Times New Roman" w:eastAsia="黑体" w:cs="Times New Roman"/>
          <w:color w:val="auto"/>
          <w:kern w:val="0"/>
          <w:sz w:val="28"/>
          <w:szCs w:val="28"/>
          <w:lang w:val="en-US" w:eastAsia="zh-CN"/>
        </w:rPr>
        <w:t>)抽水蓄能电站</w:t>
      </w:r>
      <w:r>
        <w:rPr>
          <w:rFonts w:hint="eastAsia" w:ascii="Times New Roman" w:hAnsi="Times New Roman" w:eastAsia="黑体" w:cs="Times New Roman"/>
          <w:color w:val="auto"/>
          <w:kern w:val="0"/>
          <w:sz w:val="28"/>
          <w:szCs w:val="28"/>
          <w:lang w:val="en-US" w:eastAsia="zh-CN"/>
        </w:rPr>
        <w:t>零星果木</w:t>
      </w:r>
      <w:r>
        <w:rPr>
          <w:rFonts w:ascii="Times New Roman" w:hAnsi="Times New Roman" w:eastAsia="黑体" w:cs="Times New Roman"/>
          <w:color w:val="auto"/>
          <w:kern w:val="0"/>
          <w:sz w:val="28"/>
          <w:szCs w:val="28"/>
          <w:lang w:val="en-US" w:eastAsia="zh-CN"/>
        </w:rPr>
        <w:t>补偿</w:t>
      </w:r>
      <w:r>
        <w:rPr>
          <w:rFonts w:hint="eastAsia" w:ascii="Times New Roman" w:hAnsi="Times New Roman" w:eastAsia="黑体" w:cs="Times New Roman"/>
          <w:color w:val="auto"/>
          <w:kern w:val="0"/>
          <w:sz w:val="28"/>
          <w:szCs w:val="28"/>
          <w:lang w:val="en-US" w:eastAsia="zh-CN"/>
        </w:rPr>
        <w:t>单价</w:t>
      </w:r>
    </w:p>
    <w:tbl>
      <w:tblPr>
        <w:tblStyle w:val="4"/>
        <w:tblW w:w="517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3790"/>
        <w:gridCol w:w="1969"/>
        <w:gridCol w:w="1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序号</w:t>
            </w:r>
          </w:p>
        </w:tc>
        <w:tc>
          <w:tcPr>
            <w:tcW w:w="2150"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项目</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单位</w:t>
            </w:r>
          </w:p>
        </w:tc>
        <w:tc>
          <w:tcPr>
            <w:tcW w:w="1045"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单价</w:t>
            </w:r>
            <w:r>
              <w:rPr>
                <w:rFonts w:ascii="Times New Roman" w:hAnsi="Times New Roman"/>
                <w:color w:val="auto"/>
                <w:kern w:val="0"/>
                <w:szCs w:val="21"/>
              </w:rPr>
              <w:t>(</w:t>
            </w:r>
            <w:r>
              <w:rPr>
                <w:rFonts w:ascii="Times New Roman" w:hAnsi="宋体"/>
                <w:color w:val="auto"/>
                <w:kern w:val="0"/>
                <w:szCs w:val="21"/>
              </w:rPr>
              <w:t>元</w:t>
            </w:r>
            <w:r>
              <w:rPr>
                <w:rFonts w:ascii="Times New Roman" w:hAnsi="Times New Roman"/>
                <w:color w:val="auto"/>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白相木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白杨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白玉兰</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20cm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柏树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1.6-1.8m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1.8-2m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6m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茶花</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7-7.9cm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50cm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檫树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椿树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杜鹃</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1.1-2cm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3.1-4cm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风杨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枫树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18cm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11</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枫香</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12</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柑桔</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3.1-4cm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4.1-5cm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9.1-10cm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13</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狗骨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10-11.9cm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14</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构刺</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6-7.9cm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鼓钉刺</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16</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瓜子黄杨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蓬径</w:t>
            </w:r>
            <w:r>
              <w:rPr>
                <w:rFonts w:ascii="Times New Roman" w:hAnsi="Times New Roman"/>
                <w:color w:val="auto"/>
                <w:kern w:val="0"/>
                <w:szCs w:val="21"/>
              </w:rPr>
              <w:t>120-150cm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蓬径</w:t>
            </w:r>
            <w:r>
              <w:rPr>
                <w:rFonts w:ascii="Times New Roman" w:hAnsi="Times New Roman"/>
                <w:color w:val="auto"/>
                <w:kern w:val="0"/>
                <w:szCs w:val="21"/>
              </w:rPr>
              <w:t>150cm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17</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桂花</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10.1-11cm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11.1-12cm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12.1-13cm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13.1-14cm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16cm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2.1-3cm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3.1-4cm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4.1-5cm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5.1-6cm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6.1-7cm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7.1-8cm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8.1-9cm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9.1-10cm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18</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桂皮</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19</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核桃</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红豆杉</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14-20cm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21</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红枫</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2.1-3cm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22</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红梅</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23</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红山茶</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4-5.9cm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24</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红叶石楠</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6cm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8cm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25</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花红</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7.1-8cm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26</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黄檀</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12-16cm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27</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黄杨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10-11.9cm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28</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黄株树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14-20cm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18cm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29</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金钱桔</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金银花</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50cm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31</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腊梅</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32</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梨树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33</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李树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34</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柳木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10-11.9cm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6-7.9cm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8-9.9cm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35</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柳杉</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36</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栾木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14-20cm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37</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马褂木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38</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马尾松</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39</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麦李</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40</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玫瑰</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0.5m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41</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猕猴桃</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42</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木槿</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高度</w:t>
            </w:r>
            <w:r>
              <w:rPr>
                <w:rFonts w:ascii="Times New Roman" w:hAnsi="Times New Roman"/>
                <w:color w:val="auto"/>
                <w:kern w:val="0"/>
                <w:szCs w:val="21"/>
              </w:rPr>
              <w:t>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43</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南酸枣</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10-11.9cm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44</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女贞</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6-7.9cm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45</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枇杷</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10cm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2.1-3cm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3.1-4cm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4.1-5cm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5.1-6cm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6.1-7cm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7.1-8cm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8.1-9cm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9.1-10cm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46</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葡萄</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47</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青柿</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48</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雀舌黄杨球</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蓬径</w:t>
            </w:r>
            <w:r>
              <w:rPr>
                <w:rFonts w:ascii="Times New Roman" w:hAnsi="Times New Roman"/>
                <w:color w:val="auto"/>
                <w:kern w:val="0"/>
                <w:szCs w:val="21"/>
              </w:rPr>
              <w:t>50-60cm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49</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三角枫</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50</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山楂树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51</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杉木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10cm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8cm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52</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杉树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10cm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53</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石榴</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54</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石株树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18cm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55</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柿子</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56</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水杉</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18cm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57</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酸梅</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58</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桃树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59</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桐梓</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8-9.9cm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梧桐</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61</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五月桂</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62</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香椿</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6-7.9cm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8-9.9cm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63</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小叶黄杨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蓬径</w:t>
            </w:r>
            <w:r>
              <w:rPr>
                <w:rFonts w:ascii="Times New Roman" w:hAnsi="Times New Roman"/>
                <w:color w:val="auto"/>
                <w:kern w:val="0"/>
                <w:szCs w:val="21"/>
              </w:rPr>
              <w:t>50-60cm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64</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小叶青</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18cm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65</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小竹</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小苗</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66</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雪松</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10cm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67</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羊奶果</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68</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杨梅</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10-15cm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5.1-6cm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69</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杨树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6-7.9cm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70</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杨桃</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71</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野柿</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72</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银杏</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1.1-1.5m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73</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樱花</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4-4.9cm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6-6.9cm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74</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樱桃</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75</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映山红</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2.1-3cm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4.1-5cm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地径</w:t>
            </w:r>
            <w:r>
              <w:rPr>
                <w:rFonts w:ascii="Times New Roman" w:hAnsi="Times New Roman"/>
                <w:color w:val="auto"/>
                <w:kern w:val="0"/>
                <w:szCs w:val="21"/>
              </w:rPr>
              <w:t>6.1-7cm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76</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油茶</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小苗</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8cm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77</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榆树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8-9.9cm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78</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月季</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79</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枣树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1m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80</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柞木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6-7.9cm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81</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樟树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12-18cm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18cm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82</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栀子花</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0.5m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83</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株仔花</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84</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槠树</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18cm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640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85</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紫荆</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6-7.9cm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86</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紫薇</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10-11.9cm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12-16cm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2-3.9cm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4-5.9cm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6-7.9cm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胸径</w:t>
            </w:r>
            <w:r>
              <w:rPr>
                <w:rFonts w:ascii="Times New Roman" w:hAnsi="Times New Roman"/>
                <w:color w:val="auto"/>
                <w:kern w:val="0"/>
                <w:szCs w:val="21"/>
              </w:rPr>
              <w:t>8-9.9cm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87</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棕榈</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桩高</w:t>
            </w:r>
            <w:r>
              <w:rPr>
                <w:rFonts w:ascii="Times New Roman" w:hAnsi="Times New Roman"/>
                <w:color w:val="auto"/>
                <w:kern w:val="0"/>
                <w:szCs w:val="21"/>
              </w:rPr>
              <w:t>1.1-2m</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桩高</w:t>
            </w:r>
            <w:r>
              <w:rPr>
                <w:rFonts w:ascii="Times New Roman" w:hAnsi="Times New Roman"/>
                <w:color w:val="auto"/>
                <w:kern w:val="0"/>
                <w:szCs w:val="21"/>
              </w:rPr>
              <w:t>5m</w:t>
            </w:r>
            <w:r>
              <w:rPr>
                <w:rFonts w:ascii="Times New Roman" w:hAnsi="宋体"/>
                <w:color w:val="auto"/>
                <w:kern w:val="0"/>
                <w:szCs w:val="21"/>
              </w:rPr>
              <w:t>以上</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88</w:t>
            </w: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大叶黄杨</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2150" w:type="pct"/>
            <w:noWrap w:val="0"/>
            <w:vAlign w:val="center"/>
          </w:tcPr>
          <w:p>
            <w:pPr>
              <w:widowControl/>
              <w:suppressAutoHyphens w:val="0"/>
              <w:adjustRightInd w:val="0"/>
              <w:snapToGrid w:val="0"/>
              <w:rPr>
                <w:rFonts w:ascii="Times New Roman" w:hAnsi="Times New Roman"/>
                <w:color w:val="auto"/>
                <w:kern w:val="0"/>
                <w:szCs w:val="21"/>
              </w:rPr>
            </w:pPr>
            <w:r>
              <w:rPr>
                <w:rFonts w:ascii="Times New Roman" w:hAnsi="宋体"/>
                <w:color w:val="auto"/>
                <w:kern w:val="0"/>
                <w:szCs w:val="21"/>
              </w:rPr>
              <w:t>株高</w:t>
            </w:r>
            <w:r>
              <w:rPr>
                <w:rFonts w:ascii="Times New Roman" w:hAnsi="Times New Roman"/>
                <w:color w:val="auto"/>
                <w:kern w:val="0"/>
                <w:szCs w:val="21"/>
              </w:rPr>
              <w:t>2m</w:t>
            </w:r>
            <w:r>
              <w:rPr>
                <w:rFonts w:ascii="Times New Roman" w:hAnsi="宋体"/>
                <w:color w:val="auto"/>
                <w:kern w:val="0"/>
                <w:szCs w:val="21"/>
              </w:rPr>
              <w:t>以下</w:t>
            </w:r>
          </w:p>
        </w:tc>
        <w:tc>
          <w:tcPr>
            <w:tcW w:w="111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株</w:t>
            </w:r>
          </w:p>
        </w:tc>
        <w:tc>
          <w:tcPr>
            <w:tcW w:w="1045"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w:t>
            </w:r>
          </w:p>
        </w:tc>
      </w:tr>
    </w:tbl>
    <w:p>
      <w:pPr>
        <w:widowControl/>
        <w:suppressAutoHyphens w:val="0"/>
        <w:adjustRightInd w:val="0"/>
        <w:snapToGrid w:val="0"/>
        <w:spacing w:line="480" w:lineRule="exact"/>
        <w:jc w:val="center"/>
        <w:rPr>
          <w:rFonts w:hint="eastAsia" w:ascii="Times New Roman" w:hAnsi="Times New Roman" w:eastAsia="黑体"/>
          <w:color w:val="auto"/>
          <w:kern w:val="0"/>
          <w:sz w:val="24"/>
        </w:rPr>
      </w:pPr>
    </w:p>
    <w:p>
      <w:pPr>
        <w:widowControl/>
        <w:suppressAutoHyphens w:val="0"/>
        <w:adjustRightInd w:val="0"/>
        <w:snapToGrid w:val="0"/>
        <w:spacing w:line="480" w:lineRule="exact"/>
        <w:jc w:val="center"/>
        <w:rPr>
          <w:rFonts w:ascii="Times New Roman" w:hAnsi="Times New Roman" w:eastAsia="黑体" w:cs="Times New Roman"/>
          <w:color w:val="auto"/>
          <w:kern w:val="0"/>
          <w:sz w:val="28"/>
          <w:szCs w:val="28"/>
          <w:lang w:val="en-US" w:eastAsia="zh-CN"/>
        </w:rPr>
      </w:pPr>
      <w:r>
        <w:rPr>
          <w:rFonts w:ascii="Times New Roman" w:hAnsi="Times New Roman" w:eastAsia="黑体" w:cs="Times New Roman"/>
          <w:color w:val="auto"/>
          <w:kern w:val="0"/>
          <w:sz w:val="28"/>
          <w:szCs w:val="28"/>
          <w:lang w:val="en-US" w:eastAsia="zh-CN"/>
        </w:rPr>
        <w:t xml:space="preserve">表3  </w:t>
      </w:r>
      <w:r>
        <w:rPr>
          <w:rFonts w:hint="eastAsia" w:ascii="Times New Roman" w:hAnsi="Times New Roman" w:eastAsia="黑体" w:cs="Times New Roman"/>
          <w:color w:val="auto"/>
          <w:kern w:val="0"/>
          <w:sz w:val="28"/>
          <w:szCs w:val="28"/>
          <w:lang w:val="en-US" w:eastAsia="zh-CN"/>
        </w:rPr>
        <w:t>通山(大幕山</w:t>
      </w:r>
      <w:r>
        <w:rPr>
          <w:rFonts w:ascii="Times New Roman" w:hAnsi="Times New Roman" w:eastAsia="黑体" w:cs="Times New Roman"/>
          <w:color w:val="auto"/>
          <w:kern w:val="0"/>
          <w:sz w:val="28"/>
          <w:szCs w:val="28"/>
          <w:lang w:val="en-US" w:eastAsia="zh-CN"/>
        </w:rPr>
        <w:t>)抽水蓄能电站</w:t>
      </w:r>
      <w:r>
        <w:rPr>
          <w:rFonts w:hint="eastAsia" w:ascii="Times New Roman" w:hAnsi="Times New Roman" w:eastAsia="黑体" w:cs="Times New Roman"/>
          <w:color w:val="auto"/>
          <w:kern w:val="0"/>
          <w:sz w:val="28"/>
          <w:szCs w:val="28"/>
          <w:lang w:val="en-US" w:eastAsia="zh-CN"/>
        </w:rPr>
        <w:t>农村小型专项设施</w:t>
      </w:r>
      <w:r>
        <w:rPr>
          <w:rFonts w:ascii="Times New Roman" w:hAnsi="Times New Roman" w:eastAsia="黑体" w:cs="Times New Roman"/>
          <w:color w:val="auto"/>
          <w:kern w:val="0"/>
          <w:sz w:val="28"/>
          <w:szCs w:val="28"/>
          <w:lang w:val="en-US" w:eastAsia="zh-CN"/>
        </w:rPr>
        <w:t>补偿</w:t>
      </w:r>
      <w:r>
        <w:rPr>
          <w:rFonts w:hint="eastAsia" w:ascii="Times New Roman" w:hAnsi="Times New Roman" w:eastAsia="黑体" w:cs="Times New Roman"/>
          <w:color w:val="auto"/>
          <w:kern w:val="0"/>
          <w:sz w:val="28"/>
          <w:szCs w:val="28"/>
          <w:lang w:val="en-US" w:eastAsia="zh-CN"/>
        </w:rPr>
        <w:t>单价</w:t>
      </w:r>
    </w:p>
    <w:tbl>
      <w:tblPr>
        <w:tblStyle w:val="4"/>
        <w:tblW w:w="517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3715"/>
        <w:gridCol w:w="1988"/>
        <w:gridCol w:w="18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728"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序号</w:t>
            </w:r>
          </w:p>
        </w:tc>
        <w:tc>
          <w:tcPr>
            <w:tcW w:w="2106"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项目</w:t>
            </w:r>
          </w:p>
        </w:tc>
        <w:tc>
          <w:tcPr>
            <w:tcW w:w="112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数量单位</w:t>
            </w:r>
          </w:p>
        </w:tc>
        <w:tc>
          <w:tcPr>
            <w:tcW w:w="103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单价(元)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w:t>
            </w:r>
          </w:p>
        </w:tc>
        <w:tc>
          <w:tcPr>
            <w:tcW w:w="2106"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小型水利设施</w:t>
            </w:r>
          </w:p>
        </w:tc>
        <w:tc>
          <w:tcPr>
            <w:tcW w:w="112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p>
        </w:tc>
        <w:tc>
          <w:tcPr>
            <w:tcW w:w="103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w:t>
            </w:r>
          </w:p>
        </w:tc>
        <w:tc>
          <w:tcPr>
            <w:tcW w:w="2106"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水池</w:t>
            </w:r>
          </w:p>
        </w:tc>
        <w:tc>
          <w:tcPr>
            <w:tcW w:w="112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m3</w:t>
            </w:r>
          </w:p>
        </w:tc>
        <w:tc>
          <w:tcPr>
            <w:tcW w:w="103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p>
        </w:tc>
        <w:tc>
          <w:tcPr>
            <w:tcW w:w="2106"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供水管线</w:t>
            </w:r>
          </w:p>
        </w:tc>
        <w:tc>
          <w:tcPr>
            <w:tcW w:w="112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km</w:t>
            </w:r>
          </w:p>
        </w:tc>
        <w:tc>
          <w:tcPr>
            <w:tcW w:w="103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eastAsia="宋体" w:cs="Times New Roman"/>
                <w:color w:val="auto"/>
                <w:kern w:val="0"/>
                <w:szCs w:val="21"/>
              </w:rPr>
            </w:pPr>
          </w:p>
        </w:tc>
        <w:tc>
          <w:tcPr>
            <w:tcW w:w="2106"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DN50</w:t>
            </w:r>
          </w:p>
        </w:tc>
        <w:tc>
          <w:tcPr>
            <w:tcW w:w="112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km</w:t>
            </w:r>
          </w:p>
        </w:tc>
        <w:tc>
          <w:tcPr>
            <w:tcW w:w="103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39000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eastAsia="宋体" w:cs="Times New Roman"/>
                <w:color w:val="auto"/>
                <w:kern w:val="0"/>
                <w:szCs w:val="21"/>
              </w:rPr>
            </w:pPr>
          </w:p>
        </w:tc>
        <w:tc>
          <w:tcPr>
            <w:tcW w:w="2106"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DN40</w:t>
            </w:r>
          </w:p>
        </w:tc>
        <w:tc>
          <w:tcPr>
            <w:tcW w:w="112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km</w:t>
            </w:r>
          </w:p>
        </w:tc>
        <w:tc>
          <w:tcPr>
            <w:tcW w:w="103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eastAsia="宋体" w:cs="Times New Roman"/>
                <w:color w:val="auto"/>
                <w:kern w:val="0"/>
                <w:szCs w:val="21"/>
              </w:rPr>
            </w:pPr>
          </w:p>
        </w:tc>
        <w:tc>
          <w:tcPr>
            <w:tcW w:w="2106"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DN20</w:t>
            </w:r>
          </w:p>
        </w:tc>
        <w:tc>
          <w:tcPr>
            <w:tcW w:w="112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km</w:t>
            </w:r>
          </w:p>
        </w:tc>
        <w:tc>
          <w:tcPr>
            <w:tcW w:w="103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w:t>
            </w:r>
          </w:p>
        </w:tc>
        <w:tc>
          <w:tcPr>
            <w:tcW w:w="2106"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灌溉渠道</w:t>
            </w:r>
          </w:p>
        </w:tc>
        <w:tc>
          <w:tcPr>
            <w:tcW w:w="112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km</w:t>
            </w:r>
          </w:p>
        </w:tc>
        <w:tc>
          <w:tcPr>
            <w:tcW w:w="103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18998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4)</w:t>
            </w:r>
          </w:p>
        </w:tc>
        <w:tc>
          <w:tcPr>
            <w:tcW w:w="2106"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排洪管</w:t>
            </w:r>
          </w:p>
        </w:tc>
        <w:tc>
          <w:tcPr>
            <w:tcW w:w="112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1037" w:type="pct"/>
            <w:noWrap w:val="0"/>
            <w:vAlign w:val="center"/>
          </w:tcPr>
          <w:p>
            <w:pPr>
              <w:widowControl/>
              <w:suppressAutoHyphens w:val="0"/>
              <w:adjustRightInd w:val="0"/>
              <w:snapToGrid w:val="0"/>
              <w:jc w:val="center"/>
              <w:rPr>
                <w:rFonts w:ascii="Times New Roman" w:hAnsi="Times New Roman" w:eastAsia="宋体"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color w:val="auto"/>
                <w:kern w:val="0"/>
                <w:szCs w:val="21"/>
              </w:rPr>
            </w:pPr>
          </w:p>
        </w:tc>
        <w:tc>
          <w:tcPr>
            <w:tcW w:w="2106"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DN100</w:t>
            </w:r>
          </w:p>
        </w:tc>
        <w:tc>
          <w:tcPr>
            <w:tcW w:w="112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p>
        </w:tc>
        <w:tc>
          <w:tcPr>
            <w:tcW w:w="103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color w:val="auto"/>
                <w:kern w:val="0"/>
                <w:szCs w:val="21"/>
              </w:rPr>
            </w:pPr>
          </w:p>
        </w:tc>
        <w:tc>
          <w:tcPr>
            <w:tcW w:w="2106"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DN40</w:t>
            </w:r>
          </w:p>
        </w:tc>
        <w:tc>
          <w:tcPr>
            <w:tcW w:w="112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p>
        </w:tc>
        <w:tc>
          <w:tcPr>
            <w:tcW w:w="103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jc w:val="left"/>
              <w:rPr>
                <w:rFonts w:ascii="Times New Roman" w:hAnsi="Times New Roman"/>
                <w:color w:val="auto"/>
                <w:kern w:val="0"/>
                <w:szCs w:val="21"/>
              </w:rPr>
            </w:pPr>
          </w:p>
        </w:tc>
        <w:tc>
          <w:tcPr>
            <w:tcW w:w="2106"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DN30</w:t>
            </w:r>
          </w:p>
        </w:tc>
        <w:tc>
          <w:tcPr>
            <w:tcW w:w="112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p>
        </w:tc>
        <w:tc>
          <w:tcPr>
            <w:tcW w:w="103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w:t>
            </w:r>
          </w:p>
        </w:tc>
        <w:tc>
          <w:tcPr>
            <w:tcW w:w="2106"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拦水坝</w:t>
            </w:r>
          </w:p>
        </w:tc>
        <w:tc>
          <w:tcPr>
            <w:tcW w:w="112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m</w:t>
            </w:r>
          </w:p>
        </w:tc>
        <w:tc>
          <w:tcPr>
            <w:tcW w:w="103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565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w:t>
            </w:r>
          </w:p>
        </w:tc>
        <w:tc>
          <w:tcPr>
            <w:tcW w:w="2106"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小型交通设施</w:t>
            </w:r>
          </w:p>
        </w:tc>
        <w:tc>
          <w:tcPr>
            <w:tcW w:w="1127" w:type="pct"/>
            <w:noWrap w:val="0"/>
            <w:vAlign w:val="center"/>
          </w:tcPr>
          <w:p>
            <w:pPr>
              <w:widowControl/>
              <w:suppressAutoHyphens w:val="0"/>
              <w:adjustRightInd w:val="0"/>
              <w:snapToGrid w:val="0"/>
              <w:jc w:val="center"/>
              <w:rPr>
                <w:rFonts w:ascii="Times New Roman" w:hAnsi="Times New Roman"/>
                <w:color w:val="auto"/>
                <w:kern w:val="0"/>
                <w:szCs w:val="21"/>
              </w:rPr>
            </w:pPr>
          </w:p>
        </w:tc>
        <w:tc>
          <w:tcPr>
            <w:tcW w:w="1037" w:type="pct"/>
            <w:noWrap w:val="0"/>
            <w:vAlign w:val="center"/>
          </w:tcPr>
          <w:p>
            <w:pPr>
              <w:widowControl/>
              <w:suppressAutoHyphens w:val="0"/>
              <w:adjustRightInd w:val="0"/>
              <w:snapToGrid w:val="0"/>
              <w:jc w:val="center"/>
              <w:rPr>
                <w:rFonts w:ascii="Times New Roman" w:hAnsi="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color w:val="auto"/>
                <w:kern w:val="0"/>
                <w:szCs w:val="21"/>
              </w:rPr>
            </w:pPr>
          </w:p>
        </w:tc>
        <w:tc>
          <w:tcPr>
            <w:tcW w:w="2106"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机耕道</w:t>
            </w:r>
          </w:p>
        </w:tc>
        <w:tc>
          <w:tcPr>
            <w:tcW w:w="112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km</w:t>
            </w:r>
          </w:p>
        </w:tc>
        <w:tc>
          <w:tcPr>
            <w:tcW w:w="103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color w:val="auto"/>
                <w:kern w:val="0"/>
                <w:szCs w:val="21"/>
              </w:rPr>
            </w:pPr>
          </w:p>
        </w:tc>
        <w:tc>
          <w:tcPr>
            <w:tcW w:w="2106"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人行道</w:t>
            </w:r>
          </w:p>
        </w:tc>
        <w:tc>
          <w:tcPr>
            <w:tcW w:w="112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km</w:t>
            </w:r>
          </w:p>
        </w:tc>
        <w:tc>
          <w:tcPr>
            <w:tcW w:w="103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150000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8" w:type="pct"/>
            <w:noWrap/>
            <w:vAlign w:val="center"/>
          </w:tcPr>
          <w:p>
            <w:pPr>
              <w:widowControl/>
              <w:suppressAutoHyphens w:val="0"/>
              <w:adjustRightInd w:val="0"/>
              <w:snapToGrid w:val="0"/>
              <w:jc w:val="center"/>
              <w:rPr>
                <w:rFonts w:ascii="Times New Roman" w:hAnsi="Times New Roman"/>
                <w:color w:val="auto"/>
                <w:kern w:val="0"/>
                <w:szCs w:val="21"/>
              </w:rPr>
            </w:pPr>
          </w:p>
        </w:tc>
        <w:tc>
          <w:tcPr>
            <w:tcW w:w="2106"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人行桥</w:t>
            </w:r>
          </w:p>
        </w:tc>
        <w:tc>
          <w:tcPr>
            <w:tcW w:w="112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座</w:t>
            </w:r>
          </w:p>
        </w:tc>
        <w:tc>
          <w:tcPr>
            <w:tcW w:w="1037"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40000</w:t>
            </w:r>
          </w:p>
        </w:tc>
      </w:tr>
    </w:tbl>
    <w:p>
      <w:pPr>
        <w:widowControl/>
        <w:suppressAutoHyphens w:val="0"/>
        <w:adjustRightInd w:val="0"/>
        <w:snapToGrid w:val="0"/>
        <w:spacing w:line="480" w:lineRule="exact"/>
        <w:jc w:val="center"/>
        <w:rPr>
          <w:rFonts w:ascii="Times New Roman" w:hAnsi="Times New Roman" w:eastAsia="黑体" w:cs="Times New Roman"/>
          <w:color w:val="auto"/>
          <w:kern w:val="0"/>
          <w:sz w:val="28"/>
          <w:szCs w:val="28"/>
          <w:lang w:val="en-US" w:eastAsia="zh-CN"/>
        </w:rPr>
      </w:pPr>
    </w:p>
    <w:p>
      <w:pPr>
        <w:widowControl/>
        <w:suppressAutoHyphens w:val="0"/>
        <w:adjustRightInd w:val="0"/>
        <w:snapToGrid w:val="0"/>
        <w:spacing w:line="480" w:lineRule="exact"/>
        <w:jc w:val="center"/>
        <w:rPr>
          <w:rFonts w:hint="eastAsia" w:ascii="Times New Roman" w:hAnsi="Times New Roman" w:eastAsia="黑体" w:cs="Times New Roman"/>
          <w:color w:val="auto"/>
          <w:kern w:val="0"/>
          <w:sz w:val="28"/>
          <w:szCs w:val="28"/>
          <w:lang w:val="zh-CN" w:eastAsia="zh-CN"/>
        </w:rPr>
      </w:pPr>
      <w:r>
        <w:rPr>
          <w:rFonts w:ascii="Times New Roman" w:hAnsi="Times New Roman" w:eastAsia="黑体" w:cs="Times New Roman"/>
          <w:color w:val="auto"/>
          <w:kern w:val="0"/>
          <w:sz w:val="28"/>
          <w:szCs w:val="28"/>
          <w:lang w:val="en-US" w:eastAsia="zh-CN"/>
        </w:rPr>
        <w:t>表4  通山(大幕山)抽水蓄能电站</w:t>
      </w:r>
      <w:r>
        <w:rPr>
          <w:rFonts w:hint="eastAsia" w:ascii="Times New Roman" w:hAnsi="Times New Roman" w:eastAsia="黑体" w:cs="Times New Roman"/>
          <w:color w:val="auto"/>
          <w:kern w:val="0"/>
          <w:sz w:val="28"/>
          <w:szCs w:val="28"/>
          <w:lang w:val="en-US" w:eastAsia="zh-CN"/>
        </w:rPr>
        <w:t>农副业设施搬迁补助单价</w:t>
      </w:r>
    </w:p>
    <w:tbl>
      <w:tblPr>
        <w:tblStyle w:val="4"/>
        <w:tblW w:w="516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3722"/>
        <w:gridCol w:w="1989"/>
        <w:gridCol w:w="18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720"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序号</w:t>
            </w:r>
          </w:p>
        </w:tc>
        <w:tc>
          <w:tcPr>
            <w:tcW w:w="2115"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项目</w:t>
            </w:r>
          </w:p>
        </w:tc>
        <w:tc>
          <w:tcPr>
            <w:tcW w:w="1130"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单位</w:t>
            </w:r>
          </w:p>
        </w:tc>
        <w:tc>
          <w:tcPr>
            <w:tcW w:w="1033"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单价</w:t>
            </w:r>
            <w:r>
              <w:rPr>
                <w:rFonts w:ascii="Times New Roman" w:hAnsi="Times New Roman"/>
                <w:color w:val="auto"/>
                <w:kern w:val="0"/>
                <w:szCs w:val="21"/>
              </w:rPr>
              <w:t>(</w:t>
            </w:r>
            <w:r>
              <w:rPr>
                <w:rFonts w:ascii="Times New Roman" w:hAnsi="宋体"/>
                <w:color w:val="auto"/>
                <w:kern w:val="0"/>
                <w:szCs w:val="21"/>
              </w:rPr>
              <w:t>元</w:t>
            </w:r>
            <w:r>
              <w:rPr>
                <w:rFonts w:ascii="Times New Roman" w:hAnsi="Times New Roman"/>
                <w:color w:val="auto"/>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pct"/>
            <w:noWrap/>
            <w:vAlign w:val="center"/>
          </w:tcPr>
          <w:p>
            <w:pPr>
              <w:widowControl/>
              <w:suppressAutoHyphens w:val="0"/>
              <w:adjustRightInd w:val="0"/>
              <w:snapToGrid w:val="0"/>
              <w:jc w:val="center"/>
              <w:rPr>
                <w:rFonts w:ascii="Times New Roman" w:hAnsi="Times New Roman"/>
                <w:color w:val="auto"/>
                <w:kern w:val="0"/>
                <w:szCs w:val="21"/>
              </w:rPr>
            </w:pPr>
          </w:p>
        </w:tc>
        <w:tc>
          <w:tcPr>
            <w:tcW w:w="2115" w:type="pct"/>
            <w:noWrap/>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sz w:val="20"/>
                <w:szCs w:val="20"/>
              </w:rPr>
              <w:t>农副业设施</w:t>
            </w:r>
          </w:p>
        </w:tc>
        <w:tc>
          <w:tcPr>
            <w:tcW w:w="1130"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宋体"/>
                <w:color w:val="auto"/>
                <w:kern w:val="0"/>
                <w:szCs w:val="21"/>
              </w:rPr>
              <w:t>　</w:t>
            </w:r>
          </w:p>
        </w:tc>
        <w:tc>
          <w:tcPr>
            <w:tcW w:w="1033" w:type="pct"/>
            <w:noWrap w:val="0"/>
            <w:vAlign w:val="center"/>
          </w:tcPr>
          <w:p>
            <w:pPr>
              <w:widowControl/>
              <w:suppressAutoHyphens w:val="0"/>
              <w:adjustRightInd w:val="0"/>
              <w:snapToGrid w:val="0"/>
              <w:jc w:val="center"/>
              <w:rPr>
                <w:rFonts w:ascii="Times New Roman" w:hAnsi="Times New Roman"/>
                <w:color w:val="auto"/>
                <w:kern w:val="0"/>
                <w:sz w:val="18"/>
                <w:szCs w:val="18"/>
              </w:rPr>
            </w:pPr>
            <w:r>
              <w:rPr>
                <w:rFonts w:ascii="Times New Roman" w:hAnsi="Times New Roman" w:eastAsia="等线"/>
                <w:color w:val="auto"/>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pct"/>
            <w:noWrap w:val="0"/>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1</w:t>
            </w:r>
          </w:p>
        </w:tc>
        <w:tc>
          <w:tcPr>
            <w:tcW w:w="2115"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sz w:val="20"/>
                <w:szCs w:val="20"/>
              </w:rPr>
              <w:t>空压机</w:t>
            </w:r>
          </w:p>
        </w:tc>
        <w:tc>
          <w:tcPr>
            <w:tcW w:w="1130"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台</w:t>
            </w:r>
            <w:r>
              <w:rPr>
                <w:rFonts w:ascii="Times New Roman" w:hAnsi="宋体"/>
                <w:color w:val="auto"/>
                <w:kern w:val="0"/>
                <w:szCs w:val="21"/>
              </w:rPr>
              <w:t>　</w:t>
            </w:r>
          </w:p>
        </w:tc>
        <w:tc>
          <w:tcPr>
            <w:tcW w:w="1033" w:type="pct"/>
            <w:noWrap w:val="0"/>
            <w:vAlign w:val="center"/>
          </w:tcPr>
          <w:p>
            <w:pPr>
              <w:widowControl/>
              <w:suppressAutoHyphens w:val="0"/>
              <w:adjustRightInd w:val="0"/>
              <w:snapToGrid w:val="0"/>
              <w:jc w:val="center"/>
              <w:rPr>
                <w:rFonts w:ascii="Times New Roman" w:hAnsi="Times New Roman"/>
                <w:color w:val="auto"/>
                <w:kern w:val="0"/>
                <w:sz w:val="18"/>
                <w:szCs w:val="18"/>
              </w:rPr>
            </w:pPr>
            <w:r>
              <w:rPr>
                <w:rFonts w:ascii="Times New Roman" w:hAnsi="Times New Roman" w:eastAsia="等线"/>
                <w:color w:val="auto"/>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2</w:t>
            </w:r>
          </w:p>
        </w:tc>
        <w:tc>
          <w:tcPr>
            <w:tcW w:w="2115"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sz w:val="20"/>
                <w:szCs w:val="20"/>
              </w:rPr>
              <w:t>打节机</w:t>
            </w:r>
          </w:p>
        </w:tc>
        <w:tc>
          <w:tcPr>
            <w:tcW w:w="1130"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台</w:t>
            </w:r>
          </w:p>
        </w:tc>
        <w:tc>
          <w:tcPr>
            <w:tcW w:w="1033" w:type="pct"/>
            <w:noWrap w:val="0"/>
            <w:vAlign w:val="center"/>
          </w:tcPr>
          <w:p>
            <w:pPr>
              <w:widowControl/>
              <w:suppressAutoHyphens w:val="0"/>
              <w:adjustRightInd w:val="0"/>
              <w:snapToGrid w:val="0"/>
              <w:jc w:val="center"/>
              <w:rPr>
                <w:rFonts w:ascii="Times New Roman" w:hAnsi="Times New Roman"/>
                <w:color w:val="auto"/>
                <w:kern w:val="0"/>
                <w:sz w:val="18"/>
                <w:szCs w:val="18"/>
              </w:rPr>
            </w:pPr>
            <w:r>
              <w:rPr>
                <w:rFonts w:ascii="Times New Roman" w:hAnsi="Times New Roman" w:eastAsia="等线"/>
                <w:color w:val="auto"/>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2" w:hRule="atLeast"/>
          <w:jc w:val="center"/>
        </w:trPr>
        <w:tc>
          <w:tcPr>
            <w:tcW w:w="720"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3</w:t>
            </w:r>
          </w:p>
        </w:tc>
        <w:tc>
          <w:tcPr>
            <w:tcW w:w="2115"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sz w:val="20"/>
                <w:szCs w:val="20"/>
              </w:rPr>
              <w:t>破竹机</w:t>
            </w:r>
          </w:p>
        </w:tc>
        <w:tc>
          <w:tcPr>
            <w:tcW w:w="1130"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台</w:t>
            </w:r>
          </w:p>
        </w:tc>
        <w:tc>
          <w:tcPr>
            <w:tcW w:w="1033" w:type="pct"/>
            <w:noWrap w:val="0"/>
            <w:vAlign w:val="center"/>
          </w:tcPr>
          <w:p>
            <w:pPr>
              <w:widowControl/>
              <w:suppressAutoHyphens w:val="0"/>
              <w:adjustRightInd w:val="0"/>
              <w:snapToGrid w:val="0"/>
              <w:jc w:val="center"/>
              <w:rPr>
                <w:rFonts w:ascii="Times New Roman" w:hAnsi="Times New Roman"/>
                <w:color w:val="auto"/>
                <w:kern w:val="0"/>
                <w:sz w:val="18"/>
                <w:szCs w:val="18"/>
              </w:rPr>
            </w:pPr>
            <w:r>
              <w:rPr>
                <w:rFonts w:ascii="Times New Roman" w:hAnsi="Times New Roman" w:eastAsia="等线"/>
                <w:color w:val="auto"/>
                <w:sz w:val="18"/>
                <w:szCs w:val="18"/>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pct"/>
            <w:noWrap/>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宋体"/>
                <w:color w:val="auto"/>
                <w:kern w:val="0"/>
                <w:szCs w:val="21"/>
              </w:rPr>
              <w:t>4</w:t>
            </w:r>
            <w:r>
              <w:rPr>
                <w:rFonts w:ascii="Times New Roman" w:hAnsi="宋体"/>
                <w:color w:val="auto"/>
                <w:kern w:val="0"/>
                <w:szCs w:val="21"/>
              </w:rPr>
              <w:t>　</w:t>
            </w:r>
          </w:p>
        </w:tc>
        <w:tc>
          <w:tcPr>
            <w:tcW w:w="2115"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sz w:val="20"/>
                <w:szCs w:val="20"/>
              </w:rPr>
              <w:t>电机</w:t>
            </w:r>
          </w:p>
        </w:tc>
        <w:tc>
          <w:tcPr>
            <w:tcW w:w="1130"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台</w:t>
            </w:r>
          </w:p>
        </w:tc>
        <w:tc>
          <w:tcPr>
            <w:tcW w:w="1033" w:type="pct"/>
            <w:noWrap w:val="0"/>
            <w:vAlign w:val="center"/>
          </w:tcPr>
          <w:p>
            <w:pPr>
              <w:widowControl/>
              <w:suppressAutoHyphens w:val="0"/>
              <w:adjustRightInd w:val="0"/>
              <w:snapToGrid w:val="0"/>
              <w:jc w:val="center"/>
              <w:rPr>
                <w:rFonts w:ascii="Times New Roman" w:hAnsi="Times New Roman"/>
                <w:color w:val="auto"/>
                <w:kern w:val="0"/>
                <w:sz w:val="18"/>
                <w:szCs w:val="18"/>
              </w:rPr>
            </w:pPr>
            <w:r>
              <w:rPr>
                <w:rFonts w:ascii="Times New Roman" w:hAnsi="Times New Roman" w:eastAsia="等线"/>
                <w:color w:val="auto"/>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pct"/>
            <w:noWrap/>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宋体"/>
                <w:color w:val="auto"/>
                <w:kern w:val="0"/>
                <w:szCs w:val="21"/>
              </w:rPr>
              <w:t>5</w:t>
            </w:r>
            <w:r>
              <w:rPr>
                <w:rFonts w:ascii="Times New Roman" w:hAnsi="宋体"/>
                <w:color w:val="auto"/>
                <w:kern w:val="0"/>
                <w:szCs w:val="21"/>
              </w:rPr>
              <w:t>　</w:t>
            </w:r>
          </w:p>
        </w:tc>
        <w:tc>
          <w:tcPr>
            <w:tcW w:w="2115"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sz w:val="20"/>
                <w:szCs w:val="20"/>
              </w:rPr>
              <w:t>跳板打孔机</w:t>
            </w:r>
          </w:p>
        </w:tc>
        <w:tc>
          <w:tcPr>
            <w:tcW w:w="1130"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台</w:t>
            </w:r>
          </w:p>
        </w:tc>
        <w:tc>
          <w:tcPr>
            <w:tcW w:w="1033" w:type="pct"/>
            <w:noWrap w:val="0"/>
            <w:vAlign w:val="center"/>
          </w:tcPr>
          <w:p>
            <w:pPr>
              <w:widowControl/>
              <w:suppressAutoHyphens w:val="0"/>
              <w:adjustRightInd w:val="0"/>
              <w:snapToGrid w:val="0"/>
              <w:jc w:val="center"/>
              <w:rPr>
                <w:rFonts w:ascii="Times New Roman" w:hAnsi="Times New Roman"/>
                <w:color w:val="auto"/>
                <w:kern w:val="0"/>
                <w:sz w:val="18"/>
                <w:szCs w:val="18"/>
              </w:rPr>
            </w:pPr>
            <w:r>
              <w:rPr>
                <w:rFonts w:ascii="Times New Roman" w:hAnsi="Times New Roman" w:eastAsia="等线"/>
                <w:color w:val="auto"/>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pct"/>
            <w:noWrap/>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宋体"/>
                <w:color w:val="auto"/>
                <w:kern w:val="0"/>
                <w:szCs w:val="21"/>
              </w:rPr>
              <w:t>6</w:t>
            </w:r>
            <w:r>
              <w:rPr>
                <w:rFonts w:ascii="Times New Roman" w:hAnsi="宋体"/>
                <w:color w:val="auto"/>
                <w:kern w:val="0"/>
                <w:szCs w:val="21"/>
              </w:rPr>
              <w:t>　</w:t>
            </w:r>
          </w:p>
        </w:tc>
        <w:tc>
          <w:tcPr>
            <w:tcW w:w="2115"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sz w:val="20"/>
                <w:szCs w:val="20"/>
              </w:rPr>
              <w:t>切割机</w:t>
            </w:r>
          </w:p>
        </w:tc>
        <w:tc>
          <w:tcPr>
            <w:tcW w:w="1130"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台</w:t>
            </w:r>
          </w:p>
        </w:tc>
        <w:tc>
          <w:tcPr>
            <w:tcW w:w="1033" w:type="pct"/>
            <w:noWrap w:val="0"/>
            <w:vAlign w:val="center"/>
          </w:tcPr>
          <w:p>
            <w:pPr>
              <w:widowControl/>
              <w:suppressAutoHyphens w:val="0"/>
              <w:adjustRightInd w:val="0"/>
              <w:snapToGrid w:val="0"/>
              <w:jc w:val="center"/>
              <w:rPr>
                <w:rFonts w:ascii="Times New Roman" w:hAnsi="Times New Roman"/>
                <w:color w:val="auto"/>
                <w:kern w:val="0"/>
                <w:sz w:val="18"/>
                <w:szCs w:val="18"/>
              </w:rPr>
            </w:pPr>
            <w:r>
              <w:rPr>
                <w:rFonts w:ascii="Times New Roman" w:hAnsi="Times New Roman" w:eastAsia="等线"/>
                <w:color w:val="auto"/>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7</w:t>
            </w:r>
          </w:p>
        </w:tc>
        <w:tc>
          <w:tcPr>
            <w:tcW w:w="2115"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sz w:val="20"/>
                <w:szCs w:val="20"/>
              </w:rPr>
              <w:t>粉碎机</w:t>
            </w:r>
          </w:p>
        </w:tc>
        <w:tc>
          <w:tcPr>
            <w:tcW w:w="1130"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台</w:t>
            </w:r>
          </w:p>
        </w:tc>
        <w:tc>
          <w:tcPr>
            <w:tcW w:w="1033" w:type="pct"/>
            <w:noWrap w:val="0"/>
            <w:vAlign w:val="center"/>
          </w:tcPr>
          <w:p>
            <w:pPr>
              <w:widowControl/>
              <w:suppressAutoHyphens w:val="0"/>
              <w:adjustRightInd w:val="0"/>
              <w:snapToGrid w:val="0"/>
              <w:jc w:val="center"/>
              <w:rPr>
                <w:rFonts w:ascii="Times New Roman" w:hAnsi="Times New Roman"/>
                <w:color w:val="auto"/>
                <w:kern w:val="0"/>
                <w:sz w:val="18"/>
                <w:szCs w:val="18"/>
              </w:rPr>
            </w:pPr>
            <w:r>
              <w:rPr>
                <w:rFonts w:ascii="Times New Roman" w:hAnsi="Times New Roman" w:eastAsia="等线"/>
                <w:color w:val="auto"/>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pct"/>
            <w:noWrap/>
            <w:vAlign w:val="center"/>
          </w:tcPr>
          <w:p>
            <w:pPr>
              <w:widowControl/>
              <w:suppressAutoHyphens w:val="0"/>
              <w:adjustRightInd w:val="0"/>
              <w:snapToGrid w:val="0"/>
              <w:jc w:val="center"/>
              <w:rPr>
                <w:rFonts w:ascii="Times New Roman" w:hAnsi="Times New Roman"/>
                <w:color w:val="auto"/>
                <w:kern w:val="0"/>
                <w:szCs w:val="21"/>
              </w:rPr>
            </w:pPr>
            <w:r>
              <w:rPr>
                <w:rFonts w:ascii="Times New Roman" w:hAnsi="Times New Roman"/>
                <w:color w:val="auto"/>
                <w:kern w:val="0"/>
                <w:szCs w:val="21"/>
              </w:rPr>
              <w:t>8</w:t>
            </w:r>
          </w:p>
        </w:tc>
        <w:tc>
          <w:tcPr>
            <w:tcW w:w="2115"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sz w:val="20"/>
                <w:szCs w:val="20"/>
              </w:rPr>
              <w:t>淀粉分离机</w:t>
            </w:r>
          </w:p>
        </w:tc>
        <w:tc>
          <w:tcPr>
            <w:tcW w:w="1130"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台</w:t>
            </w:r>
          </w:p>
        </w:tc>
        <w:tc>
          <w:tcPr>
            <w:tcW w:w="1033" w:type="pct"/>
            <w:noWrap w:val="0"/>
            <w:vAlign w:val="center"/>
          </w:tcPr>
          <w:p>
            <w:pPr>
              <w:widowControl/>
              <w:suppressAutoHyphens w:val="0"/>
              <w:adjustRightInd w:val="0"/>
              <w:snapToGrid w:val="0"/>
              <w:jc w:val="center"/>
              <w:rPr>
                <w:rFonts w:ascii="Times New Roman" w:hAnsi="Times New Roman"/>
                <w:color w:val="auto"/>
                <w:kern w:val="0"/>
                <w:sz w:val="18"/>
                <w:szCs w:val="18"/>
              </w:rPr>
            </w:pPr>
            <w:r>
              <w:rPr>
                <w:rFonts w:ascii="Times New Roman" w:hAnsi="Times New Roman" w:eastAsia="等线"/>
                <w:color w:val="auto"/>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pct"/>
            <w:noWrap/>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宋体"/>
                <w:color w:val="auto"/>
                <w:kern w:val="0"/>
                <w:szCs w:val="21"/>
              </w:rPr>
              <w:t>9</w:t>
            </w:r>
            <w:r>
              <w:rPr>
                <w:rFonts w:ascii="Times New Roman" w:hAnsi="宋体"/>
                <w:color w:val="auto"/>
                <w:kern w:val="0"/>
                <w:szCs w:val="21"/>
              </w:rPr>
              <w:t>　</w:t>
            </w:r>
          </w:p>
        </w:tc>
        <w:tc>
          <w:tcPr>
            <w:tcW w:w="2115"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sz w:val="20"/>
                <w:szCs w:val="20"/>
              </w:rPr>
              <w:t>地磅</w:t>
            </w:r>
          </w:p>
        </w:tc>
        <w:tc>
          <w:tcPr>
            <w:tcW w:w="1130" w:type="pct"/>
            <w:noWrap w:val="0"/>
            <w:vAlign w:val="center"/>
          </w:tcPr>
          <w:p>
            <w:pPr>
              <w:widowControl/>
              <w:suppressAutoHyphens w:val="0"/>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台</w:t>
            </w:r>
          </w:p>
        </w:tc>
        <w:tc>
          <w:tcPr>
            <w:tcW w:w="1033" w:type="pct"/>
            <w:noWrap w:val="0"/>
            <w:vAlign w:val="center"/>
          </w:tcPr>
          <w:p>
            <w:pPr>
              <w:widowControl/>
              <w:suppressAutoHyphens w:val="0"/>
              <w:adjustRightInd w:val="0"/>
              <w:snapToGrid w:val="0"/>
              <w:jc w:val="center"/>
              <w:rPr>
                <w:rFonts w:ascii="Times New Roman" w:hAnsi="Times New Roman"/>
                <w:color w:val="auto"/>
                <w:kern w:val="0"/>
                <w:sz w:val="18"/>
                <w:szCs w:val="18"/>
              </w:rPr>
            </w:pPr>
            <w:r>
              <w:rPr>
                <w:rFonts w:ascii="Times New Roman" w:hAnsi="Times New Roman" w:eastAsia="等线"/>
                <w:color w:val="auto"/>
                <w:sz w:val="18"/>
                <w:szCs w:val="18"/>
              </w:rPr>
              <w:t>200</w:t>
            </w:r>
          </w:p>
        </w:tc>
      </w:tr>
    </w:tbl>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（四）搬迁补助费。</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color w:val="auto"/>
          <w:sz w:val="32"/>
          <w:szCs w:val="32"/>
          <w:shd w:val="clear" w:color="auto" w:fill="FFFFFF"/>
        </w:rPr>
        <w:t>1.人员搬迁补助费：按500元/人计算；</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color w:val="auto"/>
          <w:sz w:val="32"/>
          <w:szCs w:val="32"/>
          <w:shd w:val="clear" w:color="auto" w:fill="FFFFFF"/>
        </w:rPr>
        <w:t>2.物质设备搬迁补助费：按9元/㎡计算；</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color w:val="auto"/>
          <w:sz w:val="32"/>
          <w:szCs w:val="32"/>
          <w:shd w:val="clear" w:color="auto" w:fill="FFFFFF"/>
        </w:rPr>
        <w:t>3.建房期补助费：按3600元/人计算。</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color w:val="auto"/>
          <w:sz w:val="32"/>
          <w:szCs w:val="32"/>
          <w:shd w:val="clear" w:color="auto" w:fill="FFFFFF"/>
        </w:rPr>
        <w:t>搬迁补助</w:t>
      </w:r>
      <w:r>
        <w:rPr>
          <w:rFonts w:hint="eastAsia" w:ascii="Times New Roman" w:hAnsi="Times New Roman" w:eastAsia="仿宋_GB2312" w:cs="Times New Roman"/>
          <w:color w:val="auto"/>
          <w:sz w:val="32"/>
          <w:szCs w:val="32"/>
          <w:shd w:val="clear" w:color="auto" w:fill="FFFFFF"/>
          <w:lang w:val="en-US" w:eastAsia="zh-CN"/>
        </w:rPr>
        <w:t>费</w:t>
      </w:r>
      <w:r>
        <w:rPr>
          <w:rFonts w:hint="default" w:ascii="Times New Roman" w:hAnsi="Times New Roman" w:eastAsia="仿宋_GB2312" w:cs="Times New Roman"/>
          <w:color w:val="auto"/>
          <w:sz w:val="32"/>
          <w:szCs w:val="32"/>
          <w:shd w:val="clear" w:color="auto" w:fill="FFFFFF"/>
        </w:rPr>
        <w:t>按户计算，在搬迁协议签约后一次性发放，</w:t>
      </w:r>
      <w:r>
        <w:rPr>
          <w:rFonts w:hint="eastAsia" w:ascii="Times New Roman" w:hAnsi="Times New Roman" w:eastAsia="仿宋_GB2312" w:cs="Times New Roman"/>
          <w:color w:val="auto"/>
          <w:sz w:val="32"/>
          <w:szCs w:val="32"/>
          <w:shd w:val="clear" w:color="auto" w:fill="FFFFFF"/>
          <w:lang w:val="en-US" w:eastAsia="zh-CN"/>
        </w:rPr>
        <w:t>搬迁补助费发放后15日内移民将所属房屋腾退，地方政府组织完成房屋拆除。</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（五）其他补偿补助。</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color w:val="auto"/>
          <w:sz w:val="32"/>
          <w:szCs w:val="32"/>
          <w:shd w:val="clear" w:color="auto" w:fill="FFFFFF"/>
        </w:rPr>
        <w:t>1.分散安置人口基础设施恢复补助：3.52万元/人，包括基础设施工程费用。</w:t>
      </w:r>
      <w:r>
        <w:rPr>
          <w:rFonts w:hint="eastAsia" w:ascii="Times New Roman" w:hAnsi="Times New Roman" w:eastAsia="仿宋_GB2312" w:cs="Times New Roman"/>
          <w:color w:val="auto"/>
          <w:sz w:val="32"/>
          <w:szCs w:val="32"/>
          <w:shd w:val="clear" w:color="auto" w:fill="FFFFFF"/>
          <w:lang w:val="en-US" w:eastAsia="zh-CN"/>
        </w:rPr>
        <w:t>分散安置征地费用：7254元/户。</w:t>
      </w:r>
      <w:r>
        <w:rPr>
          <w:rFonts w:hint="default" w:ascii="Times New Roman" w:hAnsi="Times New Roman" w:eastAsia="仿宋_GB2312" w:cs="Times New Roman"/>
          <w:color w:val="auto"/>
          <w:sz w:val="32"/>
          <w:szCs w:val="32"/>
          <w:shd w:val="clear" w:color="auto" w:fill="FFFFFF"/>
        </w:rPr>
        <w:t>补助到户后，政府不再提供宅基地和基础设施配套建设。</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color w:val="auto"/>
          <w:sz w:val="32"/>
          <w:szCs w:val="32"/>
          <w:shd w:val="clear" w:color="auto" w:fill="FFFFFF"/>
        </w:rPr>
        <w:t>2.建房困难补助费：对搬迁人口中的防返贫监测对象（包括突发困难户、脱贫不稳定户、边缘易致贫户）、五保户、低保户，人均正房补偿费不足25㎡砖混结构正房补偿费的，按照人均25㎡砖混结构正房予以补足。</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3.农村宅基地处理费：以集体经济组织为计算单元，对原</w:t>
      </w:r>
      <w:r>
        <w:rPr>
          <w:rFonts w:hint="eastAsia" w:ascii="Times New Roman" w:hAnsi="Times New Roman" w:eastAsia="仿宋_GB2312" w:cs="Times New Roman"/>
          <w:color w:val="auto"/>
          <w:sz w:val="32"/>
          <w:szCs w:val="32"/>
          <w:shd w:val="clear" w:color="auto" w:fill="FFFFFF"/>
          <w:lang w:eastAsia="zh-CN"/>
        </w:rPr>
        <w:t>房屋主体面积</w:t>
      </w:r>
      <w:r>
        <w:rPr>
          <w:rFonts w:hint="default" w:ascii="Times New Roman" w:hAnsi="Times New Roman" w:eastAsia="仿宋_GB2312" w:cs="Times New Roman"/>
          <w:color w:val="auto"/>
          <w:sz w:val="32"/>
          <w:szCs w:val="32"/>
          <w:shd w:val="clear" w:color="auto" w:fill="FFFFFF"/>
        </w:rPr>
        <w:t>超出新址规划安置地</w:t>
      </w:r>
      <w:r>
        <w:rPr>
          <w:rFonts w:hint="eastAsia" w:ascii="Times New Roman" w:hAnsi="Times New Roman" w:eastAsia="仿宋_GB2312" w:cs="Times New Roman"/>
          <w:color w:val="auto"/>
          <w:sz w:val="32"/>
          <w:szCs w:val="32"/>
          <w:shd w:val="clear" w:color="auto" w:fill="FFFFFF"/>
          <w:lang w:eastAsia="zh-CN"/>
        </w:rPr>
        <w:t>基</w:t>
      </w:r>
      <w:r>
        <w:rPr>
          <w:rFonts w:hint="default" w:ascii="Times New Roman" w:hAnsi="Times New Roman" w:eastAsia="仿宋_GB2312" w:cs="Times New Roman"/>
          <w:color w:val="auto"/>
          <w:sz w:val="32"/>
          <w:szCs w:val="32"/>
          <w:shd w:val="clear" w:color="auto" w:fill="FFFFFF"/>
        </w:rPr>
        <w:t>面积</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120</w:t>
      </w:r>
      <w:r>
        <w:rPr>
          <w:rFonts w:hint="default" w:ascii="Times New Roman" w:hAnsi="Times New Roman" w:eastAsia="仿宋_GB2312" w:cs="Times New Roman"/>
          <w:color w:val="auto"/>
          <w:sz w:val="32"/>
          <w:szCs w:val="32"/>
          <w:shd w:val="clear" w:color="auto" w:fill="FFFFFF"/>
        </w:rPr>
        <w:t>m</w:t>
      </w:r>
      <w:r>
        <w:rPr>
          <w:rFonts w:hint="default" w:ascii="Times New Roman" w:hAnsi="Times New Roman" w:eastAsia="仿宋_GB2312" w:cs="Times New Roman"/>
          <w:color w:val="auto"/>
          <w:sz w:val="32"/>
          <w:szCs w:val="32"/>
          <w:shd w:val="clear" w:color="auto" w:fill="FFFFFF"/>
          <w:vertAlign w:val="superscript"/>
        </w:rPr>
        <w:t>2</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eastAsia="zh-CN"/>
        </w:rPr>
        <w:t>户）</w:t>
      </w:r>
      <w:r>
        <w:rPr>
          <w:rFonts w:hint="default" w:ascii="Times New Roman" w:hAnsi="Times New Roman" w:eastAsia="仿宋_GB2312" w:cs="Times New Roman"/>
          <w:color w:val="auto"/>
          <w:sz w:val="32"/>
          <w:szCs w:val="32"/>
          <w:shd w:val="clear" w:color="auto" w:fill="FFFFFF"/>
        </w:rPr>
        <w:t>的，其超出部分面积的补偿单价按照《省人民政府关于公布实施湖北省征地综合地价标准的通知》执行，黄沙铺镇源头村、大幕山村、大幕山林场位于区片级别Ⅲ类地区，征地区片综合地价为38500元/亩。</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4.不可搬迁设施补偿费：不可搬迁设施补偿费用按房屋补偿费用总额2%计算。</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color w:val="auto"/>
          <w:sz w:val="32"/>
          <w:szCs w:val="32"/>
          <w:shd w:val="clear" w:color="auto" w:fill="FFFFFF"/>
        </w:rPr>
        <w:t>5.个体工商户补偿费：普通房屋、附属设施等按库区统一标准补偿。对不可搬迁设施、搬迁期间的经营影响合理补偿搬迁补助费。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color w:val="auto"/>
          <w:sz w:val="32"/>
          <w:szCs w:val="32"/>
          <w:shd w:val="clear" w:color="auto" w:fill="FFFFFF"/>
        </w:rPr>
        <w:t>6.被征地农民养老保险金：由湖北通山抽水蓄能有限公司负责按《县人民政府关于印发通山县被征地农民参加基本养老保险实施办法的通知》（通山政规</w:t>
      </w:r>
      <w:r>
        <w:rPr>
          <w:rFonts w:hint="default" w:ascii="Times New Roman" w:hAnsi="Times New Roman" w:cs="Times New Roman"/>
          <w:color w:val="auto"/>
          <w:sz w:val="32"/>
          <w:szCs w:val="32"/>
          <w:shd w:val="clear" w:color="auto" w:fill="FFFFFF"/>
        </w:rPr>
        <w:t>﹝2023﹞4</w:t>
      </w:r>
      <w:r>
        <w:rPr>
          <w:rFonts w:hint="default" w:ascii="Times New Roman" w:hAnsi="Times New Roman" w:eastAsia="仿宋_GB2312" w:cs="Times New Roman"/>
          <w:color w:val="auto"/>
          <w:sz w:val="32"/>
          <w:szCs w:val="32"/>
          <w:shd w:val="clear" w:color="auto" w:fill="FFFFFF"/>
        </w:rPr>
        <w:t>号）的文件精神和通山县人力资源和社会保障局确定的金额标准缴纳。</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仿宋_GB2312" w:cs="Times New Roman"/>
          <w:color w:val="auto"/>
          <w:sz w:val="32"/>
          <w:szCs w:val="32"/>
          <w:shd w:val="clear" w:color="auto" w:fill="FFFFFF"/>
        </w:rPr>
        <w:t>7.坟墓迁移补偿费：墓地基础设施由黄沙铺镇、县民政局、县林业局、县自然资源和规划局组织统一规划设计、配套建设，5年以内坟墓迁移补偿单价为3000/冢，5-10年坟墓迁移补偿单价为2000/冢，10年以上坟墓迁移补偿单价为800/冢。</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黑体" w:cs="Times New Roman"/>
          <w:color w:val="auto"/>
          <w:sz w:val="32"/>
          <w:szCs w:val="32"/>
          <w:shd w:val="clear" w:color="auto" w:fill="FFFFFF"/>
        </w:rPr>
        <w:t>七、移民后期扶持</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default" w:ascii="Times New Roman" w:hAnsi="Times New Roman" w:eastAsia="微软雅黑" w:cs="Times New Roman"/>
          <w:color w:val="auto"/>
          <w:sz w:val="24"/>
        </w:rPr>
      </w:pPr>
      <w:r>
        <w:rPr>
          <w:rFonts w:hint="default" w:ascii="Times New Roman" w:hAnsi="Times New Roman" w:eastAsia="楷体_GB2312" w:cs="Times New Roman"/>
          <w:b/>
          <w:color w:val="auto"/>
          <w:kern w:val="0"/>
          <w:sz w:val="32"/>
          <w:szCs w:val="32"/>
          <w:shd w:val="clear" w:color="auto" w:fill="FFFFFF"/>
          <w:lang w:bidi="ar"/>
        </w:rPr>
        <w:t>（一）后期扶持对象：</w:t>
      </w:r>
      <w:r>
        <w:rPr>
          <w:rFonts w:hint="default" w:ascii="Times New Roman" w:hAnsi="Times New Roman" w:eastAsia="仿宋_GB2312" w:cs="Times New Roman"/>
          <w:color w:val="auto"/>
          <w:kern w:val="0"/>
          <w:sz w:val="32"/>
          <w:szCs w:val="32"/>
          <w:shd w:val="clear" w:color="auto" w:fill="FFFFFF"/>
          <w:lang w:bidi="ar"/>
        </w:rPr>
        <w:t>按抽水蓄能电站建设实际动迁的农村移民人口进行核定登记。在电站建设征地范围内租赁房屋和租种土地的人口不属于移民后期扶持人口。具体以省移民管理机构批准的为准。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楷体_GB2312" w:cs="Times New Roman"/>
          <w:b/>
          <w:color w:val="auto"/>
          <w:kern w:val="0"/>
          <w:sz w:val="32"/>
          <w:szCs w:val="32"/>
          <w:shd w:val="clear" w:color="auto" w:fill="FFFFFF"/>
          <w:lang w:bidi="ar"/>
        </w:rPr>
        <w:t>（二）后期扶持人口复核和扶持期限：</w:t>
      </w:r>
      <w:r>
        <w:rPr>
          <w:rFonts w:hint="default" w:ascii="Times New Roman" w:hAnsi="Times New Roman" w:eastAsia="仿宋_GB2312" w:cs="Times New Roman"/>
          <w:color w:val="auto"/>
          <w:kern w:val="0"/>
          <w:sz w:val="32"/>
          <w:szCs w:val="32"/>
          <w:shd w:val="clear" w:color="auto" w:fill="FFFFFF"/>
          <w:lang w:bidi="ar"/>
        </w:rPr>
        <w:t>移民后期扶持对象实行动态管理。在后期扶持期间，每年复核审定一次，对于不符合国家相关政策的后期扶持人口年度核定时予以核减。水库移民原迁人口后扶标准为每人每年600元，扶持期限为20年。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default" w:ascii="Times New Roman" w:hAnsi="Times New Roman" w:eastAsia="微软雅黑" w:cs="Times New Roman"/>
          <w:color w:val="auto"/>
          <w:sz w:val="24"/>
        </w:rPr>
      </w:pPr>
      <w:r>
        <w:rPr>
          <w:rFonts w:hint="default" w:ascii="Times New Roman" w:hAnsi="Times New Roman" w:eastAsia="楷体_GB2312" w:cs="Times New Roman"/>
          <w:b/>
          <w:color w:val="auto"/>
          <w:kern w:val="0"/>
          <w:sz w:val="32"/>
          <w:szCs w:val="32"/>
          <w:shd w:val="clear" w:color="auto" w:fill="FFFFFF"/>
          <w:lang w:bidi="ar"/>
        </w:rPr>
        <w:t>（三）扶持方式：</w:t>
      </w:r>
      <w:r>
        <w:rPr>
          <w:rFonts w:hint="default" w:ascii="Times New Roman" w:hAnsi="Times New Roman" w:eastAsia="仿宋_GB2312" w:cs="Times New Roman"/>
          <w:color w:val="auto"/>
          <w:kern w:val="0"/>
          <w:sz w:val="32"/>
          <w:szCs w:val="32"/>
          <w:shd w:val="clear" w:color="auto" w:fill="FFFFFF"/>
          <w:lang w:bidi="ar"/>
        </w:rPr>
        <w:t>后期扶持资金能够直接发放给移民个人的尽量发放到移民个人，用于移民生产生活补助。</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黑体" w:cs="Times New Roman"/>
          <w:color w:val="auto"/>
          <w:sz w:val="32"/>
          <w:szCs w:val="32"/>
          <w:shd w:val="clear" w:color="auto" w:fill="FFFFFF"/>
        </w:rPr>
        <w:t>八、移民技能培训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微软雅黑" w:cs="Times New Roman"/>
          <w:color w:val="auto"/>
          <w:sz w:val="24"/>
        </w:rPr>
      </w:pPr>
      <w:r>
        <w:rPr>
          <w:rFonts w:hint="default" w:ascii="Times New Roman" w:hAnsi="Times New Roman" w:eastAsia="仿宋_GB2312" w:cs="Times New Roman"/>
          <w:color w:val="auto"/>
          <w:kern w:val="0"/>
          <w:sz w:val="32"/>
          <w:szCs w:val="32"/>
          <w:shd w:val="clear" w:color="auto" w:fill="FFFFFF"/>
          <w:lang w:bidi="ar"/>
        </w:rPr>
        <w:t>由县人社局、县水利和湖泊局对具有一定文化素养的移民劳动力进行技能培训，经培训合格后，由县人社局积极为移民劳动力提供就业机会。劳动力技能培训经费从移民技术培训费中列支。</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黑体" w:cs="Times New Roman"/>
          <w:color w:val="auto"/>
          <w:sz w:val="32"/>
          <w:szCs w:val="32"/>
          <w:shd w:val="clear" w:color="auto" w:fill="FFFFFF"/>
        </w:rPr>
        <w:t>九、专业项目处理及库底清理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楷体_GB2312" w:cs="Times New Roman"/>
          <w:b/>
          <w:color w:val="auto"/>
          <w:kern w:val="0"/>
          <w:sz w:val="32"/>
          <w:szCs w:val="32"/>
          <w:shd w:val="clear" w:color="auto" w:fill="FFFFFF"/>
          <w:lang w:bidi="ar"/>
        </w:rPr>
        <w:t>（一）专业项目复建：</w:t>
      </w:r>
      <w:r>
        <w:rPr>
          <w:rFonts w:hint="default" w:ascii="Times New Roman" w:hAnsi="Times New Roman" w:eastAsia="仿宋_GB2312" w:cs="Times New Roman"/>
          <w:color w:val="auto"/>
          <w:kern w:val="0"/>
          <w:sz w:val="32"/>
          <w:szCs w:val="32"/>
          <w:shd w:val="clear" w:color="auto" w:fill="FFFFFF"/>
          <w:lang w:bidi="ar"/>
        </w:rPr>
        <w:t>交通道路复建、水利工程设施的迁移、集中居民点供水工程建设、电力、电信、通信等工程设施、文物古迹保护以及复垦工程由县指挥部按规定程序组织实施或委托相应行业主管部门实施。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楷体_GB2312" w:cs="Times New Roman"/>
          <w:b/>
          <w:color w:val="auto"/>
          <w:kern w:val="0"/>
          <w:sz w:val="32"/>
          <w:szCs w:val="32"/>
          <w:shd w:val="clear" w:color="auto" w:fill="FFFFFF"/>
          <w:lang w:bidi="ar"/>
        </w:rPr>
        <w:t>（二）专业项目补偿：</w:t>
      </w:r>
      <w:r>
        <w:rPr>
          <w:rFonts w:hint="default" w:ascii="Times New Roman" w:hAnsi="Times New Roman" w:eastAsia="仿宋_GB2312" w:cs="Times New Roman"/>
          <w:color w:val="auto"/>
          <w:kern w:val="0"/>
          <w:sz w:val="32"/>
          <w:szCs w:val="32"/>
          <w:u w:val="none"/>
          <w:shd w:val="clear" w:color="auto" w:fill="FFFFFF"/>
          <w:lang w:bidi="ar"/>
        </w:rPr>
        <w:t>水电站</w:t>
      </w:r>
      <w:r>
        <w:rPr>
          <w:rFonts w:hint="eastAsia" w:ascii="Times New Roman" w:hAnsi="Times New Roman" w:eastAsia="仿宋_GB2312" w:cs="Times New Roman"/>
          <w:color w:val="auto"/>
          <w:kern w:val="0"/>
          <w:sz w:val="32"/>
          <w:szCs w:val="32"/>
          <w:u w:val="none"/>
          <w:shd w:val="clear" w:color="auto" w:fill="FFFFFF"/>
          <w:lang w:val="en-US" w:eastAsia="zh-CN" w:bidi="ar"/>
        </w:rPr>
        <w:t>及水库</w:t>
      </w:r>
      <w:r>
        <w:rPr>
          <w:rFonts w:hint="default" w:ascii="Times New Roman" w:hAnsi="Times New Roman" w:eastAsia="仿宋_GB2312" w:cs="Times New Roman"/>
          <w:color w:val="auto"/>
          <w:kern w:val="0"/>
          <w:sz w:val="32"/>
          <w:szCs w:val="32"/>
          <w:u w:val="none"/>
          <w:shd w:val="clear" w:color="auto" w:fill="FFFFFF"/>
          <w:lang w:bidi="ar"/>
        </w:rPr>
        <w:t>的征收</w:t>
      </w:r>
      <w:r>
        <w:rPr>
          <w:rFonts w:hint="default" w:ascii="Times New Roman" w:hAnsi="Times New Roman" w:eastAsia="仿宋_GB2312" w:cs="Times New Roman"/>
          <w:color w:val="auto"/>
          <w:kern w:val="0"/>
          <w:sz w:val="32"/>
          <w:szCs w:val="32"/>
          <w:shd w:val="clear" w:color="auto" w:fill="FFFFFF"/>
          <w:lang w:bidi="ar"/>
        </w:rPr>
        <w:t>由黄沙铺镇协同县直有关职能部门同权属单位签订一次性补偿协议并完成资金补偿。</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u w:val="none"/>
          <w:shd w:val="clear" w:color="auto" w:fill="FFFFFF"/>
          <w:lang w:bidi="ar"/>
        </w:rPr>
      </w:pPr>
      <w:r>
        <w:rPr>
          <w:rFonts w:hint="default" w:ascii="Times New Roman" w:hAnsi="Times New Roman" w:eastAsia="楷体_GB2312" w:cs="Times New Roman"/>
          <w:b/>
          <w:color w:val="auto"/>
          <w:kern w:val="0"/>
          <w:sz w:val="32"/>
          <w:szCs w:val="32"/>
          <w:u w:val="none"/>
          <w:shd w:val="clear" w:color="auto" w:fill="FFFFFF"/>
          <w:lang w:bidi="ar"/>
        </w:rPr>
        <w:t>（三）库底清理：</w:t>
      </w:r>
      <w:r>
        <w:rPr>
          <w:rFonts w:hint="default" w:ascii="Times New Roman" w:hAnsi="Times New Roman" w:eastAsia="仿宋_GB2312" w:cs="Times New Roman"/>
          <w:color w:val="auto"/>
          <w:kern w:val="0"/>
          <w:sz w:val="32"/>
          <w:szCs w:val="32"/>
          <w:u w:val="none"/>
          <w:shd w:val="clear" w:color="auto" w:fill="FFFFFF"/>
          <w:lang w:bidi="ar"/>
        </w:rPr>
        <w:t>由县指挥部委托黄沙铺镇政府</w:t>
      </w:r>
      <w:r>
        <w:rPr>
          <w:rFonts w:hint="eastAsia" w:ascii="Times New Roman" w:hAnsi="Times New Roman" w:eastAsia="仿宋_GB2312" w:cs="Times New Roman"/>
          <w:color w:val="auto"/>
          <w:kern w:val="0"/>
          <w:sz w:val="32"/>
          <w:szCs w:val="32"/>
          <w:u w:val="none"/>
          <w:shd w:val="clear" w:color="auto" w:fill="FFFFFF"/>
          <w:lang w:val="en-US" w:eastAsia="zh-CN" w:bidi="ar"/>
        </w:rPr>
        <w:t>组织</w:t>
      </w:r>
      <w:r>
        <w:rPr>
          <w:rFonts w:hint="default" w:ascii="Times New Roman" w:hAnsi="Times New Roman" w:eastAsia="仿宋_GB2312" w:cs="Times New Roman"/>
          <w:color w:val="auto"/>
          <w:kern w:val="0"/>
          <w:sz w:val="32"/>
          <w:szCs w:val="32"/>
          <w:u w:val="none"/>
          <w:shd w:val="clear" w:color="auto" w:fill="FFFFFF"/>
          <w:lang w:bidi="ar"/>
        </w:rPr>
        <w:t>实施。</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黑体" w:cs="Times New Roman"/>
          <w:color w:val="auto"/>
          <w:sz w:val="32"/>
          <w:szCs w:val="32"/>
          <w:shd w:val="clear" w:color="auto" w:fill="FFFFFF"/>
        </w:rPr>
        <w:t>十、工作步骤</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（一）前期准备阶段（</w:t>
      </w:r>
      <w:r>
        <w:rPr>
          <w:rFonts w:hint="eastAsia" w:ascii="Times New Roman" w:hAnsi="Times New Roman" w:eastAsia="楷体_GB2312" w:cs="Times New Roman"/>
          <w:b/>
          <w:color w:val="auto"/>
          <w:sz w:val="32"/>
          <w:szCs w:val="32"/>
          <w:shd w:val="clear" w:color="auto" w:fill="FFFFFF"/>
          <w:lang w:val="en-US" w:eastAsia="zh-CN"/>
        </w:rPr>
        <w:t>2023</w:t>
      </w:r>
      <w:r>
        <w:rPr>
          <w:rFonts w:hint="default" w:ascii="Times New Roman" w:hAnsi="Times New Roman" w:eastAsia="楷体_GB2312" w:cs="Times New Roman"/>
          <w:b/>
          <w:color w:val="auto"/>
          <w:sz w:val="32"/>
          <w:szCs w:val="32"/>
          <w:shd w:val="clear" w:color="auto" w:fill="FFFFFF"/>
        </w:rPr>
        <w:t>年</w:t>
      </w:r>
      <w:r>
        <w:rPr>
          <w:rFonts w:hint="eastAsia" w:ascii="Times New Roman" w:hAnsi="Times New Roman" w:eastAsia="楷体_GB2312" w:cs="Times New Roman"/>
          <w:b/>
          <w:color w:val="auto"/>
          <w:sz w:val="32"/>
          <w:szCs w:val="32"/>
          <w:shd w:val="clear" w:color="auto" w:fill="FFFFFF"/>
          <w:lang w:val="en-US" w:eastAsia="zh-CN"/>
        </w:rPr>
        <w:t>2</w:t>
      </w:r>
      <w:r>
        <w:rPr>
          <w:rFonts w:hint="default" w:ascii="Times New Roman" w:hAnsi="Times New Roman" w:eastAsia="楷体_GB2312" w:cs="Times New Roman"/>
          <w:b/>
          <w:color w:val="auto"/>
          <w:sz w:val="32"/>
          <w:szCs w:val="32"/>
          <w:shd w:val="clear" w:color="auto" w:fill="FFFFFF"/>
        </w:rPr>
        <w:t>月-2023年</w:t>
      </w:r>
      <w:r>
        <w:rPr>
          <w:rFonts w:hint="eastAsia" w:ascii="Times New Roman" w:hAnsi="Times New Roman" w:eastAsia="楷体_GB2312" w:cs="Times New Roman"/>
          <w:b/>
          <w:color w:val="auto"/>
          <w:sz w:val="32"/>
          <w:szCs w:val="32"/>
          <w:shd w:val="clear" w:color="auto" w:fill="FFFFFF"/>
          <w:lang w:val="en-US" w:eastAsia="zh-CN"/>
        </w:rPr>
        <w:t>8</w:t>
      </w:r>
      <w:r>
        <w:rPr>
          <w:rFonts w:hint="default" w:ascii="Times New Roman" w:hAnsi="Times New Roman" w:eastAsia="楷体_GB2312" w:cs="Times New Roman"/>
          <w:b/>
          <w:color w:val="auto"/>
          <w:sz w:val="32"/>
          <w:szCs w:val="32"/>
          <w:shd w:val="clear" w:color="auto" w:fill="FFFFFF"/>
        </w:rPr>
        <w:t>月</w:t>
      </w:r>
      <w:r>
        <w:rPr>
          <w:rFonts w:hint="eastAsia" w:ascii="Times New Roman" w:hAnsi="Times New Roman" w:eastAsia="楷体_GB2312" w:cs="Times New Roman"/>
          <w:b/>
          <w:color w:val="auto"/>
          <w:sz w:val="32"/>
          <w:szCs w:val="32"/>
          <w:shd w:val="clear" w:color="auto" w:fill="FFFFFF"/>
          <w:lang w:val="en-US" w:eastAsia="zh-CN"/>
        </w:rPr>
        <w:t>31</w:t>
      </w:r>
      <w:r>
        <w:rPr>
          <w:rFonts w:hint="default" w:ascii="Times New Roman" w:hAnsi="Times New Roman" w:eastAsia="楷体_GB2312" w:cs="Times New Roman"/>
          <w:b/>
          <w:color w:val="auto"/>
          <w:sz w:val="32"/>
          <w:szCs w:val="32"/>
          <w:shd w:val="clear" w:color="auto" w:fill="FFFFFF"/>
        </w:rPr>
        <w:t>日）。</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1.县指挥部组建现场工作机构；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2.完成移民安置工作方案的</w:t>
      </w:r>
      <w:r>
        <w:rPr>
          <w:rFonts w:hint="eastAsia" w:ascii="Times New Roman" w:hAnsi="Times New Roman" w:eastAsia="仿宋_GB2312" w:cs="Times New Roman"/>
          <w:color w:val="auto"/>
          <w:sz w:val="32"/>
          <w:szCs w:val="32"/>
          <w:shd w:val="clear" w:color="auto" w:fill="FFFFFF"/>
          <w:lang w:eastAsia="zh-CN"/>
        </w:rPr>
        <w:t>拟订并征求意见</w:t>
      </w:r>
      <w:r>
        <w:rPr>
          <w:rFonts w:hint="default" w:ascii="Times New Roman" w:hAnsi="Times New Roman" w:eastAsia="仿宋_GB2312" w:cs="Times New Roman"/>
          <w:color w:val="auto"/>
          <w:sz w:val="32"/>
          <w:szCs w:val="32"/>
          <w:shd w:val="clear" w:color="auto" w:fill="FFFFFF"/>
        </w:rPr>
        <w:t>，报县政府</w:t>
      </w:r>
      <w:r>
        <w:rPr>
          <w:rFonts w:hint="eastAsia" w:ascii="Times New Roman" w:hAnsi="Times New Roman" w:eastAsia="仿宋_GB2312" w:cs="Times New Roman"/>
          <w:color w:val="auto"/>
          <w:sz w:val="32"/>
          <w:szCs w:val="32"/>
          <w:shd w:val="clear" w:color="auto" w:fill="FFFFFF"/>
          <w:lang w:eastAsia="zh-CN"/>
        </w:rPr>
        <w:t>审议</w:t>
      </w:r>
      <w:r>
        <w:rPr>
          <w:rFonts w:hint="default" w:ascii="Times New Roman" w:hAnsi="Times New Roman" w:eastAsia="仿宋_GB2312" w:cs="Times New Roman"/>
          <w:color w:val="auto"/>
          <w:sz w:val="32"/>
          <w:szCs w:val="32"/>
          <w:shd w:val="clear" w:color="auto" w:fill="FFFFFF"/>
        </w:rPr>
        <w:t>后发布；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3.做好实施方案、乡镇操作细则、征收补偿协议的内容审定、文本印刷工作；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4.湖北通山抽水蓄能有限公司负责协调中南院提供原实物指标调查图表等</w:t>
      </w:r>
      <w:r>
        <w:rPr>
          <w:rFonts w:hint="default" w:ascii="Times New Roman" w:hAnsi="Times New Roman" w:eastAsia="仿宋_GB2312" w:cs="Times New Roman"/>
          <w:color w:val="auto"/>
          <w:sz w:val="32"/>
          <w:szCs w:val="32"/>
          <w:u w:val="none"/>
          <w:shd w:val="clear" w:color="auto" w:fill="FFFFFF"/>
        </w:rPr>
        <w:t>有关资料</w:t>
      </w:r>
      <w:r>
        <w:rPr>
          <w:rFonts w:hint="eastAsia" w:ascii="Times New Roman" w:hAnsi="Times New Roman" w:eastAsia="仿宋_GB2312" w:cs="Times New Roman"/>
          <w:color w:val="auto"/>
          <w:sz w:val="32"/>
          <w:szCs w:val="32"/>
          <w:u w:val="none"/>
          <w:shd w:val="clear" w:color="auto" w:fill="FFFFFF"/>
          <w:lang w:val="en-US" w:eastAsia="zh-CN"/>
        </w:rPr>
        <w:t>的电子版及复印件</w:t>
      </w:r>
      <w:r>
        <w:rPr>
          <w:rFonts w:hint="default" w:ascii="Times New Roman" w:hAnsi="Times New Roman" w:eastAsia="仿宋_GB2312" w:cs="Times New Roman"/>
          <w:color w:val="auto"/>
          <w:sz w:val="32"/>
          <w:szCs w:val="32"/>
          <w:u w:val="none"/>
          <w:shd w:val="clear" w:color="auto" w:fill="FFFFFF"/>
        </w:rPr>
        <w:t>，</w:t>
      </w:r>
      <w:r>
        <w:rPr>
          <w:rFonts w:hint="default" w:ascii="Times New Roman" w:hAnsi="Times New Roman" w:eastAsia="仿宋_GB2312" w:cs="Times New Roman"/>
          <w:color w:val="auto"/>
          <w:sz w:val="32"/>
          <w:szCs w:val="32"/>
          <w:shd w:val="clear" w:color="auto" w:fill="FFFFFF"/>
        </w:rPr>
        <w:t>由县指挥部统一发放至乡镇；</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5.县指挥部做好安置补偿资金的筹措和支付准备工作。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（二）宣传动员阶段（2023年</w:t>
      </w:r>
      <w:r>
        <w:rPr>
          <w:rFonts w:hint="eastAsia" w:ascii="Times New Roman" w:hAnsi="Times New Roman" w:eastAsia="楷体_GB2312" w:cs="Times New Roman"/>
          <w:b/>
          <w:color w:val="auto"/>
          <w:sz w:val="32"/>
          <w:szCs w:val="32"/>
          <w:shd w:val="clear" w:color="auto" w:fill="FFFFFF"/>
          <w:lang w:val="en-US" w:eastAsia="zh-CN"/>
        </w:rPr>
        <w:t>9</w:t>
      </w:r>
      <w:r>
        <w:rPr>
          <w:rFonts w:hint="default" w:ascii="Times New Roman" w:hAnsi="Times New Roman" w:eastAsia="楷体_GB2312" w:cs="Times New Roman"/>
          <w:b/>
          <w:color w:val="auto"/>
          <w:sz w:val="32"/>
          <w:szCs w:val="32"/>
          <w:shd w:val="clear" w:color="auto" w:fill="FFFFFF"/>
        </w:rPr>
        <w:t>月1日-2023年</w:t>
      </w:r>
      <w:r>
        <w:rPr>
          <w:rFonts w:hint="eastAsia" w:ascii="Times New Roman" w:hAnsi="Times New Roman" w:eastAsia="楷体_GB2312" w:cs="Times New Roman"/>
          <w:b/>
          <w:color w:val="auto"/>
          <w:sz w:val="32"/>
          <w:szCs w:val="32"/>
          <w:shd w:val="clear" w:color="auto" w:fill="FFFFFF"/>
          <w:lang w:val="en-US" w:eastAsia="zh-CN"/>
        </w:rPr>
        <w:t>9</w:t>
      </w:r>
      <w:r>
        <w:rPr>
          <w:rFonts w:hint="default" w:ascii="Times New Roman" w:hAnsi="Times New Roman" w:eastAsia="楷体_GB2312" w:cs="Times New Roman"/>
          <w:b/>
          <w:color w:val="auto"/>
          <w:sz w:val="32"/>
          <w:szCs w:val="32"/>
          <w:shd w:val="clear" w:color="auto" w:fill="FFFFFF"/>
        </w:rPr>
        <w:t>月3</w:t>
      </w:r>
      <w:r>
        <w:rPr>
          <w:rFonts w:hint="eastAsia" w:ascii="Times New Roman" w:hAnsi="Times New Roman" w:eastAsia="楷体_GB2312" w:cs="Times New Roman"/>
          <w:b/>
          <w:color w:val="auto"/>
          <w:sz w:val="32"/>
          <w:szCs w:val="32"/>
          <w:shd w:val="clear" w:color="auto" w:fill="FFFFFF"/>
          <w:lang w:val="en-US" w:eastAsia="zh-CN"/>
        </w:rPr>
        <w:t>0</w:t>
      </w:r>
      <w:r>
        <w:rPr>
          <w:rFonts w:hint="default" w:ascii="Times New Roman" w:hAnsi="Times New Roman" w:eastAsia="楷体_GB2312" w:cs="Times New Roman"/>
          <w:b/>
          <w:color w:val="auto"/>
          <w:sz w:val="32"/>
          <w:szCs w:val="32"/>
          <w:shd w:val="clear" w:color="auto" w:fill="FFFFFF"/>
        </w:rPr>
        <w:t>日）。</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1.黄沙铺镇、县林业局组建包保工作专班，包保对象到户到人；</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2.各包保专班开展房屋调查原始资料的收集、核对和征收补偿资金摸底测算工作；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3.采取各种宣传方式，将移民安置的有关法律、法规和规定宣传到户；</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4.再次核定移民人口，审核、确认安置方式。</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（三）组织实施阶段（2023年</w:t>
      </w:r>
      <w:r>
        <w:rPr>
          <w:rFonts w:hint="eastAsia" w:ascii="Times New Roman" w:hAnsi="Times New Roman" w:eastAsia="楷体_GB2312" w:cs="Times New Roman"/>
          <w:b/>
          <w:color w:val="auto"/>
          <w:sz w:val="32"/>
          <w:szCs w:val="32"/>
          <w:shd w:val="clear" w:color="auto" w:fill="FFFFFF"/>
          <w:lang w:val="en-US" w:eastAsia="zh-CN"/>
        </w:rPr>
        <w:t>10</w:t>
      </w:r>
      <w:r>
        <w:rPr>
          <w:rFonts w:hint="default" w:ascii="Times New Roman" w:hAnsi="Times New Roman" w:eastAsia="楷体_GB2312" w:cs="Times New Roman"/>
          <w:b/>
          <w:color w:val="auto"/>
          <w:sz w:val="32"/>
          <w:szCs w:val="32"/>
          <w:shd w:val="clear" w:color="auto" w:fill="FFFFFF"/>
        </w:rPr>
        <w:t>月1日-2024年10月31日）。</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1.完成土地征收征用补偿协议书签订和资金补偿安置；</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2.2023年</w:t>
      </w:r>
      <w:r>
        <w:rPr>
          <w:rFonts w:hint="eastAsia"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月底前完成移民房屋征收补偿协议书签订，有序组织移民搬迁，202</w:t>
      </w:r>
      <w:r>
        <w:rPr>
          <w:rFonts w:hint="eastAsia"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年1</w:t>
      </w:r>
      <w:r>
        <w:rPr>
          <w:rFonts w:hint="eastAsia"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月完成所有房屋拆除；</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3.2023年12月底前完成公墓基础设施建设和所有坟墓迁移工作；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4.开展安置房场坪及市政基础设施建设工作，督促移民户按补偿协议约定时间开展建房；</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5.完成专业项目处理和库底清理工作，开展县级自验；</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6.完成集中安置点配套设施建设，所有安置房封顶，具备装修入住条件；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7.</w:t>
      </w:r>
      <w:r>
        <w:rPr>
          <w:rFonts w:hint="default" w:ascii="Times New Roman" w:hAnsi="Times New Roman" w:eastAsia="仿宋_GB2312" w:cs="Times New Roman"/>
          <w:color w:val="auto"/>
          <w:sz w:val="32"/>
          <w:szCs w:val="32"/>
          <w:u w:val="none"/>
          <w:shd w:val="clear" w:color="auto" w:fill="FFFFFF"/>
        </w:rPr>
        <w:t>县水利和湖泊局</w:t>
      </w:r>
      <w:r>
        <w:rPr>
          <w:rFonts w:hint="default" w:ascii="Times New Roman" w:hAnsi="Times New Roman" w:eastAsia="仿宋_GB2312" w:cs="Times New Roman"/>
          <w:color w:val="auto"/>
          <w:sz w:val="32"/>
          <w:szCs w:val="32"/>
          <w:shd w:val="clear" w:color="auto" w:fill="FFFFFF"/>
        </w:rPr>
        <w:t>及时开展移民人口的申报、审核认定和后扶政策的兑现落实。</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（四）检查验收阶段（水库下闸蓄水前一个月内）。</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shd w:val="clear" w:color="auto" w:fill="FFFFFF"/>
        </w:rPr>
        <w:t>1.完成征地补偿移民安置扫尾工作；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2.按照移民安置验收的规定，及时完成</w:t>
      </w:r>
      <w:r>
        <w:rPr>
          <w:rFonts w:hint="eastAsia" w:ascii="Times New Roman" w:hAnsi="Times New Roman" w:eastAsia="仿宋_GB2312" w:cs="Times New Roman"/>
          <w:color w:val="auto"/>
          <w:sz w:val="32"/>
          <w:szCs w:val="32"/>
          <w:shd w:val="clear" w:color="auto" w:fill="FFFFFF"/>
          <w:lang w:val="en-US" w:eastAsia="zh-CN"/>
        </w:rPr>
        <w:t>截流阶段、下闸蓄水、移民竣工验收</w:t>
      </w:r>
      <w:r>
        <w:rPr>
          <w:rFonts w:hint="default" w:ascii="Times New Roman" w:hAnsi="Times New Roman" w:eastAsia="仿宋_GB2312" w:cs="Times New Roman"/>
          <w:color w:val="auto"/>
          <w:sz w:val="32"/>
          <w:szCs w:val="32"/>
          <w:shd w:val="clear" w:color="auto" w:fill="FFFFFF"/>
        </w:rPr>
        <w:t>和档案收集整理工作。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黑体" w:cs="Times New Roman"/>
          <w:color w:val="auto"/>
          <w:sz w:val="32"/>
          <w:szCs w:val="32"/>
          <w:shd w:val="clear" w:color="auto" w:fill="FFFFFF"/>
        </w:rPr>
        <w:t>十一、工作要求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（一）提高思想认识。</w:t>
      </w:r>
      <w:r>
        <w:rPr>
          <w:rFonts w:hint="default" w:ascii="Times New Roman" w:hAnsi="Times New Roman" w:eastAsia="仿宋_GB2312" w:cs="Times New Roman"/>
          <w:color w:val="auto"/>
          <w:sz w:val="32"/>
          <w:szCs w:val="32"/>
          <w:shd w:val="clear" w:color="auto" w:fill="FFFFFF"/>
        </w:rPr>
        <w:t>抽水蓄能电站工程建设移民安置工作，事关全县经济社会发展和社会稳定，黄沙铺镇、县林业局、县直相关部门要站在讲政治的高度，充分认识征地移民安置工作的艰巨性、复杂性，切实增强责任感和使命感，做到有令则行、有禁则止，确保相关工作按工程建设进度要求高质量完成。</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color w:val="auto"/>
          <w:sz w:val="32"/>
          <w:szCs w:val="32"/>
          <w:shd w:val="clear" w:color="auto" w:fill="FFFFFF"/>
        </w:rPr>
        <w:t>（二）强化宣传引导。</w:t>
      </w:r>
      <w:r>
        <w:rPr>
          <w:rFonts w:hint="default" w:ascii="Times New Roman" w:hAnsi="Times New Roman" w:eastAsia="仿宋_GB2312" w:cs="Times New Roman"/>
          <w:color w:val="auto"/>
          <w:sz w:val="32"/>
          <w:szCs w:val="32"/>
          <w:shd w:val="clear" w:color="auto" w:fill="FFFFFF"/>
        </w:rPr>
        <w:t>黄沙铺镇、县林业局、县直相关部门适时通过广播电视、张贴标语、宣传车、召开群众会等方式，宣传移民政策，化解群众疑虑，争取群众理解、支持移民工作，引导群众依法反映情况，正确处理群众矛盾,切实维护群众的合法利益。对煽动移民起哄、闹事，参与和制造事端，聚众上访闹事，扰乱公共秩序，干扰、阻碍以及破坏工程建设和征地移民安置工作正常进行的人员，坚决予以打击。对拒不执行安置的应迁户，依法采取强制措施。</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jc w:val="both"/>
        <w:textAlignment w:val="auto"/>
        <w:rPr>
          <w:rFonts w:hint="default" w:ascii="Times New Roman" w:hAnsi="Times New Roman" w:eastAsia="微软雅黑" w:cs="Times New Roman"/>
          <w:color w:val="auto"/>
        </w:rPr>
      </w:pPr>
      <w:r>
        <w:rPr>
          <w:rFonts w:hint="default" w:ascii="Times New Roman" w:hAnsi="Times New Roman" w:eastAsia="楷体_GB2312" w:cs="Times New Roman"/>
          <w:b/>
          <w:color w:val="auto"/>
          <w:sz w:val="32"/>
          <w:szCs w:val="32"/>
          <w:shd w:val="clear" w:color="auto" w:fill="FFFFFF"/>
        </w:rPr>
        <w:t>（三）强化督查考核。</w:t>
      </w:r>
      <w:r>
        <w:rPr>
          <w:rFonts w:hint="default" w:ascii="Times New Roman" w:hAnsi="Times New Roman" w:eastAsia="仿宋_GB2312" w:cs="Times New Roman"/>
          <w:color w:val="auto"/>
          <w:sz w:val="32"/>
          <w:szCs w:val="32"/>
          <w:shd w:val="clear" w:color="auto" w:fill="FFFFFF"/>
        </w:rPr>
        <w:t>县指挥部要会同相关单位加大对移民安置工作跟踪督查，及时反馈工作的进展情况及存在的问题，定期组织人员检查移民安置实施进度，严格考核奖惩。对工作推进有力的单位和个人予以表彰奖励；对因工作重视力度不够、推进不力，导致移民安置工作推进缓慢的，按有关规定从严追责问责。</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default" w:ascii="Times New Roman" w:hAnsi="Times New Roman" w:eastAsia="微软雅黑" w:cs="Times New Roman"/>
          <w:color w:val="auto"/>
          <w:sz w:val="24"/>
        </w:rPr>
      </w:pPr>
      <w:r>
        <w:rPr>
          <w:rFonts w:hint="default" w:ascii="Times New Roman" w:hAnsi="Times New Roman" w:eastAsia="黑体" w:cs="Times New Roman"/>
          <w:color w:val="auto"/>
          <w:kern w:val="0"/>
          <w:sz w:val="32"/>
          <w:szCs w:val="32"/>
          <w:shd w:val="clear" w:color="auto" w:fill="FFFFFF"/>
          <w:lang w:bidi="ar"/>
        </w:rPr>
        <w:t>十二、</w:t>
      </w:r>
      <w:r>
        <w:rPr>
          <w:rFonts w:hint="default" w:ascii="Times New Roman" w:hAnsi="Times New Roman" w:eastAsia="仿宋_GB2312" w:cs="Times New Roman"/>
          <w:color w:val="auto"/>
          <w:kern w:val="0"/>
          <w:sz w:val="32"/>
          <w:szCs w:val="32"/>
          <w:shd w:val="clear" w:color="auto" w:fill="FFFFFF"/>
          <w:lang w:bidi="ar"/>
        </w:rPr>
        <w:t>《湖北通山（大幕山）抽水蓄能电站建设征地补偿和移民安置实施方案》由湖北通山（大幕山）抽水蓄能电站建设指挥部办公室负责解释。</w:t>
      </w:r>
    </w:p>
    <w:p/>
    <w:sectPr>
      <w:footerReference r:id="rId3" w:type="default"/>
      <w:pgSz w:w="11906" w:h="16838"/>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YTRmMjc1NmIyODQ5ZmVmOGRhMDYyOTAzNGY5ZmQifQ=="/>
  </w:docVars>
  <w:rsids>
    <w:rsidRoot w:val="09A55116"/>
    <w:rsid w:val="09A5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6">
    <w:name w:val="表标题"/>
    <w:basedOn w:val="1"/>
    <w:next w:val="1"/>
    <w:qFormat/>
    <w:uiPriority w:val="0"/>
    <w:pPr>
      <w:widowControl/>
      <w:suppressAutoHyphens w:val="0"/>
      <w:adjustRightInd w:val="0"/>
      <w:snapToGrid w:val="0"/>
      <w:spacing w:before="168" w:beforeLines="70" w:after="48"/>
      <w:jc w:val="center"/>
    </w:pPr>
    <w:rPr>
      <w:rFonts w:ascii="Times New Roman" w:hAnsi="Times New Roman" w:eastAsia="黑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2023-10-13T09:12:00Z</dcterms:created>
  <dc:creator>文文</dc:creator>
  <cp:lastModifiedBy>文文</cp:lastModifiedBy>
  <dcterms:modified xsi:type="dcterms:W3CDTF">2023-10-13T09:13:00Z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9382457E44794EA3892DF518B43F9525_11</vt:lpwstr>
  </property>
</Properties>
</file>