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08F6">
      <w:pPr>
        <w:spacing w:line="520" w:lineRule="exact"/>
        <w:jc w:val="center"/>
        <w:rPr>
          <w:rFonts w:asciiTheme="minorEastAsia" w:hAnsiTheme="minorEastAsia" w:eastAsiaTheme="minorEastAsia" w:cstheme="minorEastAsia"/>
          <w:sz w:val="44"/>
          <w:szCs w:val="44"/>
        </w:rPr>
      </w:pPr>
      <w:r>
        <w:rPr>
          <w:rFonts w:hint="eastAsia" w:ascii="方正小标宋简体" w:hAnsi="方正小标宋简体" w:eastAsia="方正小标宋简体" w:cs="方正小标宋简体"/>
          <w:sz w:val="44"/>
          <w:szCs w:val="44"/>
        </w:rPr>
        <w:t>项目比价文件</w:t>
      </w:r>
    </w:p>
    <w:p w14:paraId="4443617E">
      <w:pPr>
        <w:spacing w:line="520" w:lineRule="exact"/>
        <w:jc w:val="center"/>
        <w:rPr>
          <w:rFonts w:asciiTheme="minorEastAsia" w:hAnsiTheme="minorEastAsia" w:eastAsiaTheme="minorEastAsia" w:cstheme="minorEastAsia"/>
          <w:sz w:val="44"/>
          <w:szCs w:val="44"/>
        </w:rPr>
      </w:pPr>
    </w:p>
    <w:p w14:paraId="299AB371">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枝江市园林绿化中心</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年劳务派遣</w:t>
      </w:r>
      <w:r>
        <w:rPr>
          <w:rFonts w:hint="eastAsia" w:ascii="仿宋_GB2312" w:hAnsi="仿宋_GB2312" w:eastAsia="仿宋_GB2312" w:cs="仿宋_GB2312"/>
          <w:sz w:val="32"/>
          <w:szCs w:val="32"/>
        </w:rPr>
        <w:t>项目进行比价采购，现邀请你公司前来参与报价。</w:t>
      </w:r>
    </w:p>
    <w:p w14:paraId="4EF263C6">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rPr>
        <w:t>:劳务派遣</w:t>
      </w:r>
    </w:p>
    <w:p w14:paraId="4EEE7325">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sz w:val="32"/>
          <w:szCs w:val="32"/>
          <w:u w:val="single"/>
        </w:rPr>
      </w:pPr>
      <w:r>
        <w:rPr>
          <w:rFonts w:hint="eastAsia" w:ascii="黑体" w:hAnsi="黑体" w:eastAsia="黑体" w:cs="黑体"/>
          <w:sz w:val="32"/>
          <w:szCs w:val="32"/>
        </w:rPr>
        <w:t>二、采购内容</w:t>
      </w:r>
      <w:r>
        <w:rPr>
          <w:rFonts w:hint="eastAsia" w:ascii="仿宋_GB2312" w:hAnsi="仿宋_GB2312" w:eastAsia="仿宋_GB2312" w:cs="仿宋_GB2312"/>
          <w:sz w:val="32"/>
          <w:szCs w:val="32"/>
        </w:rPr>
        <w:t>：</w:t>
      </w:r>
    </w:p>
    <w:p w14:paraId="11CCBC5E">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82828"/>
          <w:sz w:val="32"/>
          <w:szCs w:val="32"/>
          <w:shd w:val="clear" w:color="auto" w:fill="FFFFFF"/>
          <w:lang w:val="en-US" w:eastAsia="zh-CN"/>
        </w:rPr>
        <w:t>2</w:t>
      </w:r>
      <w:r>
        <w:rPr>
          <w:rFonts w:hint="eastAsia" w:ascii="仿宋_GB2312" w:hAnsi="仿宋_GB2312" w:eastAsia="仿宋_GB2312" w:cs="仿宋_GB2312"/>
          <w:color w:val="282828"/>
          <w:sz w:val="32"/>
          <w:szCs w:val="32"/>
          <w:shd w:val="clear" w:color="auto" w:fill="FFFFFF"/>
        </w:rPr>
        <w:t>名劳务派遣人员</w:t>
      </w:r>
      <w:r>
        <w:rPr>
          <w:rFonts w:hint="eastAsia" w:ascii="仿宋_GB2312" w:hAnsi="仿宋_GB2312" w:eastAsia="仿宋_GB2312" w:cs="仿宋_GB2312"/>
          <w:color w:val="282828"/>
          <w:sz w:val="32"/>
          <w:szCs w:val="32"/>
          <w:shd w:val="clear" w:color="auto" w:fill="FFFFFF"/>
          <w:lang w:eastAsia="zh-CN"/>
        </w:rPr>
        <w:t>，</w:t>
      </w:r>
      <w:r>
        <w:rPr>
          <w:rFonts w:hint="eastAsia" w:ascii="仿宋_GB2312" w:hAnsi="仿宋_GB2312" w:eastAsia="仿宋_GB2312" w:cs="仿宋_GB2312"/>
          <w:color w:val="282828"/>
          <w:sz w:val="32"/>
          <w:szCs w:val="32"/>
          <w:shd w:val="clear" w:color="auto" w:fill="FFFFFF"/>
        </w:rPr>
        <w:t>从事驾驶员岗位。具体要求：</w:t>
      </w:r>
      <w:r>
        <w:rPr>
          <w:rFonts w:hint="eastAsia" w:ascii="仿宋_GB2312" w:hAnsi="仿宋_GB2312" w:eastAsia="仿宋_GB2312" w:cs="仿宋_GB2312"/>
          <w:color w:val="282828"/>
          <w:sz w:val="32"/>
          <w:szCs w:val="32"/>
          <w:shd w:val="clear" w:color="auto" w:fill="FFFFFF"/>
          <w:lang w:eastAsia="zh-CN"/>
        </w:rPr>
        <w:t>需具备</w:t>
      </w:r>
      <w:r>
        <w:rPr>
          <w:rFonts w:hint="eastAsia" w:ascii="仿宋_GB2312" w:hAnsi="仿宋_GB2312" w:eastAsia="仿宋_GB2312" w:cs="仿宋_GB2312"/>
          <w:color w:val="282828"/>
          <w:sz w:val="32"/>
          <w:szCs w:val="32"/>
          <w:shd w:val="clear" w:color="auto" w:fill="FFFFFF"/>
        </w:rPr>
        <w:t>机动车驾照B照及以上证照。</w:t>
      </w:r>
    </w:p>
    <w:p w14:paraId="01194C3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采购预算</w:t>
      </w:r>
      <w:r>
        <w:rPr>
          <w:rFonts w:hint="eastAsia" w:ascii="仿宋_GB2312" w:hAnsi="仿宋_GB2312" w:eastAsia="仿宋_GB2312" w:cs="仿宋_GB2312"/>
          <w:sz w:val="32"/>
          <w:szCs w:val="32"/>
        </w:rPr>
        <w:t>:</w:t>
      </w:r>
    </w:p>
    <w:p w14:paraId="0BCB01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282828"/>
          <w:sz w:val="32"/>
          <w:szCs w:val="32"/>
          <w:highlight w:val="none"/>
          <w:shd w:val="clear" w:color="auto" w:fill="FFFFFF"/>
        </w:rPr>
      </w:pPr>
      <w:r>
        <w:rPr>
          <w:rFonts w:hint="eastAsia" w:ascii="仿宋_GB2312" w:hAnsi="仿宋_GB2312" w:eastAsia="仿宋_GB2312" w:cs="仿宋_GB2312"/>
          <w:color w:val="282828"/>
          <w:sz w:val="32"/>
          <w:szCs w:val="32"/>
          <w:highlight w:val="none"/>
          <w:shd w:val="clear" w:color="auto" w:fill="FFFFFF"/>
        </w:rPr>
        <w:t>工资标准2</w:t>
      </w:r>
      <w:r>
        <w:rPr>
          <w:rFonts w:hint="eastAsia" w:ascii="仿宋_GB2312" w:hAnsi="仿宋_GB2312" w:eastAsia="仿宋_GB2312" w:cs="仿宋_GB2312"/>
          <w:color w:val="282828"/>
          <w:sz w:val="32"/>
          <w:szCs w:val="32"/>
          <w:highlight w:val="none"/>
          <w:shd w:val="clear" w:color="auto" w:fill="FFFFFF"/>
          <w:lang w:val="en-US" w:eastAsia="zh-CN"/>
        </w:rPr>
        <w:t>92</w:t>
      </w:r>
      <w:r>
        <w:rPr>
          <w:rFonts w:hint="eastAsia" w:ascii="仿宋_GB2312" w:hAnsi="仿宋_GB2312" w:eastAsia="仿宋_GB2312" w:cs="仿宋_GB2312"/>
          <w:color w:val="282828"/>
          <w:sz w:val="32"/>
          <w:szCs w:val="32"/>
          <w:highlight w:val="none"/>
          <w:shd w:val="clear" w:color="auto" w:fill="FFFFFF"/>
        </w:rPr>
        <w:t>0元/人/月（包含保险个人部分及节假日福利）</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rPr>
        <w:t>社保缴费基数</w:t>
      </w:r>
      <w:r>
        <w:rPr>
          <w:rFonts w:hint="eastAsia" w:ascii="仿宋_GB2312" w:hAnsi="仿宋_GB2312" w:eastAsia="仿宋_GB2312" w:cs="仿宋_GB2312"/>
          <w:color w:val="282828"/>
          <w:sz w:val="32"/>
          <w:szCs w:val="32"/>
          <w:highlight w:val="none"/>
          <w:shd w:val="clear" w:color="auto" w:fill="FFFFFF"/>
          <w:lang w:val="en-US" w:eastAsia="zh-CN"/>
        </w:rPr>
        <w:t>4299</w:t>
      </w:r>
      <w:r>
        <w:rPr>
          <w:rFonts w:hint="eastAsia" w:ascii="仿宋_GB2312" w:hAnsi="仿宋_GB2312" w:eastAsia="仿宋_GB2312" w:cs="仿宋_GB2312"/>
          <w:color w:val="282828"/>
          <w:sz w:val="32"/>
          <w:szCs w:val="32"/>
          <w:highlight w:val="none"/>
          <w:shd w:val="clear" w:color="auto" w:fill="FFFFFF"/>
        </w:rPr>
        <w:t>，单位部分保险缴费金额</w:t>
      </w:r>
      <w:r>
        <w:rPr>
          <w:rFonts w:hint="eastAsia" w:ascii="仿宋_GB2312" w:hAnsi="仿宋_GB2312" w:eastAsia="仿宋_GB2312" w:cs="仿宋_GB2312"/>
          <w:color w:val="282828"/>
          <w:sz w:val="32"/>
          <w:szCs w:val="32"/>
          <w:highlight w:val="none"/>
          <w:shd w:val="clear" w:color="auto" w:fill="FFFFFF"/>
          <w:lang w:val="en-US" w:eastAsia="zh-CN"/>
        </w:rPr>
        <w:t>1142.94</w:t>
      </w:r>
      <w:r>
        <w:rPr>
          <w:rFonts w:hint="eastAsia" w:ascii="仿宋_GB2312" w:hAnsi="仿宋_GB2312" w:eastAsia="仿宋_GB2312" w:cs="仿宋_GB2312"/>
          <w:color w:val="282828"/>
          <w:sz w:val="32"/>
          <w:szCs w:val="32"/>
          <w:highlight w:val="none"/>
          <w:shd w:val="clear" w:color="auto" w:fill="FFFFFF"/>
        </w:rPr>
        <w:t>元/人/月（实际缴费金额按社保基数实缴到社保局为准）；雇主险400元/人/年。人员共计</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人，期间因人员增减，所付劳务费据实结算。月服务费120元/人以内，采购年限1年。合计采购预算（2</w:t>
      </w:r>
      <w:r>
        <w:rPr>
          <w:rFonts w:hint="eastAsia" w:ascii="仿宋_GB2312" w:hAnsi="仿宋_GB2312" w:eastAsia="仿宋_GB2312" w:cs="仿宋_GB2312"/>
          <w:color w:val="282828"/>
          <w:sz w:val="32"/>
          <w:szCs w:val="32"/>
          <w:highlight w:val="none"/>
          <w:shd w:val="clear" w:color="auto" w:fill="FFFFFF"/>
          <w:lang w:val="en-US" w:eastAsia="zh-CN"/>
        </w:rPr>
        <w:t>92</w:t>
      </w:r>
      <w:r>
        <w:rPr>
          <w:rFonts w:hint="eastAsia" w:ascii="仿宋_GB2312" w:hAnsi="仿宋_GB2312" w:eastAsia="仿宋_GB2312" w:cs="仿宋_GB2312"/>
          <w:color w:val="282828"/>
          <w:sz w:val="32"/>
          <w:szCs w:val="32"/>
          <w:highlight w:val="none"/>
          <w:shd w:val="clear" w:color="auto" w:fill="FFFFFF"/>
        </w:rPr>
        <w:t>0*2+</w:t>
      </w:r>
      <w:r>
        <w:rPr>
          <w:rFonts w:hint="eastAsia" w:ascii="仿宋_GB2312" w:hAnsi="仿宋_GB2312" w:eastAsia="仿宋_GB2312" w:cs="仿宋_GB2312"/>
          <w:color w:val="282828"/>
          <w:sz w:val="32"/>
          <w:szCs w:val="32"/>
          <w:highlight w:val="none"/>
          <w:shd w:val="clear" w:color="auto" w:fill="FFFFFF"/>
          <w:lang w:val="en-US" w:eastAsia="zh-CN"/>
        </w:rPr>
        <w:t>1142.94</w:t>
      </w:r>
      <w:r>
        <w:rPr>
          <w:rFonts w:hint="eastAsia" w:ascii="仿宋_GB2312" w:hAnsi="仿宋_GB2312" w:eastAsia="仿宋_GB2312" w:cs="仿宋_GB2312"/>
          <w:color w:val="282828"/>
          <w:sz w:val="32"/>
          <w:szCs w:val="32"/>
          <w:highlight w:val="none"/>
          <w:shd w:val="clear" w:color="auto" w:fill="FFFFFF"/>
        </w:rPr>
        <w:t>*</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+120*</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）*12+</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lang w:val="en-US" w:eastAsia="zh-CN"/>
        </w:rPr>
        <w:t>2</w:t>
      </w:r>
      <w:r>
        <w:rPr>
          <w:rFonts w:hint="eastAsia" w:ascii="仿宋_GB2312" w:hAnsi="仿宋_GB2312" w:eastAsia="仿宋_GB2312" w:cs="仿宋_GB2312"/>
          <w:color w:val="282828"/>
          <w:sz w:val="32"/>
          <w:szCs w:val="32"/>
          <w:highlight w:val="none"/>
          <w:shd w:val="clear" w:color="auto" w:fill="FFFFFF"/>
        </w:rPr>
        <w:t>*400</w:t>
      </w:r>
      <w:r>
        <w:rPr>
          <w:rFonts w:hint="eastAsia" w:ascii="仿宋_GB2312" w:hAnsi="仿宋_GB2312" w:eastAsia="仿宋_GB2312" w:cs="仿宋_GB2312"/>
          <w:color w:val="282828"/>
          <w:sz w:val="32"/>
          <w:szCs w:val="32"/>
          <w:highlight w:val="none"/>
          <w:shd w:val="clear" w:color="auto" w:fill="FFFFFF"/>
          <w:lang w:eastAsia="zh-CN"/>
        </w:rPr>
        <w:t>）</w:t>
      </w:r>
      <w:r>
        <w:rPr>
          <w:rFonts w:hint="eastAsia" w:ascii="仿宋_GB2312" w:hAnsi="仿宋_GB2312" w:eastAsia="仿宋_GB2312" w:cs="仿宋_GB2312"/>
          <w:color w:val="282828"/>
          <w:sz w:val="32"/>
          <w:szCs w:val="32"/>
          <w:highlight w:val="none"/>
          <w:shd w:val="clear" w:color="auto" w:fill="FFFFFF"/>
        </w:rPr>
        <w:t>=</w:t>
      </w:r>
      <w:r>
        <w:rPr>
          <w:rFonts w:hint="eastAsia" w:ascii="仿宋_GB2312" w:hAnsi="仿宋_GB2312" w:eastAsia="仿宋_GB2312" w:cs="仿宋_GB2312"/>
          <w:color w:val="282828"/>
          <w:sz w:val="32"/>
          <w:szCs w:val="32"/>
          <w:highlight w:val="none"/>
          <w:shd w:val="clear" w:color="auto" w:fill="FFFFFF"/>
          <w:lang w:val="en-US" w:eastAsia="zh-CN"/>
        </w:rPr>
        <w:t>101190.56</w:t>
      </w:r>
      <w:r>
        <w:rPr>
          <w:rFonts w:hint="eastAsia" w:ascii="仿宋_GB2312" w:hAnsi="仿宋_GB2312" w:eastAsia="仿宋_GB2312" w:cs="仿宋_GB2312"/>
          <w:color w:val="282828"/>
          <w:sz w:val="32"/>
          <w:szCs w:val="32"/>
          <w:highlight w:val="none"/>
          <w:shd w:val="clear" w:color="auto" w:fill="FFFFFF"/>
        </w:rPr>
        <w:t>元。</w:t>
      </w:r>
    </w:p>
    <w:p w14:paraId="6FF7968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四、供应商资格条件</w:t>
      </w:r>
    </w:p>
    <w:p w14:paraId="6FFE8EED">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1.供应商应具备《政府采购法》第二十二条第一款规定的条件,具有合法有效的营业执照（提供营业执照复印件加盖公章）</w:t>
      </w:r>
      <w:r>
        <w:rPr>
          <w:rFonts w:hint="eastAsia" w:ascii="仿宋_GB2312" w:hAnsi="仿宋_GB2312" w:eastAsia="仿宋_GB2312" w:cs="仿宋_GB2312"/>
          <w:bCs/>
          <w:sz w:val="32"/>
          <w:szCs w:val="32"/>
        </w:rPr>
        <w:t>。</w:t>
      </w:r>
    </w:p>
    <w:p w14:paraId="4CC31748">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2.供应商应具备《劳务派遣经营许可证》和《人力资源服务许可证》（提供复印件并加盖公章）</w:t>
      </w:r>
      <w:r>
        <w:rPr>
          <w:rFonts w:hint="eastAsia" w:ascii="仿宋_GB2312" w:hAnsi="仿宋_GB2312" w:eastAsia="仿宋_GB2312" w:cs="仿宋_GB2312"/>
          <w:bCs/>
          <w:sz w:val="32"/>
          <w:szCs w:val="32"/>
        </w:rPr>
        <w:t>。</w:t>
      </w:r>
    </w:p>
    <w:p w14:paraId="52E39575">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3.采购项目的特殊条件要求: </w:t>
      </w:r>
      <w:r>
        <w:rPr>
          <w:rFonts w:hint="eastAsia" w:ascii="仿宋_GB2312" w:hAnsi="仿宋_GB2312" w:eastAsia="仿宋_GB2312" w:cs="仿宋_GB2312"/>
          <w:sz w:val="32"/>
          <w:szCs w:val="32"/>
          <w:u w:val="single"/>
        </w:rPr>
        <w:t xml:space="preserve">    无    </w:t>
      </w:r>
      <w:r>
        <w:rPr>
          <w:rFonts w:hint="eastAsia" w:ascii="仿宋_GB2312" w:hAnsi="仿宋_GB2312" w:eastAsia="仿宋_GB2312" w:cs="仿宋_GB2312"/>
          <w:sz w:val="32"/>
          <w:szCs w:val="32"/>
        </w:rPr>
        <w:t>。</w:t>
      </w:r>
    </w:p>
    <w:p w14:paraId="3BFAACA9">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shd w:val="clear" w:color="auto" w:fill="FFFFFF"/>
        </w:rPr>
        <w:t>响应文件递交截止时间当天，在“信用中国”网站(www.creditchina.gov.cn)、中国政府采购网(www.ccgp.gov.cn)查询，供应商未被列入信用记录失信被执行人、重大税收违法案件当事人名单、政府采购严重违法失信行为记录名单。</w:t>
      </w:r>
    </w:p>
    <w:p w14:paraId="66A22E2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五、获取比价文件和报名</w:t>
      </w:r>
    </w:p>
    <w:p w14:paraId="421D07F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shd w:val="clear" w:color="auto" w:fill="FFFFFF"/>
        </w:rPr>
        <w:t>1.发放时间：202</w:t>
      </w:r>
      <w:r>
        <w:rPr>
          <w:rFonts w:hint="eastAsia" w:ascii="仿宋_GB2312" w:hAnsi="仿宋_GB2312" w:eastAsia="仿宋_GB2312" w:cs="仿宋_GB2312"/>
          <w:color w:val="282828"/>
          <w:sz w:val="32"/>
          <w:szCs w:val="32"/>
          <w:shd w:val="clear" w:color="auto" w:fill="FFFFFF"/>
          <w:lang w:val="en-US" w:eastAsia="zh-CN"/>
        </w:rPr>
        <w:t>6</w:t>
      </w:r>
      <w:r>
        <w:rPr>
          <w:rFonts w:hint="eastAsia" w:ascii="仿宋_GB2312" w:hAnsi="仿宋_GB2312" w:eastAsia="仿宋_GB2312" w:cs="仿宋_GB2312"/>
          <w:color w:val="282828"/>
          <w:sz w:val="32"/>
          <w:szCs w:val="32"/>
          <w:shd w:val="clear" w:color="auto" w:fill="FFFFFF"/>
        </w:rPr>
        <w:t>年</w:t>
      </w:r>
      <w:r>
        <w:rPr>
          <w:rFonts w:hint="eastAsia" w:ascii="仿宋_GB2312" w:hAnsi="仿宋_GB2312" w:eastAsia="仿宋_GB2312" w:cs="仿宋_GB2312"/>
          <w:color w:val="282828"/>
          <w:sz w:val="32"/>
          <w:szCs w:val="32"/>
          <w:shd w:val="clear" w:color="auto" w:fill="FFFFFF"/>
          <w:lang w:val="en-US" w:eastAsia="zh-CN"/>
        </w:rPr>
        <w:t>4</w:t>
      </w:r>
      <w:r>
        <w:rPr>
          <w:rFonts w:hint="eastAsia" w:ascii="仿宋_GB2312" w:hAnsi="仿宋_GB2312" w:eastAsia="仿宋_GB2312" w:cs="仿宋_GB2312"/>
          <w:color w:val="282828"/>
          <w:sz w:val="32"/>
          <w:szCs w:val="32"/>
          <w:shd w:val="clear" w:color="auto" w:fill="FFFFFF"/>
        </w:rPr>
        <w:t>月</w:t>
      </w:r>
      <w:r>
        <w:rPr>
          <w:rFonts w:hint="eastAsia" w:ascii="仿宋_GB2312" w:hAnsi="仿宋_GB2312" w:eastAsia="仿宋_GB2312" w:cs="仿宋_GB2312"/>
          <w:color w:val="282828"/>
          <w:sz w:val="32"/>
          <w:szCs w:val="32"/>
          <w:shd w:val="clear" w:color="auto" w:fill="FFFFFF"/>
          <w:lang w:val="en-US" w:eastAsia="zh-CN"/>
        </w:rPr>
        <w:t>8</w:t>
      </w:r>
      <w:r>
        <w:rPr>
          <w:rFonts w:hint="eastAsia" w:ascii="仿宋_GB2312" w:hAnsi="仿宋_GB2312" w:eastAsia="仿宋_GB2312" w:cs="仿宋_GB2312"/>
          <w:color w:val="282828"/>
          <w:sz w:val="32"/>
          <w:szCs w:val="32"/>
          <w:shd w:val="clear" w:color="auto" w:fill="FFFFFF"/>
        </w:rPr>
        <w:t>日起至202</w:t>
      </w:r>
      <w:r>
        <w:rPr>
          <w:rFonts w:hint="eastAsia" w:ascii="仿宋_GB2312" w:hAnsi="仿宋_GB2312" w:eastAsia="仿宋_GB2312" w:cs="仿宋_GB2312"/>
          <w:color w:val="282828"/>
          <w:sz w:val="32"/>
          <w:szCs w:val="32"/>
          <w:shd w:val="clear" w:color="auto" w:fill="FFFFFF"/>
          <w:lang w:val="en-US" w:eastAsia="zh-CN"/>
        </w:rPr>
        <w:t>6</w:t>
      </w:r>
      <w:r>
        <w:rPr>
          <w:rFonts w:hint="eastAsia" w:ascii="仿宋_GB2312" w:hAnsi="仿宋_GB2312" w:eastAsia="仿宋_GB2312" w:cs="仿宋_GB2312"/>
          <w:color w:val="282828"/>
          <w:sz w:val="32"/>
          <w:szCs w:val="32"/>
          <w:shd w:val="clear" w:color="auto" w:fill="FFFFFF"/>
        </w:rPr>
        <w:t>年</w:t>
      </w:r>
      <w:r>
        <w:rPr>
          <w:rFonts w:hint="eastAsia" w:ascii="仿宋_GB2312" w:hAnsi="仿宋_GB2312" w:eastAsia="仿宋_GB2312" w:cs="仿宋_GB2312"/>
          <w:color w:val="282828"/>
          <w:sz w:val="32"/>
          <w:szCs w:val="32"/>
          <w:shd w:val="clear" w:color="auto" w:fill="FFFFFF"/>
          <w:lang w:val="en-US" w:eastAsia="zh-CN"/>
        </w:rPr>
        <w:t>4</w:t>
      </w:r>
      <w:r>
        <w:rPr>
          <w:rFonts w:hint="eastAsia" w:ascii="仿宋_GB2312" w:hAnsi="仿宋_GB2312" w:eastAsia="仿宋_GB2312" w:cs="仿宋_GB2312"/>
          <w:color w:val="282828"/>
          <w:sz w:val="32"/>
          <w:szCs w:val="32"/>
          <w:shd w:val="clear" w:color="auto" w:fill="FFFFFF"/>
        </w:rPr>
        <w:t>月</w:t>
      </w:r>
      <w:r>
        <w:rPr>
          <w:rFonts w:hint="eastAsia" w:ascii="仿宋_GB2312" w:hAnsi="仿宋_GB2312" w:eastAsia="仿宋_GB2312" w:cs="仿宋_GB2312"/>
          <w:color w:val="282828"/>
          <w:sz w:val="32"/>
          <w:szCs w:val="32"/>
          <w:shd w:val="clear" w:color="auto" w:fill="FFFFFF"/>
          <w:lang w:val="en-US" w:eastAsia="zh-CN"/>
        </w:rPr>
        <w:t>15</w:t>
      </w:r>
      <w:r>
        <w:rPr>
          <w:rFonts w:hint="eastAsia" w:ascii="仿宋_GB2312" w:hAnsi="仿宋_GB2312" w:eastAsia="仿宋_GB2312" w:cs="仿宋_GB2312"/>
          <w:color w:val="282828"/>
          <w:sz w:val="32"/>
          <w:szCs w:val="32"/>
          <w:shd w:val="clear" w:color="auto" w:fill="FFFFFF"/>
        </w:rPr>
        <w:t>日止（工作日8:30-12:00，14:00-17:30）。</w:t>
      </w:r>
    </w:p>
    <w:p w14:paraId="23F7181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shd w:val="clear" w:color="auto" w:fill="FFFFFF"/>
        </w:rPr>
        <w:t>2.发放方式：现场报名领取比价文件。报名时供应商需提交授权委托书原件以及营业执照的复印件加盖公章。</w:t>
      </w:r>
    </w:p>
    <w:p w14:paraId="52395B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82828"/>
          <w:sz w:val="32"/>
          <w:szCs w:val="32"/>
          <w:shd w:val="clear" w:color="auto" w:fill="FFFFFF"/>
        </w:rPr>
        <w:t>3.发放地点：马家店迎宾大道169号枝江市园林绿化中心。</w:t>
      </w:r>
    </w:p>
    <w:p w14:paraId="41E76A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六、响应文件编制</w:t>
      </w:r>
    </w:p>
    <w:p w14:paraId="787A4BF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1.供应商应认真阅读、并充分理解本比价文件的全部内容（包括所有的补充、修改内容），承诺并履行本比价文件中各项条款规定及要求。</w:t>
      </w:r>
    </w:p>
    <w:p w14:paraId="089E851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2.响应文件应按本文件的全部内容，包括所有的补充通知及附件进行编制。</w:t>
      </w:r>
    </w:p>
    <w:p w14:paraId="276665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3.如因供应商只填写和提供了本文件要求的部分内容和附件，比价小组将拒绝其补充。</w:t>
      </w:r>
    </w:p>
    <w:p w14:paraId="4EF6994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4.响应文件的组成</w:t>
      </w:r>
    </w:p>
    <w:p w14:paraId="4427D247">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不限于以下内容，如未提供，比价小组有权拒绝其响应文件：</w:t>
      </w:r>
    </w:p>
    <w:p w14:paraId="0B8EA78D">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（1）报价一览表；</w:t>
      </w:r>
    </w:p>
    <w:p w14:paraId="7AD6AE1F">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（2）法人身份证复印件；</w:t>
      </w:r>
    </w:p>
    <w:p w14:paraId="3E128857">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（3）法人（负责人）代表授权书及代理人身份证复印件</w:t>
      </w:r>
    </w:p>
    <w:p w14:paraId="31EC969A">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hint="eastAsia" w:ascii="仿宋_GB2312" w:hAnsi="仿宋_GB2312" w:eastAsia="仿宋_GB2312" w:cs="仿宋_GB2312"/>
          <w:snapToGrid w:val="0"/>
          <w:color w:val="333333"/>
          <w:spacing w:val="-17"/>
          <w:kern w:val="0"/>
          <w:sz w:val="32"/>
          <w:szCs w:val="32"/>
          <w:shd w:val="clear" w:color="auto" w:fill="FFFFFF"/>
        </w:rPr>
      </w:pPr>
      <w:r>
        <w:rPr>
          <w:rFonts w:hint="eastAsia" w:ascii="仿宋_GB2312" w:hAnsi="仿宋_GB2312" w:eastAsia="仿宋_GB2312" w:cs="仿宋_GB2312"/>
          <w:color w:val="333333"/>
          <w:sz w:val="32"/>
          <w:szCs w:val="32"/>
          <w:shd w:val="clear" w:color="auto" w:fill="FFFFFF"/>
        </w:rPr>
        <w:t>（4）营业执照、《劳务派遣经营许可证》和《人力资源服务许可证》复印件并加盖公章。</w:t>
      </w:r>
    </w:p>
    <w:p w14:paraId="4DC13C6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响应文件必须电脑打印，不准涂改和行间插字，除签名外不得出现手写字体。所有文件应当以胶印的方式装订成册，并编制目录及页码。</w:t>
      </w:r>
    </w:p>
    <w:p w14:paraId="5C9763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6</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响应文件须加盖供应商单位公章，并由法定代表人或经其授权的代表签字。由授权代表签字的，应在响应文件中提供法人代表授权书，否则视为无效响应。</w:t>
      </w:r>
    </w:p>
    <w:p w14:paraId="221523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七、响应文件份数及封装</w:t>
      </w:r>
    </w:p>
    <w:p w14:paraId="3AB7C7F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14:paraId="56099CA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八、响应文件递交</w:t>
      </w:r>
    </w:p>
    <w:p w14:paraId="5BB0A6A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p w14:paraId="57116433">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2.地点：请将纸质版响应文件密封递交至</w:t>
      </w:r>
      <w:r>
        <w:rPr>
          <w:rFonts w:hint="eastAsia" w:ascii="仿宋_GB2312" w:hAnsi="仿宋_GB2312" w:eastAsia="仿宋_GB2312" w:cs="仿宋_GB2312"/>
          <w:sz w:val="32"/>
          <w:szCs w:val="32"/>
          <w:u w:val="single"/>
        </w:rPr>
        <w:t>枝江市马家店迎宾大道169号</w:t>
      </w:r>
      <w:r>
        <w:rPr>
          <w:rFonts w:hint="eastAsia" w:ascii="仿宋_GB2312" w:hAnsi="仿宋_GB2312" w:eastAsia="仿宋_GB2312" w:cs="仿宋_GB2312"/>
          <w:sz w:val="32"/>
          <w:szCs w:val="32"/>
        </w:rPr>
        <w:t>，响应文件递交截止时间即为比价时间，逾期送达的响应文件概不接受。</w:t>
      </w:r>
    </w:p>
    <w:p w14:paraId="18AA243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九、评审方法</w:t>
      </w:r>
    </w:p>
    <w:p w14:paraId="6505E3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1.响应文件审查。采购人确定3人以上单数比价小组，比价小组根据本比价文件规定的供应商资格条件、评定成交的标准等事项对供应商提交的响应文件进行资格性和符合性评审。</w:t>
      </w:r>
    </w:p>
    <w:p w14:paraId="62782258">
      <w:pPr>
        <w:pStyle w:val="3"/>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资格性审查和符合性审查内容及标准</w:t>
      </w:r>
    </w:p>
    <w:tbl>
      <w:tblPr>
        <w:tblStyle w:val="7"/>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14:paraId="46C335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ign w:val="center"/>
          </w:tcPr>
          <w:p w14:paraId="6E8684E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ign w:val="center"/>
          </w:tcPr>
          <w:p w14:paraId="0230791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ign w:val="center"/>
          </w:tcPr>
          <w:p w14:paraId="326261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检查标准</w:t>
            </w:r>
          </w:p>
        </w:tc>
      </w:tr>
      <w:tr w14:paraId="181471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ign w:val="center"/>
          </w:tcPr>
          <w:p w14:paraId="0ECDA45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p>
        </w:tc>
        <w:tc>
          <w:tcPr>
            <w:tcW w:w="822" w:type="dxa"/>
            <w:vMerge w:val="restart"/>
            <w:tcBorders>
              <w:top w:val="outset" w:color="auto" w:sz="6" w:space="0"/>
              <w:left w:val="outset" w:color="auto" w:sz="6" w:space="0"/>
              <w:right w:val="outset" w:color="auto" w:sz="6" w:space="0"/>
            </w:tcBorders>
            <w:noWrap/>
            <w:vAlign w:val="center"/>
          </w:tcPr>
          <w:p w14:paraId="1D6367D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资</w:t>
            </w:r>
          </w:p>
          <w:p w14:paraId="6E1ADE1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格</w:t>
            </w:r>
          </w:p>
          <w:p w14:paraId="0FC5A88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性</w:t>
            </w:r>
          </w:p>
          <w:p w14:paraId="3363B3F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w:t>
            </w:r>
          </w:p>
          <w:p w14:paraId="55A87C5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ign w:val="center"/>
          </w:tcPr>
          <w:p w14:paraId="4F643C76">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ign w:val="center"/>
          </w:tcPr>
          <w:p w14:paraId="5CCBF3E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提供合法有效的营业执照或事业单位法人证书复印件，加盖公章。</w:t>
            </w:r>
          </w:p>
        </w:tc>
      </w:tr>
      <w:tr w14:paraId="51B2D4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3BD2958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5A5C46A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5289530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ign w:val="center"/>
          </w:tcPr>
          <w:p w14:paraId="0FB9BD7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响应文件递交截止时间当天，在“信用中国”网站(www.creditchina.gov.cn)、中国政府采购网(www.ccgp.gov.cn) 查询，供应商未被列入信用记录失信被执行人、重大税收违法案件当事人名单、政府采购严重违法失信行为记录名单，以现场查询的为准。</w:t>
            </w:r>
          </w:p>
        </w:tc>
      </w:tr>
      <w:tr w14:paraId="685C5B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ign w:val="center"/>
          </w:tcPr>
          <w:p w14:paraId="7D1E223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p>
        </w:tc>
        <w:tc>
          <w:tcPr>
            <w:tcW w:w="822" w:type="dxa"/>
            <w:vMerge w:val="restart"/>
            <w:tcBorders>
              <w:top w:val="outset" w:color="auto" w:sz="6" w:space="0"/>
              <w:left w:val="outset" w:color="auto" w:sz="6" w:space="0"/>
              <w:right w:val="outset" w:color="auto" w:sz="6" w:space="0"/>
            </w:tcBorders>
            <w:noWrap/>
            <w:vAlign w:val="center"/>
          </w:tcPr>
          <w:p w14:paraId="544EB63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符</w:t>
            </w:r>
          </w:p>
          <w:p w14:paraId="4AF72E2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合</w:t>
            </w:r>
          </w:p>
          <w:p w14:paraId="6982413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性</w:t>
            </w:r>
          </w:p>
          <w:p w14:paraId="4D0CF0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w:t>
            </w:r>
          </w:p>
          <w:p w14:paraId="6606661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ign w:val="center"/>
          </w:tcPr>
          <w:p w14:paraId="644FCBA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ign w:val="center"/>
          </w:tcPr>
          <w:p w14:paraId="79390BB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供应商名称是否与营业执照一致。</w:t>
            </w:r>
          </w:p>
        </w:tc>
      </w:tr>
      <w:tr w14:paraId="009A29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5FB43C96">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0B1140F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26227B1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ign w:val="center"/>
          </w:tcPr>
          <w:p w14:paraId="0AC8B29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按比价文件要求在规定区域加盖单位章，法定代表人或授权代表签字。</w:t>
            </w:r>
          </w:p>
        </w:tc>
      </w:tr>
      <w:tr w14:paraId="5CF5B9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280BA75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3B8DBD2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7AC2EA8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ign w:val="center"/>
          </w:tcPr>
          <w:p w14:paraId="141DCCC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具有法定代表人资格证明和法定代表人授权委托书。</w:t>
            </w:r>
          </w:p>
        </w:tc>
      </w:tr>
      <w:tr w14:paraId="3AC018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3282EB7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5B00C54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17F7410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ign w:val="center"/>
          </w:tcPr>
          <w:p w14:paraId="25D08AD3">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只有一个有效报价且未超过采购预算价。</w:t>
            </w:r>
          </w:p>
        </w:tc>
      </w:tr>
      <w:tr w14:paraId="61BF810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ign w:val="center"/>
          </w:tcPr>
          <w:p w14:paraId="4E874398">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822" w:type="dxa"/>
            <w:vMerge w:val="continue"/>
            <w:tcBorders>
              <w:left w:val="outset" w:color="auto" w:sz="6" w:space="0"/>
              <w:right w:val="outset" w:color="auto" w:sz="6" w:space="0"/>
            </w:tcBorders>
            <w:noWrap/>
            <w:vAlign w:val="center"/>
          </w:tcPr>
          <w:p w14:paraId="25415F9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ign w:val="center"/>
          </w:tcPr>
          <w:p w14:paraId="4116D17B">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ign w:val="center"/>
          </w:tcPr>
          <w:p w14:paraId="408C1C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符合法律法规和本比价文件规定的其他实质性要求。</w:t>
            </w:r>
          </w:p>
        </w:tc>
      </w:tr>
    </w:tbl>
    <w:p w14:paraId="0534BC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14:paraId="160BFE1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评审后，满足本比价文件要求的供应商不足3家的，采购活动终止，采购人重新组织采购。满足本比价文件要求的供应商达到3家以上，比价小组对满足要求的供应商进行价格评议。</w:t>
      </w:r>
    </w:p>
    <w:p w14:paraId="48B221E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价格评议。</w:t>
      </w:r>
      <w:r>
        <w:rPr>
          <w:rFonts w:hint="eastAsia" w:ascii="仿宋_GB2312" w:hAnsi="仿宋_GB2312" w:eastAsia="仿宋_GB2312" w:cs="仿宋_GB2312"/>
          <w:color w:val="auto"/>
          <w:sz w:val="32"/>
          <w:szCs w:val="32"/>
        </w:rPr>
        <w:t>本次采购报价为现场多轮报价（最低两轮），报价以满足业主采购需求和功能参数前提下最低价为中标价。</w:t>
      </w:r>
    </w:p>
    <w:p w14:paraId="1D65E31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3.推荐供应商。比价小组从满足本比价文件实质性要求的供应商中，按照评审价由低到高的顺序提出3名以上成交候选供应商，并编写评审报告。</w:t>
      </w:r>
    </w:p>
    <w:p w14:paraId="691148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十、确定成交供应商</w:t>
      </w:r>
    </w:p>
    <w:p w14:paraId="26CE052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1.比价小组应当在评审结束后1个工作日内将评审报告送采购人，采购人应当在收到评审报告后1个工作日内，从比价小组推荐的候选供应商中，根据满足比价文件要求且评审价最低的原则确定成交供应商。</w:t>
      </w:r>
    </w:p>
    <w:p w14:paraId="5FE4D5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sz w:val="32"/>
          <w:szCs w:val="32"/>
        </w:rPr>
        <w:t>确定成交供应商后，采购人应将成交结果在</w:t>
      </w:r>
      <w:r>
        <w:rPr>
          <w:rFonts w:hint="eastAsia" w:ascii="仿宋_GB2312" w:hAnsi="仿宋_GB2312" w:eastAsia="仿宋_GB2312" w:cs="仿宋_GB2312"/>
          <w:bCs/>
          <w:sz w:val="32"/>
          <w:szCs w:val="32"/>
        </w:rPr>
        <w:t>三峡枝江网或枝江市公共资源交易信息网</w:t>
      </w:r>
      <w:r>
        <w:rPr>
          <w:rFonts w:hint="eastAsia" w:ascii="仿宋_GB2312" w:hAnsi="仿宋_GB2312" w:eastAsia="仿宋_GB2312" w:cs="仿宋_GB2312"/>
          <w:sz w:val="32"/>
          <w:szCs w:val="32"/>
        </w:rPr>
        <w:t>等网络媒体予以公示，同时向成交供应商发出成交通知书。</w:t>
      </w:r>
    </w:p>
    <w:p w14:paraId="17E617E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十一、签订采购合同</w:t>
      </w:r>
    </w:p>
    <w:p w14:paraId="1335B5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成交供应商收到成交通知书后，应在3个工作日内与采购人签订采购合同。</w:t>
      </w:r>
    </w:p>
    <w:p w14:paraId="1617C7E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十二、联系方式</w:t>
      </w:r>
    </w:p>
    <w:p w14:paraId="6E3004A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李澄</w:t>
      </w:r>
    </w:p>
    <w:p w14:paraId="12CE496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联系电话：0717-422</w:t>
      </w:r>
      <w:r>
        <w:rPr>
          <w:rFonts w:hint="eastAsia" w:ascii="仿宋_GB2312" w:hAnsi="仿宋_GB2312" w:eastAsia="仿宋_GB2312" w:cs="仿宋_GB2312"/>
          <w:sz w:val="32"/>
          <w:szCs w:val="32"/>
          <w:lang w:val="en-US" w:eastAsia="zh-CN"/>
        </w:rPr>
        <w:t>1686</w:t>
      </w:r>
    </w:p>
    <w:p w14:paraId="2CB4E6F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    址：迎宾大道169号</w:t>
      </w:r>
    </w:p>
    <w:p w14:paraId="736D4A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2BF5D2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附件：报价一览表</w:t>
      </w:r>
    </w:p>
    <w:p w14:paraId="14EBD1CD">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p>
    <w:p w14:paraId="2465AFCD">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p>
    <w:p w14:paraId="5AE35782">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14:paraId="0E39A6ED">
      <w:pPr>
        <w:pStyle w:val="2"/>
        <w:rPr>
          <w:rFonts w:hint="eastAsia" w:ascii="仿宋_GB2312" w:hAnsi="仿宋_GB2312" w:eastAsia="仿宋_GB2312" w:cs="仿宋_GB2312"/>
          <w:sz w:val="32"/>
          <w:szCs w:val="32"/>
        </w:rPr>
        <w:sectPr>
          <w:pgSz w:w="11906" w:h="16838"/>
          <w:pgMar w:top="2098" w:right="1474" w:bottom="1701" w:left="1587" w:header="851" w:footer="992" w:gutter="0"/>
          <w:cols w:space="0" w:num="1"/>
          <w:rtlGutter w:val="0"/>
          <w:docGrid w:type="lines" w:linePitch="312" w:charSpace="0"/>
        </w:sectPr>
      </w:pPr>
    </w:p>
    <w:tbl>
      <w:tblPr>
        <w:tblStyle w:val="7"/>
        <w:tblpPr w:leftFromText="180" w:rightFromText="180" w:vertAnchor="text" w:horzAnchor="page" w:tblpX="2663" w:tblpY="403"/>
        <w:tblOverlap w:val="never"/>
        <w:tblW w:w="11560" w:type="dxa"/>
        <w:tblInd w:w="0" w:type="dxa"/>
        <w:tblLayout w:type="autofit"/>
        <w:tblCellMar>
          <w:top w:w="0" w:type="dxa"/>
          <w:left w:w="108" w:type="dxa"/>
          <w:bottom w:w="0" w:type="dxa"/>
          <w:right w:w="108" w:type="dxa"/>
        </w:tblCellMar>
      </w:tblPr>
      <w:tblGrid>
        <w:gridCol w:w="1516"/>
        <w:gridCol w:w="1212"/>
        <w:gridCol w:w="1423"/>
        <w:gridCol w:w="1553"/>
        <w:gridCol w:w="1423"/>
        <w:gridCol w:w="1086"/>
        <w:gridCol w:w="1423"/>
        <w:gridCol w:w="1924"/>
      </w:tblGrid>
      <w:tr w14:paraId="1AE4D134">
        <w:tblPrEx>
          <w:tblCellMar>
            <w:top w:w="0" w:type="dxa"/>
            <w:left w:w="108" w:type="dxa"/>
            <w:bottom w:w="0" w:type="dxa"/>
            <w:right w:w="108" w:type="dxa"/>
          </w:tblCellMar>
        </w:tblPrEx>
        <w:trPr>
          <w:trHeight w:val="1262" w:hRule="atLeast"/>
        </w:trPr>
        <w:tc>
          <w:tcPr>
            <w:tcW w:w="11560" w:type="dxa"/>
            <w:gridSpan w:val="8"/>
            <w:tcBorders>
              <w:top w:val="nil"/>
              <w:left w:val="nil"/>
              <w:bottom w:val="single" w:color="000000" w:sz="4" w:space="0"/>
              <w:right w:val="nil"/>
            </w:tcBorders>
            <w:shd w:val="clear" w:color="auto" w:fill="auto"/>
            <w:noWrap/>
            <w:vAlign w:val="center"/>
          </w:tcPr>
          <w:p w14:paraId="5D2E80B5">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枝江市园林绿化中心劳务派遣服务报价一览表</w:t>
            </w:r>
          </w:p>
        </w:tc>
      </w:tr>
      <w:tr w14:paraId="536964AF">
        <w:tblPrEx>
          <w:tblCellMar>
            <w:top w:w="0" w:type="dxa"/>
            <w:left w:w="108" w:type="dxa"/>
            <w:bottom w:w="0" w:type="dxa"/>
            <w:right w:w="108" w:type="dxa"/>
          </w:tblCellMar>
        </w:tblPrEx>
        <w:trPr>
          <w:trHeight w:val="1311"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84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岗位名称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8A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  量</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EF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  资  （元/月）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3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  保    （元/月）</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2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雇主险    （元/年）</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9E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 务     月 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4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服务费   （元/月）</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34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共计（元）</w:t>
            </w:r>
          </w:p>
        </w:tc>
      </w:tr>
      <w:tr w14:paraId="47398829">
        <w:tblPrEx>
          <w:tblCellMar>
            <w:top w:w="0" w:type="dxa"/>
            <w:left w:w="108" w:type="dxa"/>
            <w:bottom w:w="0" w:type="dxa"/>
            <w:right w:w="108" w:type="dxa"/>
          </w:tblCellMar>
        </w:tblPrEx>
        <w:trPr>
          <w:trHeight w:val="680" w:hRule="atLeast"/>
        </w:trPr>
        <w:tc>
          <w:tcPr>
            <w:tcW w:w="1516" w:type="dxa"/>
            <w:tcBorders>
              <w:top w:val="single" w:color="000000" w:sz="4" w:space="0"/>
              <w:left w:val="single" w:color="000000" w:sz="4" w:space="0"/>
              <w:bottom w:val="nil"/>
              <w:right w:val="single" w:color="000000" w:sz="4" w:space="0"/>
            </w:tcBorders>
            <w:shd w:val="clear" w:color="auto" w:fill="auto"/>
            <w:noWrap/>
            <w:vAlign w:val="center"/>
          </w:tcPr>
          <w:p w14:paraId="47B57E13">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驾驶员</w:t>
            </w:r>
          </w:p>
        </w:tc>
        <w:tc>
          <w:tcPr>
            <w:tcW w:w="1212" w:type="dxa"/>
            <w:tcBorders>
              <w:top w:val="single" w:color="000000" w:sz="4" w:space="0"/>
              <w:left w:val="single" w:color="000000" w:sz="4" w:space="0"/>
              <w:bottom w:val="nil"/>
              <w:right w:val="single" w:color="000000" w:sz="4" w:space="0"/>
            </w:tcBorders>
            <w:shd w:val="clear" w:color="auto" w:fill="auto"/>
            <w:noWrap/>
            <w:vAlign w:val="center"/>
          </w:tcPr>
          <w:p w14:paraId="2297E98B">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2</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132EAC64">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rPr>
              <w:t>2920</w:t>
            </w:r>
          </w:p>
        </w:tc>
        <w:tc>
          <w:tcPr>
            <w:tcW w:w="1553" w:type="dxa"/>
            <w:tcBorders>
              <w:top w:val="single" w:color="000000" w:sz="4" w:space="0"/>
              <w:left w:val="single" w:color="000000" w:sz="4" w:space="0"/>
              <w:bottom w:val="nil"/>
              <w:right w:val="single" w:color="000000" w:sz="4" w:space="0"/>
            </w:tcBorders>
            <w:shd w:val="clear" w:color="auto" w:fill="auto"/>
            <w:noWrap/>
            <w:vAlign w:val="center"/>
          </w:tcPr>
          <w:p w14:paraId="2831428B">
            <w:pPr>
              <w:widowControl/>
              <w:jc w:val="center"/>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1142.94</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492EE028">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400</w:t>
            </w:r>
          </w:p>
        </w:tc>
        <w:tc>
          <w:tcPr>
            <w:tcW w:w="1086" w:type="dxa"/>
            <w:tcBorders>
              <w:top w:val="single" w:color="000000" w:sz="4" w:space="0"/>
              <w:left w:val="single" w:color="000000" w:sz="4" w:space="0"/>
              <w:bottom w:val="nil"/>
              <w:right w:val="single" w:color="000000" w:sz="4" w:space="0"/>
            </w:tcBorders>
            <w:shd w:val="clear" w:color="auto" w:fill="auto"/>
            <w:noWrap/>
            <w:vAlign w:val="center"/>
          </w:tcPr>
          <w:p w14:paraId="3225F9F1">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12</w:t>
            </w:r>
          </w:p>
        </w:tc>
        <w:tc>
          <w:tcPr>
            <w:tcW w:w="1423" w:type="dxa"/>
            <w:tcBorders>
              <w:top w:val="single" w:color="000000" w:sz="4" w:space="0"/>
              <w:left w:val="single" w:color="000000" w:sz="4" w:space="0"/>
              <w:bottom w:val="nil"/>
              <w:right w:val="single" w:color="000000" w:sz="4" w:space="0"/>
            </w:tcBorders>
            <w:shd w:val="clear" w:color="auto" w:fill="auto"/>
            <w:noWrap/>
            <w:vAlign w:val="center"/>
          </w:tcPr>
          <w:p w14:paraId="76BA6E9A">
            <w:pPr>
              <w:jc w:val="center"/>
              <w:rPr>
                <w:rFonts w:ascii="宋体" w:hAnsi="宋体" w:cs="宋体"/>
                <w:color w:val="000000"/>
                <w:sz w:val="22"/>
                <w:szCs w:val="22"/>
                <w:highlight w:val="none"/>
              </w:rPr>
            </w:pPr>
          </w:p>
        </w:tc>
        <w:tc>
          <w:tcPr>
            <w:tcW w:w="1924" w:type="dxa"/>
            <w:tcBorders>
              <w:top w:val="single" w:color="000000" w:sz="4" w:space="0"/>
              <w:left w:val="single" w:color="000000" w:sz="4" w:space="0"/>
              <w:bottom w:val="nil"/>
              <w:right w:val="single" w:color="000000" w:sz="4" w:space="0"/>
            </w:tcBorders>
            <w:shd w:val="clear" w:color="auto" w:fill="auto"/>
            <w:noWrap/>
            <w:vAlign w:val="center"/>
          </w:tcPr>
          <w:p w14:paraId="212DBE46">
            <w:pPr>
              <w:jc w:val="center"/>
              <w:rPr>
                <w:rFonts w:ascii="宋体" w:hAnsi="宋体" w:cs="宋体"/>
                <w:color w:val="000000"/>
                <w:sz w:val="22"/>
                <w:szCs w:val="22"/>
                <w:highlight w:val="none"/>
              </w:rPr>
            </w:pPr>
          </w:p>
        </w:tc>
      </w:tr>
      <w:tr w14:paraId="3F5767DA">
        <w:tblPrEx>
          <w:tblCellMar>
            <w:top w:w="0" w:type="dxa"/>
            <w:left w:w="108" w:type="dxa"/>
            <w:bottom w:w="0" w:type="dxa"/>
            <w:right w:w="108" w:type="dxa"/>
          </w:tblCellMar>
        </w:tblPrEx>
        <w:trPr>
          <w:trHeight w:val="680"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A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924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3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4D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B0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A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AE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01DB">
            <w:pPr>
              <w:jc w:val="center"/>
              <w:rPr>
                <w:rFonts w:ascii="宋体" w:hAnsi="宋体" w:cs="宋体"/>
                <w:color w:val="000000"/>
                <w:sz w:val="22"/>
                <w:szCs w:val="22"/>
              </w:rPr>
            </w:pPr>
          </w:p>
        </w:tc>
      </w:tr>
      <w:tr w14:paraId="0442B01B">
        <w:tblPrEx>
          <w:tblCellMar>
            <w:top w:w="0" w:type="dxa"/>
            <w:left w:w="108" w:type="dxa"/>
            <w:bottom w:w="0" w:type="dxa"/>
            <w:right w:w="108" w:type="dxa"/>
          </w:tblCellMar>
        </w:tblPrEx>
        <w:trPr>
          <w:trHeight w:val="680" w:hRule="atLeast"/>
        </w:trPr>
        <w:tc>
          <w:tcPr>
            <w:tcW w:w="1516" w:type="dxa"/>
            <w:tcBorders>
              <w:top w:val="nil"/>
              <w:left w:val="nil"/>
              <w:bottom w:val="nil"/>
              <w:right w:val="nil"/>
            </w:tcBorders>
            <w:shd w:val="clear" w:color="auto" w:fill="auto"/>
            <w:noWrap/>
            <w:vAlign w:val="center"/>
          </w:tcPr>
          <w:p w14:paraId="72141062">
            <w:pPr>
              <w:jc w:val="center"/>
              <w:rPr>
                <w:rFonts w:ascii="宋体" w:hAnsi="宋体" w:cs="宋体"/>
                <w:color w:val="000000"/>
                <w:sz w:val="22"/>
                <w:szCs w:val="22"/>
              </w:rPr>
            </w:pPr>
          </w:p>
        </w:tc>
        <w:tc>
          <w:tcPr>
            <w:tcW w:w="1212" w:type="dxa"/>
            <w:tcBorders>
              <w:top w:val="nil"/>
              <w:left w:val="nil"/>
              <w:bottom w:val="nil"/>
              <w:right w:val="nil"/>
            </w:tcBorders>
            <w:shd w:val="clear" w:color="auto" w:fill="auto"/>
            <w:noWrap/>
            <w:vAlign w:val="center"/>
          </w:tcPr>
          <w:p w14:paraId="3DC5F52A">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400C2A47">
            <w:pPr>
              <w:jc w:val="center"/>
              <w:rPr>
                <w:rFonts w:ascii="宋体" w:hAnsi="宋体" w:cs="宋体"/>
                <w:color w:val="000000"/>
                <w:sz w:val="22"/>
                <w:szCs w:val="22"/>
              </w:rPr>
            </w:pPr>
          </w:p>
        </w:tc>
        <w:tc>
          <w:tcPr>
            <w:tcW w:w="1553" w:type="dxa"/>
            <w:tcBorders>
              <w:top w:val="nil"/>
              <w:left w:val="nil"/>
              <w:bottom w:val="nil"/>
              <w:right w:val="nil"/>
            </w:tcBorders>
            <w:shd w:val="clear" w:color="auto" w:fill="auto"/>
            <w:noWrap/>
            <w:vAlign w:val="center"/>
          </w:tcPr>
          <w:p w14:paraId="56B91A31">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07F3F792">
            <w:pPr>
              <w:jc w:val="center"/>
              <w:rPr>
                <w:rFonts w:ascii="宋体" w:hAnsi="宋体" w:cs="宋体"/>
                <w:color w:val="000000"/>
                <w:sz w:val="22"/>
                <w:szCs w:val="22"/>
              </w:rPr>
            </w:pPr>
          </w:p>
        </w:tc>
        <w:tc>
          <w:tcPr>
            <w:tcW w:w="1086" w:type="dxa"/>
            <w:tcBorders>
              <w:top w:val="nil"/>
              <w:left w:val="nil"/>
              <w:bottom w:val="nil"/>
              <w:right w:val="nil"/>
            </w:tcBorders>
            <w:shd w:val="clear" w:color="auto" w:fill="auto"/>
            <w:noWrap/>
            <w:vAlign w:val="center"/>
          </w:tcPr>
          <w:p w14:paraId="679DE27E">
            <w:pPr>
              <w:jc w:val="center"/>
              <w:rPr>
                <w:rFonts w:ascii="宋体" w:hAnsi="宋体" w:cs="宋体"/>
                <w:color w:val="000000"/>
                <w:sz w:val="22"/>
                <w:szCs w:val="22"/>
              </w:rPr>
            </w:pPr>
          </w:p>
        </w:tc>
        <w:tc>
          <w:tcPr>
            <w:tcW w:w="1423" w:type="dxa"/>
            <w:tcBorders>
              <w:top w:val="nil"/>
              <w:left w:val="nil"/>
              <w:bottom w:val="nil"/>
              <w:right w:val="nil"/>
            </w:tcBorders>
            <w:shd w:val="clear" w:color="auto" w:fill="auto"/>
            <w:noWrap/>
            <w:vAlign w:val="center"/>
          </w:tcPr>
          <w:p w14:paraId="0A1B2DC8">
            <w:pPr>
              <w:jc w:val="center"/>
              <w:rPr>
                <w:rFonts w:ascii="宋体" w:hAnsi="宋体" w:cs="宋体"/>
                <w:color w:val="000000"/>
                <w:sz w:val="22"/>
                <w:szCs w:val="22"/>
              </w:rPr>
            </w:pPr>
          </w:p>
        </w:tc>
        <w:tc>
          <w:tcPr>
            <w:tcW w:w="1924" w:type="dxa"/>
            <w:tcBorders>
              <w:top w:val="nil"/>
              <w:left w:val="nil"/>
              <w:bottom w:val="nil"/>
              <w:right w:val="nil"/>
            </w:tcBorders>
            <w:shd w:val="clear" w:color="auto" w:fill="auto"/>
            <w:noWrap/>
            <w:vAlign w:val="center"/>
          </w:tcPr>
          <w:p w14:paraId="2CE26602">
            <w:pPr>
              <w:jc w:val="center"/>
              <w:rPr>
                <w:rFonts w:ascii="宋体" w:hAnsi="宋体" w:cs="宋体"/>
                <w:color w:val="000000"/>
                <w:sz w:val="22"/>
                <w:szCs w:val="22"/>
              </w:rPr>
            </w:pPr>
          </w:p>
        </w:tc>
      </w:tr>
      <w:tr w14:paraId="6FDD8A89">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tcPr>
          <w:p w14:paraId="50D7CF2B">
            <w:pPr>
              <w:widowControl/>
              <w:jc w:val="left"/>
              <w:textAlignment w:val="top"/>
              <w:rPr>
                <w:rFonts w:ascii="宋体" w:hAnsi="宋体" w:cs="宋体"/>
                <w:color w:val="000000"/>
                <w:sz w:val="22"/>
                <w:szCs w:val="22"/>
              </w:rPr>
            </w:pPr>
            <w:r>
              <w:rPr>
                <w:rFonts w:hint="eastAsia" w:ascii="宋体" w:hAnsi="宋体" w:cs="宋体"/>
                <w:color w:val="000000"/>
                <w:kern w:val="0"/>
                <w:sz w:val="22"/>
                <w:szCs w:val="22"/>
              </w:rPr>
              <w:t>注：1、所有价格均用人民币表示；</w:t>
            </w:r>
          </w:p>
        </w:tc>
      </w:tr>
      <w:tr w14:paraId="74DA4578">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vAlign w:val="center"/>
          </w:tcPr>
          <w:p w14:paraId="1FC00C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2、工资含社保个人部分和节假日福利；</w:t>
            </w:r>
          </w:p>
        </w:tc>
      </w:tr>
      <w:tr w14:paraId="4751E550">
        <w:tblPrEx>
          <w:tblCellMar>
            <w:top w:w="0" w:type="dxa"/>
            <w:left w:w="108" w:type="dxa"/>
            <w:bottom w:w="0" w:type="dxa"/>
            <w:right w:w="108" w:type="dxa"/>
          </w:tblCellMar>
        </w:tblPrEx>
        <w:trPr>
          <w:trHeight w:val="501" w:hRule="atLeast"/>
        </w:trPr>
        <w:tc>
          <w:tcPr>
            <w:tcW w:w="11560" w:type="dxa"/>
            <w:gridSpan w:val="8"/>
            <w:tcBorders>
              <w:top w:val="nil"/>
              <w:left w:val="nil"/>
              <w:bottom w:val="nil"/>
              <w:right w:val="nil"/>
            </w:tcBorders>
            <w:shd w:val="clear" w:color="auto" w:fill="auto"/>
            <w:noWrap/>
            <w:vAlign w:val="center"/>
          </w:tcPr>
          <w:p w14:paraId="208633E3">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    3、社保为单位缴纳部分，以</w:t>
            </w:r>
            <w:r>
              <w:rPr>
                <w:rFonts w:hint="eastAsia" w:ascii="宋体" w:hAnsi="宋体" w:cs="宋体"/>
                <w:color w:val="000000"/>
                <w:kern w:val="0"/>
                <w:sz w:val="22"/>
                <w:szCs w:val="22"/>
                <w:highlight w:val="none"/>
                <w:lang w:val="en-US" w:eastAsia="zh-CN"/>
              </w:rPr>
              <w:t>4299</w:t>
            </w:r>
            <w:r>
              <w:rPr>
                <w:rFonts w:hint="eastAsia" w:ascii="宋体" w:hAnsi="宋体" w:cs="宋体"/>
                <w:color w:val="000000"/>
                <w:kern w:val="0"/>
                <w:sz w:val="22"/>
                <w:szCs w:val="22"/>
                <w:highlight w:val="none"/>
              </w:rPr>
              <w:t>为基数，实际缴纳金额以实缴到社保局为准。</w:t>
            </w:r>
          </w:p>
        </w:tc>
      </w:tr>
    </w:tbl>
    <w:p w14:paraId="2839AFC4">
      <w:pPr>
        <w:rPr>
          <w:rFonts w:asciiTheme="minorEastAsia" w:hAnsiTheme="minorEastAsia" w:eastAsiaTheme="minorEastAsia" w:cstheme="minorEastAsia"/>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328CA-090D-4161-B4A6-3B7D1387B7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CEFC8FE-64B1-4186-8171-94797B7B2403}"/>
  </w:font>
  <w:font w:name="方正小标宋简体">
    <w:panose1 w:val="02000000000000000000"/>
    <w:charset w:val="86"/>
    <w:family w:val="auto"/>
    <w:pitch w:val="default"/>
    <w:sig w:usb0="00000001" w:usb1="08000000" w:usb2="00000000" w:usb3="00000000" w:csb0="00040000" w:csb1="00000000"/>
    <w:embedRegular r:id="rId3" w:fontKey="{D914A1C6-D15B-4413-B350-8E8DBAB6B0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NmE1OTljYmIxMThiZjJiOTA1ZWMyNjA4MWI2MzcifQ=="/>
  </w:docVars>
  <w:rsids>
    <w:rsidRoot w:val="008469C8"/>
    <w:rsid w:val="0003377E"/>
    <w:rsid w:val="00066ED8"/>
    <w:rsid w:val="000C391A"/>
    <w:rsid w:val="00204B51"/>
    <w:rsid w:val="00220B22"/>
    <w:rsid w:val="00411028"/>
    <w:rsid w:val="00685741"/>
    <w:rsid w:val="007260C6"/>
    <w:rsid w:val="00814AEA"/>
    <w:rsid w:val="0081764E"/>
    <w:rsid w:val="00820141"/>
    <w:rsid w:val="008469C8"/>
    <w:rsid w:val="008B4F95"/>
    <w:rsid w:val="008D57D9"/>
    <w:rsid w:val="0091790E"/>
    <w:rsid w:val="009B5009"/>
    <w:rsid w:val="009E317E"/>
    <w:rsid w:val="00B4678A"/>
    <w:rsid w:val="00B67C35"/>
    <w:rsid w:val="00D22D21"/>
    <w:rsid w:val="00DD1BAE"/>
    <w:rsid w:val="00E575B2"/>
    <w:rsid w:val="00E61196"/>
    <w:rsid w:val="00F4660E"/>
    <w:rsid w:val="00F84E79"/>
    <w:rsid w:val="00FE29B5"/>
    <w:rsid w:val="03F122ED"/>
    <w:rsid w:val="05085485"/>
    <w:rsid w:val="096B5FE2"/>
    <w:rsid w:val="0FFE7FC7"/>
    <w:rsid w:val="1010343F"/>
    <w:rsid w:val="11BD0013"/>
    <w:rsid w:val="121E0096"/>
    <w:rsid w:val="160F7CF5"/>
    <w:rsid w:val="166D15EC"/>
    <w:rsid w:val="18906739"/>
    <w:rsid w:val="1AAB2399"/>
    <w:rsid w:val="1B4A3CA9"/>
    <w:rsid w:val="1CD83537"/>
    <w:rsid w:val="1DEC729A"/>
    <w:rsid w:val="1EA47B74"/>
    <w:rsid w:val="24130648"/>
    <w:rsid w:val="25547065"/>
    <w:rsid w:val="26D7660D"/>
    <w:rsid w:val="2A063491"/>
    <w:rsid w:val="2BDB094E"/>
    <w:rsid w:val="2C586430"/>
    <w:rsid w:val="30A47560"/>
    <w:rsid w:val="34313801"/>
    <w:rsid w:val="38CF022A"/>
    <w:rsid w:val="398064CB"/>
    <w:rsid w:val="3AA82343"/>
    <w:rsid w:val="3B755B2F"/>
    <w:rsid w:val="3C597D99"/>
    <w:rsid w:val="3CE116AD"/>
    <w:rsid w:val="3D470A47"/>
    <w:rsid w:val="3EE0041C"/>
    <w:rsid w:val="41BD3269"/>
    <w:rsid w:val="426B25D4"/>
    <w:rsid w:val="434F15AD"/>
    <w:rsid w:val="441B3B85"/>
    <w:rsid w:val="47606FC3"/>
    <w:rsid w:val="48B60ED8"/>
    <w:rsid w:val="4A0C0EB9"/>
    <w:rsid w:val="4A282B58"/>
    <w:rsid w:val="4BB07A82"/>
    <w:rsid w:val="4C27503A"/>
    <w:rsid w:val="4CCE5C39"/>
    <w:rsid w:val="4CF5766A"/>
    <w:rsid w:val="4E235B10"/>
    <w:rsid w:val="4F531822"/>
    <w:rsid w:val="51632D16"/>
    <w:rsid w:val="583E0E16"/>
    <w:rsid w:val="598230FD"/>
    <w:rsid w:val="5B1C4013"/>
    <w:rsid w:val="5CA42512"/>
    <w:rsid w:val="5DEEBDF2"/>
    <w:rsid w:val="60031C46"/>
    <w:rsid w:val="6255224C"/>
    <w:rsid w:val="62DE3973"/>
    <w:rsid w:val="65913850"/>
    <w:rsid w:val="660A5ADC"/>
    <w:rsid w:val="696F3EA8"/>
    <w:rsid w:val="69BB533F"/>
    <w:rsid w:val="6C7E2E0F"/>
    <w:rsid w:val="6D970E1E"/>
    <w:rsid w:val="6DAF51BB"/>
    <w:rsid w:val="6F455013"/>
    <w:rsid w:val="6FFE72BC"/>
    <w:rsid w:val="703A486A"/>
    <w:rsid w:val="715A543E"/>
    <w:rsid w:val="73FE651B"/>
    <w:rsid w:val="79110AD8"/>
    <w:rsid w:val="7B4056A4"/>
    <w:rsid w:val="7DD13C4D"/>
    <w:rsid w:val="7ED625A7"/>
    <w:rsid w:val="7F5259A6"/>
    <w:rsid w:val="7FBB179D"/>
    <w:rsid w:val="BF868F26"/>
    <w:rsid w:val="C7EC613E"/>
    <w:rsid w:val="D7F9C2C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eastAsia="仿宋_GB2312"/>
      <w:b/>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脚 Char"/>
    <w:basedOn w:val="8"/>
    <w:link w:val="4"/>
    <w:qFormat/>
    <w:uiPriority w:val="0"/>
    <w:rPr>
      <w:rFonts w:ascii="Calibri" w:hAnsi="Calibri"/>
      <w:kern w:val="2"/>
      <w:sz w:val="18"/>
      <w:szCs w:val="18"/>
    </w:rPr>
  </w:style>
  <w:style w:type="character" w:customStyle="1" w:styleId="11">
    <w:name w:val="页眉 Char"/>
    <w:basedOn w:val="8"/>
    <w:link w:val="5"/>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2955</Words>
  <Characters>3322</Characters>
  <Lines>27</Lines>
  <Paragraphs>7</Paragraphs>
  <TotalTime>10</TotalTime>
  <ScaleCrop>false</ScaleCrop>
  <LinksUpToDate>false</LinksUpToDate>
  <CharactersWithSpaces>3484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2024-03-14T16:39:00Z</dcterms:created>
  <dc:creator>Administrator</dc:creator>
  <cp:lastModifiedBy>D.va。</cp:lastModifiedBy>
  <cp:lastPrinted>2026-04-07T10:03:00Z</cp:lastPrinted>
  <dcterms:modified xsi:type="dcterms:W3CDTF">2026-04-07T09:32:27Z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2A8A650ED4E44249A4B5B770FAB066B6_13</vt:lpwstr>
  </property>
  <property fmtid="{D5CDD505-2E9C-101B-9397-08002B2CF9AE}" pid="4" name="KSOTemplateDocerSaveRecord">
    <vt:lpwstr>eyJoZGlkIjoiYjM5ZWQ5NGQ4NGM5ZTJkMGQ5NzkyMGVjYTkxY2I4MzgiLCJ1c2VySWQiOiIyNTc1ODYzODgifQ==</vt:lpwstr>
  </property>
</Properties>
</file>