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08F6">
      <w:pPr>
        <w:spacing w:line="520" w:lineRule="exact"/>
        <w:jc w:val="center"/>
        <w:rPr>
          <w:rFonts w:asciiTheme="minorEastAsia" w:hAnsiTheme="minorEastAsia" w:eastAsiaTheme="minorEastAsia" w:cstheme="minorEastAsia"/>
          <w:sz w:val="44"/>
          <w:szCs w:val="44"/>
        </w:rPr>
      </w:pPr>
      <w:bookmarkStart w:id="0" w:name="_GoBack"/>
      <w:r>
        <w:rPr>
          <w:rFonts w:hint="eastAsia" w:ascii="方正小标宋简体" w:hAnsi="方正小标宋简体" w:eastAsia="方正小标宋简体" w:cs="方正小标宋简体"/>
          <w:sz w:val="44"/>
          <w:szCs w:val="44"/>
        </w:rPr>
        <w:t>项目比价文件</w:t>
      </w:r>
      <w:bookmarkEnd w:id="0"/>
    </w:p>
    <w:p w14:paraId="4443617E">
      <w:pPr>
        <w:spacing w:line="520" w:lineRule="exact"/>
        <w:jc w:val="center"/>
        <w:rPr>
          <w:rFonts w:asciiTheme="minorEastAsia" w:hAnsiTheme="minorEastAsia" w:eastAsiaTheme="minorEastAsia" w:cstheme="minorEastAsia"/>
          <w:sz w:val="44"/>
          <w:szCs w:val="44"/>
        </w:rPr>
      </w:pPr>
    </w:p>
    <w:p w14:paraId="299AB371">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枝江市园林绿化中心</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年劳务派遣</w:t>
      </w:r>
      <w:r>
        <w:rPr>
          <w:rFonts w:hint="eastAsia" w:ascii="仿宋_GB2312" w:hAnsi="仿宋_GB2312" w:eastAsia="仿宋_GB2312" w:cs="仿宋_GB2312"/>
          <w:sz w:val="32"/>
          <w:szCs w:val="32"/>
        </w:rPr>
        <w:t>项目进行比价采购，现邀请你公司前来参与报价。</w:t>
      </w:r>
    </w:p>
    <w:p w14:paraId="4EF263C6">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z w:val="32"/>
          <w:szCs w:val="32"/>
        </w:rPr>
        <w:t>:劳务派遣</w:t>
      </w:r>
    </w:p>
    <w:p w14:paraId="4EEE7325">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sz w:val="32"/>
          <w:szCs w:val="32"/>
          <w:u w:val="single"/>
        </w:rPr>
      </w:pPr>
      <w:r>
        <w:rPr>
          <w:rFonts w:hint="eastAsia" w:ascii="黑体" w:hAnsi="黑体" w:eastAsia="黑体" w:cs="黑体"/>
          <w:sz w:val="32"/>
          <w:szCs w:val="32"/>
        </w:rPr>
        <w:t>二、采购内容</w:t>
      </w:r>
      <w:r>
        <w:rPr>
          <w:rFonts w:hint="eastAsia" w:ascii="仿宋_GB2312" w:hAnsi="仿宋_GB2312" w:eastAsia="仿宋_GB2312" w:cs="仿宋_GB2312"/>
          <w:sz w:val="32"/>
          <w:szCs w:val="32"/>
        </w:rPr>
        <w:t>：</w:t>
      </w:r>
    </w:p>
    <w:p w14:paraId="11CCBC5E">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82828"/>
          <w:sz w:val="32"/>
          <w:szCs w:val="32"/>
          <w:shd w:val="clear" w:color="auto" w:fill="FFFFFF"/>
          <w:lang w:val="en-US" w:eastAsia="zh-CN"/>
        </w:rPr>
        <w:t>2</w:t>
      </w:r>
      <w:r>
        <w:rPr>
          <w:rFonts w:hint="eastAsia" w:ascii="仿宋_GB2312" w:hAnsi="仿宋_GB2312" w:eastAsia="仿宋_GB2312" w:cs="仿宋_GB2312"/>
          <w:color w:val="282828"/>
          <w:sz w:val="32"/>
          <w:szCs w:val="32"/>
          <w:shd w:val="clear" w:color="auto" w:fill="FFFFFF"/>
        </w:rPr>
        <w:t>名劳务派遣人员</w:t>
      </w:r>
      <w:r>
        <w:rPr>
          <w:rFonts w:hint="eastAsia" w:ascii="仿宋_GB2312" w:hAnsi="仿宋_GB2312" w:eastAsia="仿宋_GB2312" w:cs="仿宋_GB2312"/>
          <w:color w:val="282828"/>
          <w:sz w:val="32"/>
          <w:szCs w:val="32"/>
          <w:shd w:val="clear" w:color="auto" w:fill="FFFFFF"/>
          <w:lang w:eastAsia="zh-CN"/>
        </w:rPr>
        <w:t>，</w:t>
      </w:r>
      <w:r>
        <w:rPr>
          <w:rFonts w:hint="eastAsia" w:ascii="仿宋_GB2312" w:hAnsi="仿宋_GB2312" w:eastAsia="仿宋_GB2312" w:cs="仿宋_GB2312"/>
          <w:color w:val="282828"/>
          <w:sz w:val="32"/>
          <w:szCs w:val="32"/>
          <w:shd w:val="clear" w:color="auto" w:fill="FFFFFF"/>
        </w:rPr>
        <w:t>从事驾驶员岗位。具体要求：</w:t>
      </w:r>
      <w:r>
        <w:rPr>
          <w:rFonts w:hint="eastAsia" w:ascii="仿宋_GB2312" w:hAnsi="仿宋_GB2312" w:eastAsia="仿宋_GB2312" w:cs="仿宋_GB2312"/>
          <w:color w:val="282828"/>
          <w:sz w:val="32"/>
          <w:szCs w:val="32"/>
          <w:shd w:val="clear" w:color="auto" w:fill="FFFFFF"/>
          <w:lang w:eastAsia="zh-CN"/>
        </w:rPr>
        <w:t>需具备</w:t>
      </w:r>
      <w:r>
        <w:rPr>
          <w:rFonts w:hint="eastAsia" w:ascii="仿宋_GB2312" w:hAnsi="仿宋_GB2312" w:eastAsia="仿宋_GB2312" w:cs="仿宋_GB2312"/>
          <w:color w:val="282828"/>
          <w:sz w:val="32"/>
          <w:szCs w:val="32"/>
          <w:shd w:val="clear" w:color="auto" w:fill="FFFFFF"/>
        </w:rPr>
        <w:t>机动车驾照B照及以上证照。</w:t>
      </w:r>
    </w:p>
    <w:p w14:paraId="01194C33">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采购预算</w:t>
      </w:r>
      <w:r>
        <w:rPr>
          <w:rFonts w:hint="eastAsia" w:ascii="仿宋_GB2312" w:hAnsi="仿宋_GB2312" w:eastAsia="仿宋_GB2312" w:cs="仿宋_GB2312"/>
          <w:sz w:val="32"/>
          <w:szCs w:val="32"/>
        </w:rPr>
        <w:t>:</w:t>
      </w:r>
    </w:p>
    <w:p w14:paraId="0BCB01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282828"/>
          <w:sz w:val="32"/>
          <w:szCs w:val="32"/>
          <w:highlight w:val="none"/>
          <w:shd w:val="clear" w:color="auto" w:fill="FFFFFF"/>
        </w:rPr>
      </w:pPr>
      <w:r>
        <w:rPr>
          <w:rFonts w:hint="eastAsia" w:ascii="仿宋_GB2312" w:hAnsi="仿宋_GB2312" w:eastAsia="仿宋_GB2312" w:cs="仿宋_GB2312"/>
          <w:color w:val="282828"/>
          <w:sz w:val="32"/>
          <w:szCs w:val="32"/>
          <w:highlight w:val="none"/>
          <w:shd w:val="clear" w:color="auto" w:fill="FFFFFF"/>
        </w:rPr>
        <w:t>工资标准2</w:t>
      </w:r>
      <w:r>
        <w:rPr>
          <w:rFonts w:hint="eastAsia" w:ascii="仿宋_GB2312" w:hAnsi="仿宋_GB2312" w:eastAsia="仿宋_GB2312" w:cs="仿宋_GB2312"/>
          <w:color w:val="282828"/>
          <w:sz w:val="32"/>
          <w:szCs w:val="32"/>
          <w:highlight w:val="none"/>
          <w:shd w:val="clear" w:color="auto" w:fill="FFFFFF"/>
          <w:lang w:val="en-US" w:eastAsia="zh-CN"/>
        </w:rPr>
        <w:t>92</w:t>
      </w:r>
      <w:r>
        <w:rPr>
          <w:rFonts w:hint="eastAsia" w:ascii="仿宋_GB2312" w:hAnsi="仿宋_GB2312" w:eastAsia="仿宋_GB2312" w:cs="仿宋_GB2312"/>
          <w:color w:val="282828"/>
          <w:sz w:val="32"/>
          <w:szCs w:val="32"/>
          <w:highlight w:val="none"/>
          <w:shd w:val="clear" w:color="auto" w:fill="FFFFFF"/>
        </w:rPr>
        <w:t>0元/人/月（包含保险个人部分及节假日福利）</w:t>
      </w:r>
      <w:r>
        <w:rPr>
          <w:rFonts w:hint="eastAsia" w:ascii="仿宋_GB2312" w:hAnsi="仿宋_GB2312" w:eastAsia="仿宋_GB2312" w:cs="仿宋_GB2312"/>
          <w:color w:val="282828"/>
          <w:sz w:val="32"/>
          <w:szCs w:val="32"/>
          <w:highlight w:val="none"/>
          <w:shd w:val="clear" w:color="auto" w:fill="FFFFFF"/>
          <w:lang w:eastAsia="zh-CN"/>
        </w:rPr>
        <w:t>。</w:t>
      </w:r>
      <w:r>
        <w:rPr>
          <w:rFonts w:hint="eastAsia" w:ascii="仿宋_GB2312" w:hAnsi="仿宋_GB2312" w:eastAsia="仿宋_GB2312" w:cs="仿宋_GB2312"/>
          <w:color w:val="282828"/>
          <w:sz w:val="32"/>
          <w:szCs w:val="32"/>
          <w:highlight w:val="none"/>
          <w:shd w:val="clear" w:color="auto" w:fill="FFFFFF"/>
        </w:rPr>
        <w:t>社保缴费基数</w:t>
      </w:r>
      <w:r>
        <w:rPr>
          <w:rFonts w:hint="eastAsia" w:ascii="仿宋_GB2312" w:hAnsi="仿宋_GB2312" w:eastAsia="仿宋_GB2312" w:cs="仿宋_GB2312"/>
          <w:color w:val="282828"/>
          <w:sz w:val="32"/>
          <w:szCs w:val="32"/>
          <w:highlight w:val="none"/>
          <w:shd w:val="clear" w:color="auto" w:fill="FFFFFF"/>
          <w:lang w:val="en-US" w:eastAsia="zh-CN"/>
        </w:rPr>
        <w:t>4299</w:t>
      </w:r>
      <w:r>
        <w:rPr>
          <w:rFonts w:hint="eastAsia" w:ascii="仿宋_GB2312" w:hAnsi="仿宋_GB2312" w:eastAsia="仿宋_GB2312" w:cs="仿宋_GB2312"/>
          <w:color w:val="282828"/>
          <w:sz w:val="32"/>
          <w:szCs w:val="32"/>
          <w:highlight w:val="none"/>
          <w:shd w:val="clear" w:color="auto" w:fill="FFFFFF"/>
        </w:rPr>
        <w:t>，单位部分保险缴费金额</w:t>
      </w:r>
      <w:r>
        <w:rPr>
          <w:rFonts w:hint="eastAsia" w:ascii="仿宋_GB2312" w:hAnsi="仿宋_GB2312" w:eastAsia="仿宋_GB2312" w:cs="仿宋_GB2312"/>
          <w:color w:val="282828"/>
          <w:sz w:val="32"/>
          <w:szCs w:val="32"/>
          <w:highlight w:val="none"/>
          <w:shd w:val="clear" w:color="auto" w:fill="FFFFFF"/>
          <w:lang w:val="en-US" w:eastAsia="zh-CN"/>
        </w:rPr>
        <w:t>1142.94</w:t>
      </w:r>
      <w:r>
        <w:rPr>
          <w:rFonts w:hint="eastAsia" w:ascii="仿宋_GB2312" w:hAnsi="仿宋_GB2312" w:eastAsia="仿宋_GB2312" w:cs="仿宋_GB2312"/>
          <w:color w:val="282828"/>
          <w:sz w:val="32"/>
          <w:szCs w:val="32"/>
          <w:highlight w:val="none"/>
          <w:shd w:val="clear" w:color="auto" w:fill="FFFFFF"/>
        </w:rPr>
        <w:t>元/人/月（实际缴费金额按社保基数实缴到社保局为准）；雇主险400元/人/年。人员共计</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人，期间因人员增减，所付劳务费据实结算。月服务费120元/人以内，采购年限1年。合计采购预算（2</w:t>
      </w:r>
      <w:r>
        <w:rPr>
          <w:rFonts w:hint="eastAsia" w:ascii="仿宋_GB2312" w:hAnsi="仿宋_GB2312" w:eastAsia="仿宋_GB2312" w:cs="仿宋_GB2312"/>
          <w:color w:val="282828"/>
          <w:sz w:val="32"/>
          <w:szCs w:val="32"/>
          <w:highlight w:val="none"/>
          <w:shd w:val="clear" w:color="auto" w:fill="FFFFFF"/>
          <w:lang w:val="en-US" w:eastAsia="zh-CN"/>
        </w:rPr>
        <w:t>92</w:t>
      </w:r>
      <w:r>
        <w:rPr>
          <w:rFonts w:hint="eastAsia" w:ascii="仿宋_GB2312" w:hAnsi="仿宋_GB2312" w:eastAsia="仿宋_GB2312" w:cs="仿宋_GB2312"/>
          <w:color w:val="282828"/>
          <w:sz w:val="32"/>
          <w:szCs w:val="32"/>
          <w:highlight w:val="none"/>
          <w:shd w:val="clear" w:color="auto" w:fill="FFFFFF"/>
        </w:rPr>
        <w:t>0*2+</w:t>
      </w:r>
      <w:r>
        <w:rPr>
          <w:rFonts w:hint="eastAsia" w:ascii="仿宋_GB2312" w:hAnsi="仿宋_GB2312" w:eastAsia="仿宋_GB2312" w:cs="仿宋_GB2312"/>
          <w:color w:val="282828"/>
          <w:sz w:val="32"/>
          <w:szCs w:val="32"/>
          <w:highlight w:val="none"/>
          <w:shd w:val="clear" w:color="auto" w:fill="FFFFFF"/>
          <w:lang w:val="en-US" w:eastAsia="zh-CN"/>
        </w:rPr>
        <w:t>1142.94</w:t>
      </w:r>
      <w:r>
        <w:rPr>
          <w:rFonts w:hint="eastAsia" w:ascii="仿宋_GB2312" w:hAnsi="仿宋_GB2312" w:eastAsia="仿宋_GB2312" w:cs="仿宋_GB2312"/>
          <w:color w:val="282828"/>
          <w:sz w:val="32"/>
          <w:szCs w:val="32"/>
          <w:highlight w:val="none"/>
          <w:shd w:val="clear" w:color="auto" w:fill="FFFFFF"/>
        </w:rPr>
        <w:t>*</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+120*</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）*12+</w:t>
      </w:r>
      <w:r>
        <w:rPr>
          <w:rFonts w:hint="eastAsia" w:ascii="仿宋_GB2312" w:hAnsi="仿宋_GB2312" w:eastAsia="仿宋_GB2312" w:cs="仿宋_GB2312"/>
          <w:color w:val="282828"/>
          <w:sz w:val="32"/>
          <w:szCs w:val="32"/>
          <w:highlight w:val="none"/>
          <w:shd w:val="clear" w:color="auto" w:fill="FFFFFF"/>
          <w:lang w:eastAsia="zh-CN"/>
        </w:rPr>
        <w:t>（</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*400</w:t>
      </w:r>
      <w:r>
        <w:rPr>
          <w:rFonts w:hint="eastAsia" w:ascii="仿宋_GB2312" w:hAnsi="仿宋_GB2312" w:eastAsia="仿宋_GB2312" w:cs="仿宋_GB2312"/>
          <w:color w:val="282828"/>
          <w:sz w:val="32"/>
          <w:szCs w:val="32"/>
          <w:highlight w:val="none"/>
          <w:shd w:val="clear" w:color="auto" w:fill="FFFFFF"/>
          <w:lang w:eastAsia="zh-CN"/>
        </w:rPr>
        <w:t>）</w:t>
      </w:r>
      <w:r>
        <w:rPr>
          <w:rFonts w:hint="eastAsia" w:ascii="仿宋_GB2312" w:hAnsi="仿宋_GB2312" w:eastAsia="仿宋_GB2312" w:cs="仿宋_GB2312"/>
          <w:color w:val="282828"/>
          <w:sz w:val="32"/>
          <w:szCs w:val="32"/>
          <w:highlight w:val="none"/>
          <w:shd w:val="clear" w:color="auto" w:fill="FFFFFF"/>
        </w:rPr>
        <w:t>=</w:t>
      </w:r>
      <w:r>
        <w:rPr>
          <w:rFonts w:hint="eastAsia" w:ascii="仿宋_GB2312" w:hAnsi="仿宋_GB2312" w:eastAsia="仿宋_GB2312" w:cs="仿宋_GB2312"/>
          <w:color w:val="282828"/>
          <w:sz w:val="32"/>
          <w:szCs w:val="32"/>
          <w:highlight w:val="none"/>
          <w:shd w:val="clear" w:color="auto" w:fill="FFFFFF"/>
          <w:lang w:val="en-US" w:eastAsia="zh-CN"/>
        </w:rPr>
        <w:t>101190.56</w:t>
      </w:r>
      <w:r>
        <w:rPr>
          <w:rFonts w:hint="eastAsia" w:ascii="仿宋_GB2312" w:hAnsi="仿宋_GB2312" w:eastAsia="仿宋_GB2312" w:cs="仿宋_GB2312"/>
          <w:color w:val="282828"/>
          <w:sz w:val="32"/>
          <w:szCs w:val="32"/>
          <w:highlight w:val="none"/>
          <w:shd w:val="clear" w:color="auto" w:fill="FFFFFF"/>
        </w:rPr>
        <w:t>元。</w:t>
      </w:r>
    </w:p>
    <w:p w14:paraId="6FF7968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四、供应商资格条件</w:t>
      </w:r>
    </w:p>
    <w:p w14:paraId="6FFE8EED">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1.供应商应具备《政府采购法》第二十二条第一款规定的条件,具有合法有效的营业执照（提供营业执照复印件加盖公章）</w:t>
      </w:r>
      <w:r>
        <w:rPr>
          <w:rFonts w:hint="eastAsia" w:ascii="仿宋_GB2312" w:hAnsi="仿宋_GB2312" w:eastAsia="仿宋_GB2312" w:cs="仿宋_GB2312"/>
          <w:bCs/>
          <w:sz w:val="32"/>
          <w:szCs w:val="32"/>
        </w:rPr>
        <w:t>。</w:t>
      </w:r>
    </w:p>
    <w:p w14:paraId="4CC31748">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2.供应商应具备《劳务派遣经营许可证》和《人力资源服务许可证》（提供复印件并加盖公章）</w:t>
      </w:r>
      <w:r>
        <w:rPr>
          <w:rFonts w:hint="eastAsia" w:ascii="仿宋_GB2312" w:hAnsi="仿宋_GB2312" w:eastAsia="仿宋_GB2312" w:cs="仿宋_GB2312"/>
          <w:bCs/>
          <w:sz w:val="32"/>
          <w:szCs w:val="32"/>
        </w:rPr>
        <w:t>。</w:t>
      </w:r>
    </w:p>
    <w:p w14:paraId="52E39575">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3.采购项目的特殊条件要求: </w:t>
      </w:r>
      <w:r>
        <w:rPr>
          <w:rFonts w:hint="eastAsia" w:ascii="仿宋_GB2312" w:hAnsi="仿宋_GB2312" w:eastAsia="仿宋_GB2312" w:cs="仿宋_GB2312"/>
          <w:sz w:val="32"/>
          <w:szCs w:val="32"/>
          <w:u w:val="single"/>
        </w:rPr>
        <w:t xml:space="preserve">    无    </w:t>
      </w:r>
      <w:r>
        <w:rPr>
          <w:rFonts w:hint="eastAsia" w:ascii="仿宋_GB2312" w:hAnsi="仿宋_GB2312" w:eastAsia="仿宋_GB2312" w:cs="仿宋_GB2312"/>
          <w:sz w:val="32"/>
          <w:szCs w:val="32"/>
        </w:rPr>
        <w:t>。</w:t>
      </w:r>
    </w:p>
    <w:p w14:paraId="3BFAACA9">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auto"/>
          <w:sz w:val="32"/>
          <w:szCs w:val="32"/>
          <w:shd w:val="clear" w:color="auto" w:fill="FFFFFF"/>
        </w:rPr>
        <w:t>响应文件递交截止时间当天，在“信用中国”网站(www.creditchina.gov.cn)、中国政府采购网(www.ccgp.gov.cn)查询，供应商未被列入信用记录失信被执行人、重大税收违法案件当事人名单、政府采购严重违法失信行为记录名单。</w:t>
      </w:r>
    </w:p>
    <w:p w14:paraId="66A22E2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五、获取比价文件和报名</w:t>
      </w:r>
    </w:p>
    <w:p w14:paraId="421D07F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shd w:val="clear" w:color="auto" w:fill="FFFFFF"/>
        </w:rPr>
        <w:t>1.发放时间：202</w:t>
      </w:r>
      <w:r>
        <w:rPr>
          <w:rFonts w:hint="eastAsia" w:ascii="仿宋_GB2312" w:hAnsi="仿宋_GB2312" w:eastAsia="仿宋_GB2312" w:cs="仿宋_GB2312"/>
          <w:color w:val="282828"/>
          <w:sz w:val="32"/>
          <w:szCs w:val="32"/>
          <w:shd w:val="clear" w:color="auto" w:fill="FFFFFF"/>
          <w:lang w:val="en-US" w:eastAsia="zh-CN"/>
        </w:rPr>
        <w:t>6</w:t>
      </w:r>
      <w:r>
        <w:rPr>
          <w:rFonts w:hint="eastAsia" w:ascii="仿宋_GB2312" w:hAnsi="仿宋_GB2312" w:eastAsia="仿宋_GB2312" w:cs="仿宋_GB2312"/>
          <w:color w:val="282828"/>
          <w:sz w:val="32"/>
          <w:szCs w:val="32"/>
          <w:shd w:val="clear" w:color="auto" w:fill="FFFFFF"/>
        </w:rPr>
        <w:t>年3月</w:t>
      </w:r>
      <w:r>
        <w:rPr>
          <w:rFonts w:hint="eastAsia" w:ascii="仿宋_GB2312" w:hAnsi="仿宋_GB2312" w:eastAsia="仿宋_GB2312" w:cs="仿宋_GB2312"/>
          <w:color w:val="282828"/>
          <w:sz w:val="32"/>
          <w:szCs w:val="32"/>
          <w:shd w:val="clear" w:color="auto" w:fill="FFFFFF"/>
          <w:lang w:val="en-US" w:eastAsia="zh-CN"/>
        </w:rPr>
        <w:t>23</w:t>
      </w:r>
      <w:r>
        <w:rPr>
          <w:rFonts w:hint="eastAsia" w:ascii="仿宋_GB2312" w:hAnsi="仿宋_GB2312" w:eastAsia="仿宋_GB2312" w:cs="仿宋_GB2312"/>
          <w:color w:val="282828"/>
          <w:sz w:val="32"/>
          <w:szCs w:val="32"/>
          <w:shd w:val="clear" w:color="auto" w:fill="FFFFFF"/>
        </w:rPr>
        <w:t>日起至202</w:t>
      </w:r>
      <w:r>
        <w:rPr>
          <w:rFonts w:hint="eastAsia" w:ascii="仿宋_GB2312" w:hAnsi="仿宋_GB2312" w:eastAsia="仿宋_GB2312" w:cs="仿宋_GB2312"/>
          <w:color w:val="282828"/>
          <w:sz w:val="32"/>
          <w:szCs w:val="32"/>
          <w:shd w:val="clear" w:color="auto" w:fill="FFFFFF"/>
          <w:lang w:val="en-US" w:eastAsia="zh-CN"/>
        </w:rPr>
        <w:t>6</w:t>
      </w:r>
      <w:r>
        <w:rPr>
          <w:rFonts w:hint="eastAsia" w:ascii="仿宋_GB2312" w:hAnsi="仿宋_GB2312" w:eastAsia="仿宋_GB2312" w:cs="仿宋_GB2312"/>
          <w:color w:val="282828"/>
          <w:sz w:val="32"/>
          <w:szCs w:val="32"/>
          <w:shd w:val="clear" w:color="auto" w:fill="FFFFFF"/>
        </w:rPr>
        <w:t>年3月</w:t>
      </w:r>
      <w:r>
        <w:rPr>
          <w:rFonts w:hint="eastAsia" w:ascii="仿宋_GB2312" w:hAnsi="仿宋_GB2312" w:eastAsia="仿宋_GB2312" w:cs="仿宋_GB2312"/>
          <w:color w:val="282828"/>
          <w:sz w:val="32"/>
          <w:szCs w:val="32"/>
          <w:shd w:val="clear" w:color="auto" w:fill="FFFFFF"/>
          <w:lang w:val="en-US" w:eastAsia="zh-CN"/>
        </w:rPr>
        <w:t>27</w:t>
      </w:r>
      <w:r>
        <w:rPr>
          <w:rFonts w:hint="eastAsia" w:ascii="仿宋_GB2312" w:hAnsi="仿宋_GB2312" w:eastAsia="仿宋_GB2312" w:cs="仿宋_GB2312"/>
          <w:color w:val="282828"/>
          <w:sz w:val="32"/>
          <w:szCs w:val="32"/>
          <w:shd w:val="clear" w:color="auto" w:fill="FFFFFF"/>
        </w:rPr>
        <w:t>日止（工作日8:30-12:00，14:00-17:30）。</w:t>
      </w:r>
    </w:p>
    <w:p w14:paraId="23F7181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shd w:val="clear" w:color="auto" w:fill="FFFFFF"/>
        </w:rPr>
        <w:t>2.发放方式：现场报名领取比价文件。报名时供应商需提交授权委托书原件以及营业执照的复印件加盖公章。</w:t>
      </w:r>
    </w:p>
    <w:p w14:paraId="52395BB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82828"/>
          <w:sz w:val="32"/>
          <w:szCs w:val="32"/>
          <w:shd w:val="clear" w:color="auto" w:fill="FFFFFF"/>
        </w:rPr>
        <w:t>3.发放地点：马家店迎宾大道169号枝江市园林绿化中心。</w:t>
      </w:r>
    </w:p>
    <w:p w14:paraId="41E76A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六、响应文件编制</w:t>
      </w:r>
    </w:p>
    <w:p w14:paraId="787A4BF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1.供应商应认真阅读、并充分理解本比价文件的全部内容（包括所有的补充、修改内容），承诺并履行本比价文件中各项条款规定及要求。</w:t>
      </w:r>
    </w:p>
    <w:p w14:paraId="089E851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2.响应文件应按本文件的全部内容，包括所有的补充通知及附件进行编制。</w:t>
      </w:r>
    </w:p>
    <w:p w14:paraId="276665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3.如因供应商只填写和提供了本文件要求的部分内容和附件，比价小组将拒绝其补充。</w:t>
      </w:r>
    </w:p>
    <w:p w14:paraId="4EF6994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4.响应文件的组成</w:t>
      </w:r>
    </w:p>
    <w:p w14:paraId="4427D247">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不限于以下内容，如未提供，比价小组有权拒绝其响应文件：</w:t>
      </w:r>
    </w:p>
    <w:p w14:paraId="0B8EA78D">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（1）报价一览表；</w:t>
      </w:r>
    </w:p>
    <w:p w14:paraId="7AD6AE1F">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（2）法人身份证复印件；</w:t>
      </w:r>
    </w:p>
    <w:p w14:paraId="3E128857">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（3）法人（负责人）代表授权书及代理人身份证复印件</w:t>
      </w:r>
    </w:p>
    <w:p w14:paraId="31EC969A">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snapToGrid w:val="0"/>
          <w:color w:val="333333"/>
          <w:spacing w:val="-17"/>
          <w:kern w:val="0"/>
          <w:sz w:val="32"/>
          <w:szCs w:val="32"/>
          <w:shd w:val="clear" w:color="auto" w:fill="FFFFFF"/>
        </w:rPr>
      </w:pPr>
      <w:r>
        <w:rPr>
          <w:rFonts w:hint="eastAsia" w:ascii="仿宋_GB2312" w:hAnsi="仿宋_GB2312" w:eastAsia="仿宋_GB2312" w:cs="仿宋_GB2312"/>
          <w:color w:val="333333"/>
          <w:sz w:val="32"/>
          <w:szCs w:val="32"/>
          <w:shd w:val="clear" w:color="auto" w:fill="FFFFFF"/>
        </w:rPr>
        <w:t>（4）营业执照、《劳务派遣经营许可证》和《人力资源服务许可证》复印件并加盖公章。</w:t>
      </w:r>
    </w:p>
    <w:p w14:paraId="4DC13C6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响应文件必须电脑打印，不准涂改和行间插字，除签名外不得出现手写字体。所有文件应当以胶印的方式装订成册，并编制目录及页码。</w:t>
      </w:r>
    </w:p>
    <w:p w14:paraId="5C9763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6</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响应文件须加盖供应商单位公章，并由法定代表人或经其授权的代表签字。由授权代表签字的，应在响应文件中提供法人代表授权书，否则视为无效响应。</w:t>
      </w:r>
    </w:p>
    <w:p w14:paraId="221523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七、响应文件份数及封装</w:t>
      </w:r>
    </w:p>
    <w:p w14:paraId="3AB7C7F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14:paraId="56099CA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八、响应文件递交</w:t>
      </w:r>
    </w:p>
    <w:p w14:paraId="5BB0A6A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日10时0分</w:t>
      </w:r>
    </w:p>
    <w:p w14:paraId="57116433">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2.地点：请将纸质版响应文件密封递交至</w:t>
      </w:r>
      <w:r>
        <w:rPr>
          <w:rFonts w:hint="eastAsia" w:ascii="仿宋_GB2312" w:hAnsi="仿宋_GB2312" w:eastAsia="仿宋_GB2312" w:cs="仿宋_GB2312"/>
          <w:sz w:val="32"/>
          <w:szCs w:val="32"/>
          <w:u w:val="single"/>
        </w:rPr>
        <w:t>枝江市马家店迎宾大道169号</w:t>
      </w:r>
      <w:r>
        <w:rPr>
          <w:rFonts w:hint="eastAsia" w:ascii="仿宋_GB2312" w:hAnsi="仿宋_GB2312" w:eastAsia="仿宋_GB2312" w:cs="仿宋_GB2312"/>
          <w:sz w:val="32"/>
          <w:szCs w:val="32"/>
        </w:rPr>
        <w:t>，响应文件递交截止时间即为比价时间，逾期送达的响应文件概不接受。</w:t>
      </w:r>
    </w:p>
    <w:p w14:paraId="18AA243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九、评审方法</w:t>
      </w:r>
    </w:p>
    <w:p w14:paraId="6505E3E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1.响应文件审查。采购人确定3人以上单数比价小组，比价小组根据本比价文件规定的供应商资格条件、评定成交的标准等事项对供应商提交的响应文件进行资格性和符合性评审。</w:t>
      </w:r>
    </w:p>
    <w:p w14:paraId="62782258">
      <w:pPr>
        <w:pStyle w:val="3"/>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资格性审查和符合性审查内容及标准</w:t>
      </w:r>
    </w:p>
    <w:tbl>
      <w:tblPr>
        <w:tblStyle w:val="5"/>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14:paraId="46C335F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ign w:val="center"/>
          </w:tcPr>
          <w:p w14:paraId="6E8684E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ign w:val="center"/>
          </w:tcPr>
          <w:p w14:paraId="0230791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ign w:val="center"/>
          </w:tcPr>
          <w:p w14:paraId="326261E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检查标准</w:t>
            </w:r>
          </w:p>
        </w:tc>
      </w:tr>
      <w:tr w14:paraId="181471E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ign w:val="center"/>
          </w:tcPr>
          <w:p w14:paraId="0ECDA45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p>
        </w:tc>
        <w:tc>
          <w:tcPr>
            <w:tcW w:w="822" w:type="dxa"/>
            <w:vMerge w:val="restart"/>
            <w:tcBorders>
              <w:top w:val="outset" w:color="auto" w:sz="6" w:space="0"/>
              <w:left w:val="outset" w:color="auto" w:sz="6" w:space="0"/>
              <w:right w:val="outset" w:color="auto" w:sz="6" w:space="0"/>
            </w:tcBorders>
            <w:noWrap/>
            <w:vAlign w:val="center"/>
          </w:tcPr>
          <w:p w14:paraId="1D6367D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w:t>
            </w:r>
          </w:p>
          <w:p w14:paraId="6E1ADE1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格</w:t>
            </w:r>
          </w:p>
          <w:p w14:paraId="0FC5A88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性</w:t>
            </w:r>
          </w:p>
          <w:p w14:paraId="3363B3F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w:t>
            </w:r>
          </w:p>
          <w:p w14:paraId="55A87C5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ign w:val="center"/>
          </w:tcPr>
          <w:p w14:paraId="4F643C76">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ign w:val="center"/>
          </w:tcPr>
          <w:p w14:paraId="5CCBF3E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提供合法有效的营业执照或事业单位法人证书复印件，加盖公章。</w:t>
            </w:r>
          </w:p>
        </w:tc>
      </w:tr>
      <w:tr w14:paraId="51B2D4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3BD2958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5A5C46A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5289530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ign w:val="center"/>
          </w:tcPr>
          <w:p w14:paraId="0FB9BD7F">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响应文件递交截止时间当天，在“信用中国”网站(www.creditchina.gov.cn)、中国政府采购网(www.ccgp.gov.cn) 查询，供应商未被列入信用记录失信被执行人、重大税收违法案件当事人名单、政府采购严重违法失信行为记录名单，以现场查询的为准。</w:t>
            </w:r>
          </w:p>
        </w:tc>
      </w:tr>
      <w:tr w14:paraId="685C5B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ign w:val="center"/>
          </w:tcPr>
          <w:p w14:paraId="7D1E223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w:t>
            </w:r>
          </w:p>
        </w:tc>
        <w:tc>
          <w:tcPr>
            <w:tcW w:w="822" w:type="dxa"/>
            <w:vMerge w:val="restart"/>
            <w:tcBorders>
              <w:top w:val="outset" w:color="auto" w:sz="6" w:space="0"/>
              <w:left w:val="outset" w:color="auto" w:sz="6" w:space="0"/>
              <w:right w:val="outset" w:color="auto" w:sz="6" w:space="0"/>
            </w:tcBorders>
            <w:noWrap/>
            <w:vAlign w:val="center"/>
          </w:tcPr>
          <w:p w14:paraId="544EB63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符</w:t>
            </w:r>
          </w:p>
          <w:p w14:paraId="4AF72E2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合</w:t>
            </w:r>
          </w:p>
          <w:p w14:paraId="6982413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性</w:t>
            </w:r>
          </w:p>
          <w:p w14:paraId="4D0CF0B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w:t>
            </w:r>
          </w:p>
          <w:p w14:paraId="6606661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ign w:val="center"/>
          </w:tcPr>
          <w:p w14:paraId="644FCBA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ign w:val="center"/>
          </w:tcPr>
          <w:p w14:paraId="79390BB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供应商名称是否与营业执照一致。</w:t>
            </w:r>
          </w:p>
        </w:tc>
      </w:tr>
      <w:tr w14:paraId="009A29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5FB43C96">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0B1140F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26227B1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ign w:val="center"/>
          </w:tcPr>
          <w:p w14:paraId="0AC8B29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按比价文件要求在规定区域加盖单位章，法定代表人或授权代表签字。</w:t>
            </w:r>
          </w:p>
        </w:tc>
      </w:tr>
      <w:tr w14:paraId="5CF5B9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280BA75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3B8DBD2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7AC2EA8F">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ign w:val="center"/>
          </w:tcPr>
          <w:p w14:paraId="141DCCC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具有法定代表人资格证明和法定代表人授权委托书。</w:t>
            </w:r>
          </w:p>
        </w:tc>
      </w:tr>
      <w:tr w14:paraId="3AC018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3282EB78">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5B00C54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17F7410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ign w:val="center"/>
          </w:tcPr>
          <w:p w14:paraId="25D08AD3">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只有一个有效报价且未超过采购预算价。</w:t>
            </w:r>
          </w:p>
        </w:tc>
      </w:tr>
      <w:tr w14:paraId="61BF810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4E874398">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25415F9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4116D17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ign w:val="center"/>
          </w:tcPr>
          <w:p w14:paraId="408C1C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符合法律法规和本比价文件规定的其他实质性要求。</w:t>
            </w:r>
          </w:p>
        </w:tc>
      </w:tr>
    </w:tbl>
    <w:p w14:paraId="0534BC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14:paraId="160BFE1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评审后，满足本比价文件要求的供应商不足3家的，采购活动终止，采购人重新组织采购。满足本比价文件要求的供应商达到3家以上，比价小组对满足要求的供应商进行价格评议。</w:t>
      </w:r>
    </w:p>
    <w:p w14:paraId="48B221E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价格评议。</w:t>
      </w:r>
      <w:r>
        <w:rPr>
          <w:rFonts w:hint="eastAsia" w:ascii="仿宋_GB2312" w:hAnsi="仿宋_GB2312" w:eastAsia="仿宋_GB2312" w:cs="仿宋_GB2312"/>
          <w:sz w:val="32"/>
          <w:szCs w:val="32"/>
        </w:rPr>
        <w:t>本次采购报价为现场多轮报价（最低两轮），报价以满足业主采购需求和功能参数前提下最低价为中标价。</w:t>
      </w:r>
    </w:p>
    <w:p w14:paraId="1D65E31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3.推荐供应商。比价小组从满足本比价文件实质性要求的供应商中，按照评审价由低到高的顺序提出3名以上成交候选供应商，并编写评审报告。</w:t>
      </w:r>
    </w:p>
    <w:p w14:paraId="691148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十、确定成交供应商</w:t>
      </w:r>
    </w:p>
    <w:p w14:paraId="26CE052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1.比价小组应当在评审结束后1个工作日内将评审报告送采购人，采购人应当在收到评审报告后1个工作日内，从比价小组推荐的候选供应商中，根据满足比价文件要求且评审价最低的原则确定成交供应商。</w:t>
      </w:r>
    </w:p>
    <w:p w14:paraId="5FE4D5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sz w:val="32"/>
          <w:szCs w:val="32"/>
        </w:rPr>
        <w:t>确定成交供应商后，采购人应将成交结果在</w:t>
      </w:r>
      <w:r>
        <w:rPr>
          <w:rFonts w:hint="eastAsia" w:ascii="仿宋_GB2312" w:hAnsi="仿宋_GB2312" w:eastAsia="仿宋_GB2312" w:cs="仿宋_GB2312"/>
          <w:bCs/>
          <w:sz w:val="32"/>
          <w:szCs w:val="32"/>
        </w:rPr>
        <w:t>三峡枝江网或枝江市公共资源交易信息网</w:t>
      </w:r>
      <w:r>
        <w:rPr>
          <w:rFonts w:hint="eastAsia" w:ascii="仿宋_GB2312" w:hAnsi="仿宋_GB2312" w:eastAsia="仿宋_GB2312" w:cs="仿宋_GB2312"/>
          <w:sz w:val="32"/>
          <w:szCs w:val="32"/>
        </w:rPr>
        <w:t>等网络媒体予以公示，同时向成交供应商发出成交通知书。</w:t>
      </w:r>
    </w:p>
    <w:p w14:paraId="17E617E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十一、签订采购合同</w:t>
      </w:r>
    </w:p>
    <w:p w14:paraId="1335B53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成交供应商收到成交通知书后，应在3个工作日内与采购人签订采购合同。</w:t>
      </w:r>
    </w:p>
    <w:p w14:paraId="1617C7E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十二、联系方式</w:t>
      </w:r>
    </w:p>
    <w:p w14:paraId="6E3004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李澄</w:t>
      </w:r>
    </w:p>
    <w:p w14:paraId="12CE496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联系电话：0717-422</w:t>
      </w:r>
      <w:r>
        <w:rPr>
          <w:rFonts w:hint="eastAsia" w:ascii="仿宋_GB2312" w:hAnsi="仿宋_GB2312" w:eastAsia="仿宋_GB2312" w:cs="仿宋_GB2312"/>
          <w:sz w:val="32"/>
          <w:szCs w:val="32"/>
          <w:lang w:val="en-US" w:eastAsia="zh-CN"/>
        </w:rPr>
        <w:t>1686</w:t>
      </w:r>
    </w:p>
    <w:p w14:paraId="2CB4E6F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    址：迎宾大道169号</w:t>
      </w:r>
    </w:p>
    <w:p w14:paraId="736D4AF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2BF5D2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附件：报价一览表</w:t>
      </w:r>
    </w:p>
    <w:p w14:paraId="14EBD1CD">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p>
    <w:p w14:paraId="2465AFCD">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p>
    <w:p w14:paraId="64330E50">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枝江市园林绿化中心</w:t>
      </w:r>
    </w:p>
    <w:p w14:paraId="5AE35782">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0E39A6ED">
      <w:pPr>
        <w:pStyle w:val="2"/>
        <w:rPr>
          <w:rFonts w:hint="eastAsia" w:ascii="仿宋_GB2312" w:hAnsi="仿宋_GB2312" w:eastAsia="仿宋_GB2312" w:cs="仿宋_GB2312"/>
          <w:sz w:val="32"/>
          <w:szCs w:val="32"/>
        </w:rPr>
        <w:sectPr>
          <w:pgSz w:w="11906" w:h="16838"/>
          <w:pgMar w:top="2098" w:right="1474" w:bottom="1701" w:left="1587" w:header="851" w:footer="992" w:gutter="0"/>
          <w:cols w:space="0" w:num="1"/>
          <w:rtlGutter w:val="0"/>
          <w:docGrid w:type="lines" w:linePitch="312" w:charSpace="0"/>
        </w:sectPr>
      </w:pPr>
    </w:p>
    <w:tbl>
      <w:tblPr>
        <w:tblStyle w:val="5"/>
        <w:tblpPr w:leftFromText="180" w:rightFromText="180" w:vertAnchor="text" w:horzAnchor="page" w:tblpX="2663" w:tblpY="403"/>
        <w:tblOverlap w:val="never"/>
        <w:tblW w:w="11560" w:type="dxa"/>
        <w:tblInd w:w="0" w:type="dxa"/>
        <w:tblLayout w:type="autofit"/>
        <w:tblCellMar>
          <w:top w:w="0" w:type="dxa"/>
          <w:left w:w="108" w:type="dxa"/>
          <w:bottom w:w="0" w:type="dxa"/>
          <w:right w:w="108" w:type="dxa"/>
        </w:tblCellMar>
      </w:tblPr>
      <w:tblGrid>
        <w:gridCol w:w="1516"/>
        <w:gridCol w:w="1212"/>
        <w:gridCol w:w="1423"/>
        <w:gridCol w:w="1553"/>
        <w:gridCol w:w="1423"/>
        <w:gridCol w:w="1086"/>
        <w:gridCol w:w="1423"/>
        <w:gridCol w:w="1924"/>
      </w:tblGrid>
      <w:tr w14:paraId="1AE4D134">
        <w:tblPrEx>
          <w:tblCellMar>
            <w:top w:w="0" w:type="dxa"/>
            <w:left w:w="108" w:type="dxa"/>
            <w:bottom w:w="0" w:type="dxa"/>
            <w:right w:w="108" w:type="dxa"/>
          </w:tblCellMar>
        </w:tblPrEx>
        <w:trPr>
          <w:trHeight w:val="1262" w:hRule="atLeast"/>
        </w:trPr>
        <w:tc>
          <w:tcPr>
            <w:tcW w:w="11560" w:type="dxa"/>
            <w:gridSpan w:val="8"/>
            <w:tcBorders>
              <w:top w:val="nil"/>
              <w:left w:val="nil"/>
              <w:bottom w:val="single" w:color="000000" w:sz="4" w:space="0"/>
              <w:right w:val="nil"/>
            </w:tcBorders>
            <w:shd w:val="clear" w:color="auto" w:fill="auto"/>
            <w:noWrap/>
            <w:vAlign w:val="center"/>
          </w:tcPr>
          <w:p w14:paraId="5D2E80B5">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枝江市园林绿化中心劳务派遣服务报价一览表</w:t>
            </w:r>
          </w:p>
        </w:tc>
      </w:tr>
      <w:tr w14:paraId="536964AF">
        <w:tblPrEx>
          <w:tblCellMar>
            <w:top w:w="0" w:type="dxa"/>
            <w:left w:w="108" w:type="dxa"/>
            <w:bottom w:w="0" w:type="dxa"/>
            <w:right w:w="108" w:type="dxa"/>
          </w:tblCellMar>
        </w:tblPrEx>
        <w:trPr>
          <w:trHeight w:val="1311"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84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岗位名称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8A3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  量</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EFB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工  资  （元/月）</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3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社  保    （元/月）</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2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雇主险    （元/年）</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9E2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 务     月 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4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服务费   （元/月）</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34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共计（元）</w:t>
            </w:r>
          </w:p>
        </w:tc>
      </w:tr>
      <w:tr w14:paraId="47398829">
        <w:tblPrEx>
          <w:tblCellMar>
            <w:top w:w="0" w:type="dxa"/>
            <w:left w:w="108" w:type="dxa"/>
            <w:bottom w:w="0" w:type="dxa"/>
            <w:right w:w="108" w:type="dxa"/>
          </w:tblCellMar>
        </w:tblPrEx>
        <w:trPr>
          <w:trHeight w:val="680" w:hRule="atLeast"/>
        </w:trPr>
        <w:tc>
          <w:tcPr>
            <w:tcW w:w="1516" w:type="dxa"/>
            <w:tcBorders>
              <w:top w:val="single" w:color="000000" w:sz="4" w:space="0"/>
              <w:left w:val="single" w:color="000000" w:sz="4" w:space="0"/>
              <w:bottom w:val="nil"/>
              <w:right w:val="single" w:color="000000" w:sz="4" w:space="0"/>
            </w:tcBorders>
            <w:shd w:val="clear" w:color="auto" w:fill="auto"/>
            <w:noWrap/>
            <w:vAlign w:val="center"/>
          </w:tcPr>
          <w:p w14:paraId="47B57E1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驾驶员</w:t>
            </w:r>
          </w:p>
        </w:tc>
        <w:tc>
          <w:tcPr>
            <w:tcW w:w="1212" w:type="dxa"/>
            <w:tcBorders>
              <w:top w:val="single" w:color="000000" w:sz="4" w:space="0"/>
              <w:left w:val="single" w:color="000000" w:sz="4" w:space="0"/>
              <w:bottom w:val="nil"/>
              <w:right w:val="single" w:color="000000" w:sz="4" w:space="0"/>
            </w:tcBorders>
            <w:shd w:val="clear" w:color="auto" w:fill="auto"/>
            <w:noWrap/>
            <w:vAlign w:val="center"/>
          </w:tcPr>
          <w:p w14:paraId="2297E98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2</w:t>
            </w:r>
          </w:p>
        </w:tc>
        <w:tc>
          <w:tcPr>
            <w:tcW w:w="1423" w:type="dxa"/>
            <w:tcBorders>
              <w:top w:val="single" w:color="000000" w:sz="4" w:space="0"/>
              <w:left w:val="single" w:color="000000" w:sz="4" w:space="0"/>
              <w:bottom w:val="nil"/>
              <w:right w:val="single" w:color="000000" w:sz="4" w:space="0"/>
            </w:tcBorders>
            <w:shd w:val="clear" w:color="auto" w:fill="auto"/>
            <w:noWrap/>
            <w:vAlign w:val="center"/>
          </w:tcPr>
          <w:p w14:paraId="132EAC64">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rPr>
              <w:t>2920</w:t>
            </w:r>
          </w:p>
        </w:tc>
        <w:tc>
          <w:tcPr>
            <w:tcW w:w="1553" w:type="dxa"/>
            <w:tcBorders>
              <w:top w:val="single" w:color="000000" w:sz="4" w:space="0"/>
              <w:left w:val="single" w:color="000000" w:sz="4" w:space="0"/>
              <w:bottom w:val="nil"/>
              <w:right w:val="single" w:color="000000" w:sz="4" w:space="0"/>
            </w:tcBorders>
            <w:shd w:val="clear" w:color="auto" w:fill="auto"/>
            <w:noWrap/>
            <w:vAlign w:val="center"/>
          </w:tcPr>
          <w:p w14:paraId="2831428B">
            <w:pPr>
              <w:widowControl/>
              <w:jc w:val="center"/>
              <w:textAlignment w:val="center"/>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1142.94</w:t>
            </w:r>
          </w:p>
        </w:tc>
        <w:tc>
          <w:tcPr>
            <w:tcW w:w="1423" w:type="dxa"/>
            <w:tcBorders>
              <w:top w:val="single" w:color="000000" w:sz="4" w:space="0"/>
              <w:left w:val="single" w:color="000000" w:sz="4" w:space="0"/>
              <w:bottom w:val="nil"/>
              <w:right w:val="single" w:color="000000" w:sz="4" w:space="0"/>
            </w:tcBorders>
            <w:shd w:val="clear" w:color="auto" w:fill="auto"/>
            <w:noWrap/>
            <w:vAlign w:val="center"/>
          </w:tcPr>
          <w:p w14:paraId="492EE02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400</w:t>
            </w:r>
          </w:p>
        </w:tc>
        <w:tc>
          <w:tcPr>
            <w:tcW w:w="1086" w:type="dxa"/>
            <w:tcBorders>
              <w:top w:val="single" w:color="000000" w:sz="4" w:space="0"/>
              <w:left w:val="single" w:color="000000" w:sz="4" w:space="0"/>
              <w:bottom w:val="nil"/>
              <w:right w:val="single" w:color="000000" w:sz="4" w:space="0"/>
            </w:tcBorders>
            <w:shd w:val="clear" w:color="auto" w:fill="auto"/>
            <w:noWrap/>
            <w:vAlign w:val="center"/>
          </w:tcPr>
          <w:p w14:paraId="3225F9F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12</w:t>
            </w:r>
          </w:p>
        </w:tc>
        <w:tc>
          <w:tcPr>
            <w:tcW w:w="1423" w:type="dxa"/>
            <w:tcBorders>
              <w:top w:val="single" w:color="000000" w:sz="4" w:space="0"/>
              <w:left w:val="single" w:color="000000" w:sz="4" w:space="0"/>
              <w:bottom w:val="nil"/>
              <w:right w:val="single" w:color="000000" w:sz="4" w:space="0"/>
            </w:tcBorders>
            <w:shd w:val="clear" w:color="auto" w:fill="auto"/>
            <w:noWrap/>
            <w:vAlign w:val="center"/>
          </w:tcPr>
          <w:p w14:paraId="76BA6E9A">
            <w:pPr>
              <w:jc w:val="center"/>
              <w:rPr>
                <w:rFonts w:ascii="宋体" w:hAnsi="宋体" w:cs="宋体"/>
                <w:color w:val="000000"/>
                <w:sz w:val="24"/>
                <w:szCs w:val="24"/>
                <w:highlight w:val="none"/>
              </w:rPr>
            </w:pPr>
          </w:p>
        </w:tc>
        <w:tc>
          <w:tcPr>
            <w:tcW w:w="1924" w:type="dxa"/>
            <w:tcBorders>
              <w:top w:val="single" w:color="000000" w:sz="4" w:space="0"/>
              <w:left w:val="single" w:color="000000" w:sz="4" w:space="0"/>
              <w:bottom w:val="nil"/>
              <w:right w:val="single" w:color="000000" w:sz="4" w:space="0"/>
            </w:tcBorders>
            <w:shd w:val="clear" w:color="auto" w:fill="auto"/>
            <w:noWrap/>
            <w:vAlign w:val="center"/>
          </w:tcPr>
          <w:p w14:paraId="212DBE46">
            <w:pPr>
              <w:jc w:val="center"/>
              <w:rPr>
                <w:rFonts w:ascii="宋体" w:hAnsi="宋体" w:cs="宋体"/>
                <w:color w:val="000000"/>
                <w:sz w:val="24"/>
                <w:szCs w:val="24"/>
                <w:highlight w:val="none"/>
              </w:rPr>
            </w:pPr>
          </w:p>
        </w:tc>
      </w:tr>
      <w:tr w14:paraId="3F5767DA">
        <w:tblPrEx>
          <w:tblCellMar>
            <w:top w:w="0" w:type="dxa"/>
            <w:left w:w="108" w:type="dxa"/>
            <w:bottom w:w="0" w:type="dxa"/>
            <w:right w:w="108" w:type="dxa"/>
          </w:tblCellMar>
        </w:tblPrEx>
        <w:trPr>
          <w:trHeight w:val="680"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A6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924B">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3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4D9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B00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9A1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AEE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01DB">
            <w:pPr>
              <w:jc w:val="center"/>
              <w:rPr>
                <w:rFonts w:ascii="宋体" w:hAnsi="宋体" w:cs="宋体"/>
                <w:color w:val="000000"/>
                <w:sz w:val="24"/>
                <w:szCs w:val="24"/>
              </w:rPr>
            </w:pPr>
          </w:p>
        </w:tc>
      </w:tr>
      <w:tr w14:paraId="0442B01B">
        <w:tblPrEx>
          <w:tblCellMar>
            <w:top w:w="0" w:type="dxa"/>
            <w:left w:w="108" w:type="dxa"/>
            <w:bottom w:w="0" w:type="dxa"/>
            <w:right w:w="108" w:type="dxa"/>
          </w:tblCellMar>
        </w:tblPrEx>
        <w:trPr>
          <w:trHeight w:val="680" w:hRule="atLeast"/>
        </w:trPr>
        <w:tc>
          <w:tcPr>
            <w:tcW w:w="1516" w:type="dxa"/>
            <w:tcBorders>
              <w:top w:val="nil"/>
              <w:left w:val="nil"/>
              <w:bottom w:val="nil"/>
              <w:right w:val="nil"/>
            </w:tcBorders>
            <w:shd w:val="clear" w:color="auto" w:fill="auto"/>
            <w:noWrap/>
            <w:vAlign w:val="center"/>
          </w:tcPr>
          <w:p w14:paraId="72141062">
            <w:pPr>
              <w:jc w:val="center"/>
              <w:rPr>
                <w:rFonts w:ascii="宋体" w:hAnsi="宋体" w:cs="宋体"/>
                <w:color w:val="000000"/>
                <w:sz w:val="22"/>
                <w:szCs w:val="22"/>
              </w:rPr>
            </w:pPr>
          </w:p>
        </w:tc>
        <w:tc>
          <w:tcPr>
            <w:tcW w:w="1212" w:type="dxa"/>
            <w:tcBorders>
              <w:top w:val="nil"/>
              <w:left w:val="nil"/>
              <w:bottom w:val="nil"/>
              <w:right w:val="nil"/>
            </w:tcBorders>
            <w:shd w:val="clear" w:color="auto" w:fill="auto"/>
            <w:noWrap/>
            <w:vAlign w:val="center"/>
          </w:tcPr>
          <w:p w14:paraId="3DC5F52A">
            <w:pPr>
              <w:jc w:val="center"/>
              <w:rPr>
                <w:rFonts w:ascii="宋体" w:hAnsi="宋体" w:cs="宋体"/>
                <w:color w:val="000000"/>
                <w:sz w:val="22"/>
                <w:szCs w:val="22"/>
              </w:rPr>
            </w:pPr>
          </w:p>
        </w:tc>
        <w:tc>
          <w:tcPr>
            <w:tcW w:w="1423" w:type="dxa"/>
            <w:tcBorders>
              <w:top w:val="nil"/>
              <w:left w:val="nil"/>
              <w:bottom w:val="nil"/>
              <w:right w:val="nil"/>
            </w:tcBorders>
            <w:shd w:val="clear" w:color="auto" w:fill="auto"/>
            <w:noWrap/>
            <w:vAlign w:val="center"/>
          </w:tcPr>
          <w:p w14:paraId="400C2A47">
            <w:pPr>
              <w:jc w:val="center"/>
              <w:rPr>
                <w:rFonts w:ascii="宋体" w:hAnsi="宋体" w:cs="宋体"/>
                <w:color w:val="000000"/>
                <w:sz w:val="22"/>
                <w:szCs w:val="22"/>
              </w:rPr>
            </w:pPr>
          </w:p>
        </w:tc>
        <w:tc>
          <w:tcPr>
            <w:tcW w:w="1553" w:type="dxa"/>
            <w:tcBorders>
              <w:top w:val="nil"/>
              <w:left w:val="nil"/>
              <w:bottom w:val="nil"/>
              <w:right w:val="nil"/>
            </w:tcBorders>
            <w:shd w:val="clear" w:color="auto" w:fill="auto"/>
            <w:noWrap/>
            <w:vAlign w:val="center"/>
          </w:tcPr>
          <w:p w14:paraId="56B91A31">
            <w:pPr>
              <w:jc w:val="center"/>
              <w:rPr>
                <w:rFonts w:ascii="宋体" w:hAnsi="宋体" w:cs="宋体"/>
                <w:color w:val="000000"/>
                <w:sz w:val="22"/>
                <w:szCs w:val="22"/>
              </w:rPr>
            </w:pPr>
          </w:p>
        </w:tc>
        <w:tc>
          <w:tcPr>
            <w:tcW w:w="1423" w:type="dxa"/>
            <w:tcBorders>
              <w:top w:val="nil"/>
              <w:left w:val="nil"/>
              <w:bottom w:val="nil"/>
              <w:right w:val="nil"/>
            </w:tcBorders>
            <w:shd w:val="clear" w:color="auto" w:fill="auto"/>
            <w:noWrap/>
            <w:vAlign w:val="center"/>
          </w:tcPr>
          <w:p w14:paraId="07F3F792">
            <w:pPr>
              <w:jc w:val="center"/>
              <w:rPr>
                <w:rFonts w:ascii="宋体" w:hAnsi="宋体" w:cs="宋体"/>
                <w:color w:val="000000"/>
                <w:sz w:val="22"/>
                <w:szCs w:val="22"/>
              </w:rPr>
            </w:pPr>
          </w:p>
        </w:tc>
        <w:tc>
          <w:tcPr>
            <w:tcW w:w="1086" w:type="dxa"/>
            <w:tcBorders>
              <w:top w:val="nil"/>
              <w:left w:val="nil"/>
              <w:bottom w:val="nil"/>
              <w:right w:val="nil"/>
            </w:tcBorders>
            <w:shd w:val="clear" w:color="auto" w:fill="auto"/>
            <w:noWrap/>
            <w:vAlign w:val="center"/>
          </w:tcPr>
          <w:p w14:paraId="679DE27E">
            <w:pPr>
              <w:jc w:val="center"/>
              <w:rPr>
                <w:rFonts w:ascii="宋体" w:hAnsi="宋体" w:cs="宋体"/>
                <w:color w:val="000000"/>
                <w:sz w:val="22"/>
                <w:szCs w:val="22"/>
              </w:rPr>
            </w:pPr>
          </w:p>
        </w:tc>
        <w:tc>
          <w:tcPr>
            <w:tcW w:w="1423" w:type="dxa"/>
            <w:tcBorders>
              <w:top w:val="nil"/>
              <w:left w:val="nil"/>
              <w:bottom w:val="nil"/>
              <w:right w:val="nil"/>
            </w:tcBorders>
            <w:shd w:val="clear" w:color="auto" w:fill="auto"/>
            <w:noWrap/>
            <w:vAlign w:val="center"/>
          </w:tcPr>
          <w:p w14:paraId="0A1B2DC8">
            <w:pPr>
              <w:jc w:val="center"/>
              <w:rPr>
                <w:rFonts w:ascii="宋体" w:hAnsi="宋体" w:cs="宋体"/>
                <w:color w:val="000000"/>
                <w:sz w:val="22"/>
                <w:szCs w:val="22"/>
              </w:rPr>
            </w:pPr>
          </w:p>
        </w:tc>
        <w:tc>
          <w:tcPr>
            <w:tcW w:w="1924" w:type="dxa"/>
            <w:tcBorders>
              <w:top w:val="nil"/>
              <w:left w:val="nil"/>
              <w:bottom w:val="nil"/>
              <w:right w:val="nil"/>
            </w:tcBorders>
            <w:shd w:val="clear" w:color="auto" w:fill="auto"/>
            <w:noWrap/>
            <w:vAlign w:val="center"/>
          </w:tcPr>
          <w:p w14:paraId="2CE26602">
            <w:pPr>
              <w:jc w:val="center"/>
              <w:rPr>
                <w:rFonts w:ascii="宋体" w:hAnsi="宋体" w:cs="宋体"/>
                <w:color w:val="000000"/>
                <w:sz w:val="22"/>
                <w:szCs w:val="22"/>
              </w:rPr>
            </w:pPr>
          </w:p>
        </w:tc>
      </w:tr>
      <w:tr w14:paraId="6FDD8A89">
        <w:tblPrEx>
          <w:tblCellMar>
            <w:top w:w="0" w:type="dxa"/>
            <w:left w:w="108" w:type="dxa"/>
            <w:bottom w:w="0" w:type="dxa"/>
            <w:right w:w="108" w:type="dxa"/>
          </w:tblCellMar>
        </w:tblPrEx>
        <w:trPr>
          <w:trHeight w:val="501" w:hRule="atLeast"/>
        </w:trPr>
        <w:tc>
          <w:tcPr>
            <w:tcW w:w="11560" w:type="dxa"/>
            <w:gridSpan w:val="8"/>
            <w:tcBorders>
              <w:top w:val="nil"/>
              <w:left w:val="nil"/>
              <w:bottom w:val="nil"/>
              <w:right w:val="nil"/>
            </w:tcBorders>
            <w:shd w:val="clear" w:color="auto" w:fill="auto"/>
            <w:noWrap/>
          </w:tcPr>
          <w:p w14:paraId="50D7CF2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注：1</w:t>
            </w:r>
            <w:r>
              <w:rPr>
                <w:rFonts w:hint="eastAsia" w:ascii="宋体" w:hAnsi="宋体" w:cs="宋体"/>
                <w:color w:val="000000"/>
                <w:kern w:val="0"/>
                <w:sz w:val="22"/>
                <w:szCs w:val="22"/>
                <w:lang w:eastAsia="zh-CN"/>
              </w:rPr>
              <w:t xml:space="preserve">. </w:t>
            </w:r>
            <w:r>
              <w:rPr>
                <w:rFonts w:hint="eastAsia" w:ascii="宋体" w:hAnsi="宋体" w:cs="宋体"/>
                <w:color w:val="000000"/>
                <w:kern w:val="0"/>
                <w:sz w:val="22"/>
                <w:szCs w:val="22"/>
              </w:rPr>
              <w:t>所有价格均用人民币表示；</w:t>
            </w:r>
          </w:p>
        </w:tc>
      </w:tr>
      <w:tr w14:paraId="74DA4578">
        <w:tblPrEx>
          <w:tblCellMar>
            <w:top w:w="0" w:type="dxa"/>
            <w:left w:w="108" w:type="dxa"/>
            <w:bottom w:w="0" w:type="dxa"/>
            <w:right w:w="108" w:type="dxa"/>
          </w:tblCellMar>
        </w:tblPrEx>
        <w:trPr>
          <w:trHeight w:val="501" w:hRule="atLeast"/>
        </w:trPr>
        <w:tc>
          <w:tcPr>
            <w:tcW w:w="11560" w:type="dxa"/>
            <w:gridSpan w:val="8"/>
            <w:tcBorders>
              <w:top w:val="nil"/>
              <w:left w:val="nil"/>
              <w:bottom w:val="nil"/>
              <w:right w:val="nil"/>
            </w:tcBorders>
            <w:shd w:val="clear" w:color="auto" w:fill="auto"/>
            <w:noWrap/>
            <w:vAlign w:val="center"/>
          </w:tcPr>
          <w:p w14:paraId="1FC00C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2.</w:t>
            </w:r>
            <w:r>
              <w:rPr>
                <w:rFonts w:hint="eastAsia" w:ascii="宋体" w:hAnsi="宋体" w:cs="宋体"/>
                <w:color w:val="000000"/>
                <w:kern w:val="0"/>
                <w:sz w:val="22"/>
                <w:szCs w:val="22"/>
              </w:rPr>
              <w:t>工资含社保个人部分和节假日福利；</w:t>
            </w:r>
          </w:p>
        </w:tc>
      </w:tr>
      <w:tr w14:paraId="4751E550">
        <w:tblPrEx>
          <w:tblCellMar>
            <w:top w:w="0" w:type="dxa"/>
            <w:left w:w="108" w:type="dxa"/>
            <w:bottom w:w="0" w:type="dxa"/>
            <w:right w:w="108" w:type="dxa"/>
          </w:tblCellMar>
        </w:tblPrEx>
        <w:trPr>
          <w:trHeight w:val="501" w:hRule="atLeast"/>
        </w:trPr>
        <w:tc>
          <w:tcPr>
            <w:tcW w:w="11560" w:type="dxa"/>
            <w:gridSpan w:val="8"/>
            <w:tcBorders>
              <w:top w:val="nil"/>
              <w:left w:val="nil"/>
              <w:bottom w:val="nil"/>
              <w:right w:val="nil"/>
            </w:tcBorders>
            <w:shd w:val="clear" w:color="auto" w:fill="auto"/>
            <w:noWrap/>
            <w:vAlign w:val="center"/>
          </w:tcPr>
          <w:p w14:paraId="208633E3">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lang w:eastAsia="zh-CN"/>
              </w:rPr>
              <w:t>3.</w:t>
            </w:r>
            <w:r>
              <w:rPr>
                <w:rFonts w:hint="eastAsia" w:ascii="宋体" w:hAnsi="宋体" w:cs="宋体"/>
                <w:color w:val="000000"/>
                <w:kern w:val="0"/>
                <w:sz w:val="22"/>
                <w:szCs w:val="22"/>
                <w:highlight w:val="none"/>
              </w:rPr>
              <w:t>社保为单位缴纳部分，以</w:t>
            </w:r>
            <w:r>
              <w:rPr>
                <w:rFonts w:hint="eastAsia" w:ascii="宋体" w:hAnsi="宋体" w:cs="宋体"/>
                <w:color w:val="000000"/>
                <w:kern w:val="0"/>
                <w:sz w:val="22"/>
                <w:szCs w:val="22"/>
                <w:highlight w:val="none"/>
                <w:lang w:val="en-US" w:eastAsia="zh-CN"/>
              </w:rPr>
              <w:t>4299</w:t>
            </w:r>
            <w:r>
              <w:rPr>
                <w:rFonts w:hint="eastAsia" w:ascii="宋体" w:hAnsi="宋体" w:cs="宋体"/>
                <w:color w:val="000000"/>
                <w:kern w:val="0"/>
                <w:sz w:val="22"/>
                <w:szCs w:val="22"/>
                <w:highlight w:val="none"/>
              </w:rPr>
              <w:t>为基数，实际缴纳金额以实缴到社保局为准。</w:t>
            </w:r>
          </w:p>
        </w:tc>
      </w:tr>
    </w:tbl>
    <w:p w14:paraId="2839AFC4">
      <w:pPr>
        <w:rPr>
          <w:rFonts w:asciiTheme="minorEastAsia" w:hAnsiTheme="minorEastAsia" w:eastAsiaTheme="minorEastAsia" w:cstheme="minorEastAsia"/>
        </w:rPr>
      </w:pPr>
    </w:p>
    <w:p w14:paraId="3A0B6E82"/>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6AFD80-94C3-40C4-ABAD-2777BD57A1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A5AF293-ACBF-4AAD-AA99-5FC63D153A56}"/>
  </w:font>
  <w:font w:name="仿宋_GB2312">
    <w:panose1 w:val="02010609030101010101"/>
    <w:charset w:val="86"/>
    <w:family w:val="modern"/>
    <w:pitch w:val="default"/>
    <w:sig w:usb0="00000001" w:usb1="080E0000" w:usb2="00000000" w:usb3="00000000" w:csb0="00040000" w:csb1="00000000"/>
    <w:embedRegular r:id="rId3" w:fontKey="{FC88301C-BC7D-4EC0-9F20-FAEB7B8DD817}"/>
  </w:font>
  <w:font w:name="方正小标宋简体">
    <w:panose1 w:val="02000000000000000000"/>
    <w:charset w:val="86"/>
    <w:family w:val="auto"/>
    <w:pitch w:val="default"/>
    <w:sig w:usb0="00000001" w:usb1="08000000" w:usb2="00000000" w:usb3="00000000" w:csb0="00040000" w:csb1="00000000"/>
    <w:embedRegular r:id="rId4" w:fontKey="{9A75C2C9-A833-4C78-934D-4B55A8E3F4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4B6F"/>
    <w:rsid w:val="4454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eastAsia="仿宋_GB2312"/>
      <w:b/>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a60bae6d-894a-49bc-a6d2-a05ced2b1b99</errorID>
      <errorWord>需具备</errorWord>
      <group>L1_Word</group>
      <groupName>字词问题</groupName>
      <ability>L2_Typo</ability>
      <abilityName>字词错误</abilityName>
      <candidateList>
        <item>须具备</item>
      </candidateList>
      <explain/>
      <paraID>11CCBC5E</paraID>
      <start>22</start>
      <end>25</end>
      <status>unmodified</status>
      <modifiedWord/>
      <trackRevisions>false</trackRevisions>
    </reviewItem>
    <reviewItem>
      <errorID>424d5401-7457-433d-af9a-7b999d0b96f8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BCB01D3</paraID>
      <start>104</start>
      <end>106</end>
      <status>unmodified</status>
      <modifiedWord/>
      <trackRevisions>false</trackRevisions>
    </reviewItem>
    <reviewItem>
      <errorID>beb26730-d16a-4a9b-a938-719721332335</errorID>
      <errorWord>《政府采购法》</errorWord>
      <group>L1_Word</group>
      <groupName>字词问题</groupName>
      <ability>L2_Typo</ability>
      <abilityName>字词错误</abilityName>
      <candidateList>
        <item>《中华人民共和国政府采购法》</item>
      </candidateList>
      <explain/>
      <paraID>6FFE8EED</paraID>
      <start>8</start>
      <end>15</end>
      <status>unmodified</status>
      <modifiedWord/>
      <trackRevisions>false</trackRevisions>
    </reviewItem>
    <reviewItem>
      <errorID>7a5cc19d-2a5c-4ab3-836f-696937e17cdc</errorID>
      <errorWord>,</errorWord>
      <group>L1_Format</group>
      <groupName>格式问题</groupName>
      <ability>L2_HalfPunc</ability>
      <abilityName>全半角检查</abilityName>
      <candidateList>
        <item>，</item>
      </candidateList>
      <explain>文本全半角错误。</explain>
      <paraID>6FFE8EED</paraID>
      <start>28</start>
      <end>29</end>
      <status>unmodified</status>
      <modifiedWord/>
      <trackRevisions>false</trackRevisions>
    </reviewItem>
    <reviewItem>
      <errorID>7efac3c2-a5f7-444b-a30e-d523242c7ca3</errorID>
      <errorWord>、</errorWord>
      <group>L1_AI</group>
      <groupName>深度校对</groupName>
      <ability>L2_AI_Punc</ability>
      <abilityName>标点纠错</abilityName>
      <candidateList>
        <item/>
      </candidateList>
      <explain/>
      <paraID>787A4BFC</paraID>
      <start>10</start>
      <end>11</end>
      <status>unmodified</status>
      <modifiedWord/>
      <trackRevisions>false</trackRevisions>
    </reviewItem>
    <reviewItem>
      <errorID>1a202f05-1f4b-45f3-8960-a44399238ba8</errorID>
      <errorWord>位</errorWord>
      <group>L1_Word</group>
      <groupName>字词问题</groupName>
      <ability>L2_Typo</ability>
      <abilityName>字词错误</abilityName>
      <candidateList>
        <item>位公</item>
      </candidateList>
      <explain/>
      <paraID> AC8B292</paraID>
      <start>15</start>
      <end>16</end>
      <status>unmodified</status>
      <modifiedWord/>
      <trackRevisions>false</trackRevisions>
    </reviewItem>
    <reviewItem>
      <errorID>bf9bf6bc-b48e-4e15-ac5c-36284055c53d</errorID>
      <errorWord>，</errorWord>
      <group>L1_AI</group>
      <groupName>深度校对</groupName>
      <ability>L2_AI_Word</ability>
      <abilityName>字词纠错</abilityName>
      <candidateList>
        <item>的，</item>
      </candidateList>
      <explain/>
      <paraID>160BFE19</paraID>
      <start>59</start>
      <end>60</end>
      <status>unmodified</status>
      <modifiedWord/>
      <trackRevisions>false</trackRevisions>
    </reviewItem>
    <reviewItem>
      <errorID>72bc1913-be15-44d6-95f0-efc64b45ae13</errorID>
      <errorWord>最低</errorWord>
      <group>L1_AI</group>
      <groupName>深度校对</groupName>
      <ability>L2_AI_Word</ability>
      <abilityName>字词纠错</abilityName>
      <candidateList>
        <item>至少</item>
      </candidateList>
      <explain/>
      <paraID>48B221EE</paraID>
      <start>21</start>
      <end>23</end>
      <status>unmodified</status>
      <modifiedWord/>
      <trackRevisions>false</trackRevisions>
    </reviewItem>
    <reviewItem>
      <errorID>02a461be-85c2-426a-a1d6-c96c08c6b655</errorID>
      <errorWord>前提</errorWord>
      <group>L1_AI</group>
      <groupName>深度校对</groupName>
      <ability>L2_AI_Word</ability>
      <abilityName>字词纠错</abilityName>
      <candidateList>
        <item>的前提</item>
      </candidateList>
      <explain/>
      <paraID>48B221EE</paraID>
      <start>43</start>
      <end>45</end>
      <status>unmodified</status>
      <modifiedWord/>
      <trackRevisions>false</trackRevisions>
    </reviewItem>
    <reviewItem>
      <errorID>80c5b3d7-50be-4b24-9570-6c3b08549a23</errorID>
      <errorWord>，</errorWord>
      <group>L1_AI</group>
      <groupName>深度校对</groupName>
      <ability>L2_AI_Punc</ability>
      <abilityName>标点纠错</abilityName>
      <candidateList>
        <item>。</item>
      </candidateList>
      <explain/>
      <paraID>1D65E31A</paraID>
      <start>56</start>
      <end>57</end>
      <status>unmodified</status>
      <modifiedWord/>
      <trackRevisions>false</trackRevisions>
    </reviewItem>
    <reviewItem>
      <errorID>b505dd6d-d089-4392-aaa5-e3c7dd496ebd</errorID>
      <errorWord>、</errorWord>
      <group>L1_AI</group>
      <groupName>深度校对</groupName>
      <ability>L2_AI_Punc</ability>
      <abilityName>标点纠错</abilityName>
      <candidateList>
        <item>. </item>
      </candidateList>
      <explain/>
      <paraID>50D7CF2B</paraID>
      <start>3</start>
      <end>5</end>
      <status>modified</status>
      <modifiedWord>. </modifiedWord>
      <trackRevisions>false</trackRevisions>
    </reviewItem>
    <reviewItem>
      <errorID>702ffbdc-e8fc-437d-9718-240aadaf6500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1FC00C98</paraID>
      <start>4</start>
      <end>6</end>
      <status>modified</status>
      <modifiedWord>2.</modifiedWord>
      <trackRevisions>false</trackRevisions>
    </reviewItem>
    <reviewItem>
      <errorID>c5ff4bd2-c5b6-42d4-b54f-70f894b0690c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208633E3</paraID>
      <start>4</start>
      <end>6</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10b49851-c354-4717-8acb-09d4ac36aa64}">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2026-03-23T07:10:00Z</dcterms:created>
  <dc:creator>D.va。</dc:creator>
  <cp:lastModifiedBy>D.va。</cp:lastModifiedBy>
  <dcterms:modified xsi:type="dcterms:W3CDTF">2026-03-23T07:13:08Z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56E5C581A42242859011554CDA1AEE53_11</vt:lpwstr>
  </property>
  <property fmtid="{D5CDD505-2E9C-101B-9397-08002B2CF9AE}" pid="4" name="KSOTemplateDocerSaveRecord">
    <vt:lpwstr>eyJoZGlkIjoiYjM5ZWQ5NGQ4NGM5ZTJkMGQ5NzkyMGVjYTkxY2I4MzgiLCJ1c2VySWQiOiIyNTc1ODYzODgifQ==</vt:lpwstr>
  </property>
</Properties>
</file>