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ind w:firstLine="640" w:firstLineChars="200"/>
        <w:jc w:val="left"/>
        <w:rPr>
          <w:rFonts w:hint="eastAsia"/>
        </w:rPr>
      </w:pPr>
      <w:r>
        <w:rPr>
          <w:rFonts w:hint="eastAsia"/>
          <w:u w:val="single"/>
          <w:lang w:eastAsia="zh-CN"/>
        </w:rPr>
        <w:t>枝江市人民医院</w:t>
      </w:r>
      <w:r>
        <w:rPr>
          <w:rFonts w:hint="eastAsia"/>
        </w:rPr>
        <w:t>就</w:t>
      </w:r>
      <w:r>
        <w:rPr>
          <w:rFonts w:hint="eastAsia"/>
          <w:u w:val="single"/>
          <w:lang w:val="en-US" w:eastAsia="zh-CN"/>
        </w:rPr>
        <w:t>开颅手术动力装置</w:t>
      </w:r>
      <w:r>
        <w:rPr>
          <w:rFonts w:hint="eastAsia"/>
        </w:rPr>
        <w:t>项目进行比价采购，现邀请你公司前来参与报价。</w:t>
      </w:r>
    </w:p>
    <w:p>
      <w:pPr>
        <w:spacing w:line="520" w:lineRule="exact"/>
        <w:ind w:firstLine="640"/>
        <w:jc w:val="left"/>
      </w:pPr>
      <w:r>
        <w:rPr>
          <w:rFonts w:hint="eastAsia"/>
        </w:rPr>
        <w:t>本项目为专门面向中小微企业采购的项目，供应商须提供中小微企业声明函</w:t>
      </w:r>
      <w:r>
        <w:rPr>
          <w:rFonts w:hint="eastAsia"/>
          <w:lang w:eastAsia="zh-CN"/>
        </w:rPr>
        <w:t>。</w:t>
      </w:r>
      <w:r>
        <w:rPr>
          <w:rFonts w:hint="eastAsia"/>
        </w:rPr>
        <w:t>不提供则按废标处理。注：投标截止 时间后不得更改声明函内容，以响应文件中小微声明函为准。</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二、项目名称:</w:t>
      </w:r>
      <w:r>
        <w:rPr>
          <w:rFonts w:hint="eastAsia" w:ascii="黑体" w:hAnsi="黑体" w:eastAsia="黑体"/>
          <w:lang w:val="en-US" w:eastAsia="zh-CN"/>
        </w:rPr>
        <w:t>开颅手术动力装置</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lang w:val="en-US" w:eastAsia="zh-CN"/>
        </w:rPr>
        <w:t>开颅手术动力装置</w:t>
      </w:r>
    </w:p>
    <w:p>
      <w:pPr>
        <w:numPr>
          <w:ilvl w:val="0"/>
          <w:numId w:val="1"/>
        </w:numPr>
        <w:spacing w:line="520" w:lineRule="exact"/>
        <w:ind w:left="0" w:leftChars="0" w:firstLine="640" w:firstLineChars="200"/>
        <w:jc w:val="left"/>
        <w:rPr>
          <w:rFonts w:hint="eastAsia"/>
          <w:lang w:val="en-US" w:eastAsia="zh-CN"/>
        </w:rPr>
      </w:pPr>
      <w:r>
        <w:rPr>
          <w:rFonts w:hint="eastAsia"/>
        </w:rPr>
        <w:t>采购需求一览表</w:t>
      </w:r>
      <w:r>
        <w:rPr>
          <w:rFonts w:hint="eastAsia"/>
          <w:lang w:eastAsia="zh-CN"/>
        </w:rPr>
        <w:t>：</w:t>
      </w:r>
      <w:r>
        <w:rPr>
          <w:rFonts w:hint="eastAsia"/>
          <w:lang w:val="en-US" w:eastAsia="zh-CN"/>
        </w:rPr>
        <w:t>开颅手术动力装置1套</w:t>
      </w:r>
    </w:p>
    <w:p>
      <w:pPr>
        <w:numPr>
          <w:ilvl w:val="0"/>
          <w:numId w:val="0"/>
        </w:numPr>
        <w:spacing w:line="520" w:lineRule="exact"/>
        <w:ind w:leftChars="200"/>
        <w:jc w:val="left"/>
        <w:rPr>
          <w:rFonts w:hint="eastAsia"/>
          <w:lang w:eastAsia="zh-CN"/>
        </w:rPr>
      </w:pPr>
      <w:r>
        <w:rPr>
          <w:rFonts w:hint="eastAsia"/>
        </w:rPr>
        <w:t>（三）项目技术规格及参数要求</w:t>
      </w:r>
      <w:r>
        <w:rPr>
          <w:rFonts w:hint="eastAsia"/>
          <w:lang w:eastAsia="zh-CN"/>
        </w:rPr>
        <w:t>：</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产品名称：开颅手术动力装置</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数量：一套</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产品主要功能：颅骨钻功能、颅骨铣功能、磨钻功能</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技术参数：</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1、主机</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1.1微电脑控制平台，恒速驱动控制系统，负载降速≤5%；</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1.2人机工程设计，友好人机界面，7寸TFT真彩液晶触摸屏；</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1.3★故障自诊断和保护技术；</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1.4 ★BF型电气安全设计和100-240V宽电压电源设计；</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1.5双电机输出，配合脚踏开关作无级变速控制</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1.6主机面板和脚踏开关均可进行功能、转向的切换</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1.7★手柄连接自动识别功能</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1.8产品通过CE安全认证，企业通过CMD医疗器械质量管理体系认证</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1.9标配冷却系统功能</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脚踏开关</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2.1线缆长不小于3m，无级调速，可进行功能切换及注水控制</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2.2 ★IPX8防水等级，防滑、防侧翻</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2.3坚固结构设计，舒适耐用</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3、微电机</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 xml:space="preserve">3.1 </w:t>
      </w:r>
      <w:r>
        <w:rPr>
          <w:rFonts w:hint="eastAsia" w:ascii="仿宋" w:hAnsi="仿宋" w:eastAsia="仿宋" w:cs="仿宋"/>
          <w:b w:val="0"/>
          <w:bCs/>
          <w:lang w:eastAsia="zh-CN"/>
        </w:rPr>
        <w:t>可高温高压消毒；</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3.2★ 开颅用无碳刷微电机， 输出动力强劲稳定，峰值输出功率≥150W，转速≥40000r/min</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3.3</w:t>
      </w:r>
      <w:r>
        <w:rPr>
          <w:rFonts w:hint="eastAsia" w:ascii="仿宋" w:hAnsi="仿宋" w:eastAsia="仿宋" w:cs="仿宋"/>
          <w:b w:val="0"/>
          <w:bCs/>
          <w:lang w:eastAsia="zh-CN"/>
        </w:rPr>
        <w:t>★ 自动风冷技术，温升小，噪音低</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 xml:space="preserve">3.4 </w:t>
      </w:r>
      <w:r>
        <w:rPr>
          <w:rFonts w:hint="eastAsia" w:ascii="仿宋" w:hAnsi="仿宋" w:eastAsia="仿宋" w:cs="仿宋"/>
          <w:b w:val="0"/>
          <w:bCs/>
          <w:lang w:eastAsia="zh-CN"/>
        </w:rPr>
        <w:t>快速拔插安装接口</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4、</w:t>
      </w:r>
      <w:r>
        <w:rPr>
          <w:rFonts w:hint="eastAsia" w:ascii="仿宋" w:hAnsi="仿宋" w:eastAsia="仿宋" w:cs="仿宋"/>
          <w:b w:val="0"/>
          <w:bCs/>
          <w:lang w:eastAsia="zh-CN"/>
        </w:rPr>
        <w:t>颅骨钻手柄</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4.1体积小，最大外径 ф30mm，长 132mm，轻质合金材料制造，重量 0.45kg，免钥匙接口，表面硬质阳极氧化</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4.2</w:t>
      </w:r>
      <w:r>
        <w:rPr>
          <w:rFonts w:hint="eastAsia" w:ascii="仿宋" w:hAnsi="仿宋" w:eastAsia="仿宋" w:cs="仿宋"/>
          <w:b w:val="0"/>
          <w:bCs/>
          <w:lang w:eastAsia="zh-CN"/>
        </w:rPr>
        <w:t>★</w:t>
      </w:r>
      <w:r>
        <w:rPr>
          <w:rFonts w:hint="eastAsia" w:ascii="仿宋" w:hAnsi="仿宋" w:eastAsia="仿宋" w:cs="仿宋"/>
          <w:b w:val="0"/>
          <w:bCs/>
          <w:lang w:val="en-US" w:eastAsia="zh-CN"/>
        </w:rPr>
        <w:t>带手把，握持舒适，轻巧方便，操控性强</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4.3转速：0-1500r/min，可高温高压消毒</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5、</w:t>
      </w:r>
      <w:r>
        <w:rPr>
          <w:rFonts w:hint="eastAsia" w:ascii="仿宋" w:hAnsi="仿宋" w:eastAsia="仿宋" w:cs="仿宋"/>
          <w:b w:val="0"/>
          <w:bCs/>
          <w:lang w:eastAsia="zh-CN"/>
        </w:rPr>
        <w:t>颅骨钻头</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 xml:space="preserve">5.1 </w:t>
      </w:r>
      <w:r>
        <w:rPr>
          <w:rFonts w:hint="eastAsia" w:ascii="仿宋" w:hAnsi="仿宋" w:eastAsia="仿宋" w:cs="仿宋"/>
          <w:b w:val="0"/>
          <w:bCs/>
          <w:lang w:eastAsia="zh-CN"/>
        </w:rPr>
        <w:t>★ 机械式钻穿即停功能，确保操作安全</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 xml:space="preserve">5.2 </w:t>
      </w:r>
      <w:r>
        <w:rPr>
          <w:rFonts w:hint="eastAsia" w:ascii="仿宋" w:hAnsi="仿宋" w:eastAsia="仿宋" w:cs="仿宋"/>
          <w:b w:val="0"/>
          <w:bCs/>
          <w:lang w:eastAsia="zh-CN"/>
        </w:rPr>
        <w:t>高精密快装卸接口设计</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 xml:space="preserve">5.3 </w:t>
      </w:r>
      <w:r>
        <w:rPr>
          <w:rFonts w:hint="eastAsia" w:ascii="仿宋" w:hAnsi="仿宋" w:eastAsia="仿宋" w:cs="仿宋"/>
          <w:b w:val="0"/>
          <w:bCs/>
          <w:lang w:eastAsia="zh-CN"/>
        </w:rPr>
        <w:t>钻头规格</w:t>
      </w:r>
      <w:r>
        <w:rPr>
          <w:rFonts w:hint="eastAsia" w:ascii="仿宋" w:hAnsi="仿宋" w:eastAsia="仿宋" w:cs="仿宋"/>
          <w:b w:val="0"/>
          <w:bCs/>
          <w:lang w:val="en-US" w:eastAsia="zh-CN"/>
        </w:rPr>
        <w:t>可选</w:t>
      </w:r>
      <w:r>
        <w:rPr>
          <w:rFonts w:hint="eastAsia" w:ascii="仿宋" w:hAnsi="仿宋" w:eastAsia="仿宋" w:cs="仿宋"/>
          <w:b w:val="0"/>
          <w:bCs/>
          <w:lang w:eastAsia="zh-CN"/>
        </w:rPr>
        <w:t>：ф4mm、ф6mm、ф9mm、ф12mm</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5.4 免钥匙接口</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6、</w:t>
      </w:r>
      <w:r>
        <w:rPr>
          <w:rFonts w:hint="eastAsia" w:ascii="仿宋" w:hAnsi="仿宋" w:eastAsia="仿宋" w:cs="仿宋"/>
          <w:b w:val="0"/>
          <w:bCs/>
          <w:lang w:eastAsia="zh-CN"/>
        </w:rPr>
        <w:t>颅骨铣手柄</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6.1</w:t>
      </w:r>
      <w:r>
        <w:rPr>
          <w:rFonts w:hint="eastAsia" w:ascii="仿宋" w:hAnsi="仿宋" w:eastAsia="仿宋" w:cs="仿宋"/>
          <w:b w:val="0"/>
          <w:bCs/>
          <w:lang w:eastAsia="zh-CN"/>
        </w:rPr>
        <w:t>结构小巧，最大外径 20mm，表面防滑设计，可握持式或执笔式操作</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6.2</w:t>
      </w:r>
      <w:r>
        <w:rPr>
          <w:rFonts w:hint="eastAsia" w:ascii="仿宋" w:hAnsi="仿宋" w:eastAsia="仿宋" w:cs="仿宋"/>
          <w:b w:val="0"/>
          <w:bCs/>
          <w:lang w:eastAsia="zh-CN"/>
        </w:rPr>
        <w:t>快速铣刀安装接口</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6.3</w:t>
      </w:r>
      <w:r>
        <w:rPr>
          <w:rFonts w:hint="eastAsia" w:ascii="仿宋" w:hAnsi="仿宋" w:eastAsia="仿宋" w:cs="仿宋"/>
          <w:b w:val="0"/>
          <w:bCs/>
          <w:lang w:eastAsia="zh-CN"/>
        </w:rPr>
        <w:t>★可配置可旋转护靴或固定护靴，旋转护靴可 360°自由旋转</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6.4</w:t>
      </w:r>
      <w:r>
        <w:rPr>
          <w:rFonts w:hint="eastAsia" w:ascii="仿宋" w:hAnsi="仿宋" w:eastAsia="仿宋" w:cs="仿宋"/>
          <w:b w:val="0"/>
          <w:bCs/>
          <w:lang w:eastAsia="zh-CN"/>
        </w:rPr>
        <w:t>无级调速，最高输出转速</w:t>
      </w:r>
      <w:r>
        <w:rPr>
          <w:rFonts w:hint="eastAsia" w:ascii="仿宋" w:hAnsi="仿宋" w:eastAsia="仿宋" w:cs="仿宋"/>
          <w:b w:val="0"/>
          <w:bCs/>
          <w:lang w:val="en-US" w:eastAsia="zh-CN"/>
        </w:rPr>
        <w:t>≥</w:t>
      </w:r>
      <w:r>
        <w:rPr>
          <w:rFonts w:hint="eastAsia" w:ascii="仿宋" w:hAnsi="仿宋" w:eastAsia="仿宋" w:cs="仿宋"/>
          <w:b w:val="0"/>
          <w:bCs/>
          <w:lang w:eastAsia="zh-CN"/>
        </w:rPr>
        <w:t xml:space="preserve"> 40000r/min</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val="en-US" w:eastAsia="zh-CN"/>
        </w:rPr>
        <w:t>6.5</w:t>
      </w:r>
      <w:r>
        <w:rPr>
          <w:rFonts w:hint="eastAsia" w:ascii="仿宋" w:hAnsi="仿宋" w:eastAsia="仿宋" w:cs="仿宋"/>
          <w:b w:val="0"/>
          <w:bCs/>
          <w:lang w:eastAsia="zh-CN"/>
        </w:rPr>
        <w:t>可高温高压消毒</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7、颅骨铣刀</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7.1专利螺旋密封功能，防止体液进入铣手机内部，增强耐用性</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7.2直刃设计，锋利耐用，铣切轻松快捷</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7.3头端直径≤Φ1.6mm，铣切颅骨缝隙1.6-2.34mm</w:t>
      </w:r>
    </w:p>
    <w:p>
      <w:pPr>
        <w:pStyle w:val="2"/>
        <w:ind w:left="0" w:leftChars="0" w:firstLine="0" w:firstLineChars="0"/>
        <w:rPr>
          <w:rFonts w:hint="eastAsia" w:ascii="仿宋" w:hAnsi="仿宋" w:eastAsia="仿宋" w:cs="仿宋"/>
          <w:b w:val="0"/>
          <w:bCs/>
          <w:lang w:val="en-US" w:eastAsia="zh-CN"/>
        </w:rPr>
      </w:pPr>
      <w:r>
        <w:rPr>
          <w:rFonts w:hint="eastAsia" w:ascii="仿宋" w:hAnsi="仿宋" w:eastAsia="仿宋" w:cs="仿宋"/>
          <w:b w:val="0"/>
          <w:bCs/>
          <w:lang w:val="en-US" w:eastAsia="zh-CN"/>
        </w:rPr>
        <w:t>8、</w:t>
      </w:r>
      <w:r>
        <w:rPr>
          <w:rFonts w:hint="eastAsia" w:ascii="仿宋" w:hAnsi="仿宋" w:eastAsia="仿宋" w:cs="仿宋"/>
          <w:b w:val="0"/>
          <w:bCs/>
          <w:lang w:eastAsia="zh-CN"/>
        </w:rPr>
        <w:t>磨微电机</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8.1 ISO-E类标准接口，接插方便快捷，可高温高压消毒</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8.2体积小，最大外径21mm，重量轻，仅110g</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8.3高速电机马达，输出动力强劲稳定，峰值输出功率达100W</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8.4 ★自动风冷技术，温升小，高速运行不发烫</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9、磨钻手柄</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 xml:space="preserve">9.1 外形尺寸：外径：Ф15mm，角度0° </w:t>
      </w:r>
      <w:r>
        <w:rPr>
          <w:rFonts w:hint="eastAsia" w:ascii="仿宋" w:hAnsi="仿宋" w:eastAsia="仿宋" w:cs="仿宋"/>
          <w:b w:val="0"/>
          <w:bCs/>
          <w:lang w:val="zh-CN" w:eastAsia="zh-CN"/>
        </w:rPr>
        <w:t>和</w:t>
      </w:r>
      <w:r>
        <w:rPr>
          <w:rFonts w:hint="eastAsia" w:ascii="仿宋" w:hAnsi="仿宋" w:eastAsia="仿宋" w:cs="仿宋"/>
          <w:b w:val="0"/>
          <w:bCs/>
          <w:lang w:eastAsia="zh-CN"/>
        </w:rPr>
        <w:t>21°, 重量0.1kg</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9.2</w:t>
      </w:r>
      <w:r>
        <w:rPr>
          <w:rFonts w:hint="eastAsia" w:ascii="仿宋" w:hAnsi="仿宋" w:eastAsia="仿宋" w:cs="仿宋"/>
          <w:b w:val="0"/>
          <w:bCs/>
          <w:lang w:val="zh-CN" w:eastAsia="zh-CN"/>
        </w:rPr>
        <w:t>ISO-E类型标准接口，接插方便快捷，可高温高压消毒</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9.3★磨钻手柄与微电机连接具有锁定功能，防止任意旋转，适合精细手术操作</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9.4★最高转速：80000r/min，径向跳动小于0.01mm，急停时间＜0.2s；</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10、磨钻头</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10.1</w:t>
      </w:r>
      <w:r>
        <w:rPr>
          <w:rFonts w:hint="eastAsia" w:ascii="仿宋" w:hAnsi="仿宋" w:eastAsia="仿宋" w:cs="仿宋"/>
          <w:b w:val="0"/>
          <w:bCs/>
          <w:lang w:val="zh-CN" w:eastAsia="zh-CN"/>
        </w:rPr>
        <w:t>采用优质材料制造，具有良好的生物相容性，锋利耐用,</w:t>
      </w:r>
      <w:r>
        <w:rPr>
          <w:rFonts w:hint="eastAsia" w:ascii="仿宋" w:hAnsi="仿宋" w:eastAsia="仿宋" w:cs="仿宋"/>
          <w:b w:val="0"/>
          <w:bCs/>
          <w:lang w:eastAsia="zh-CN"/>
        </w:rPr>
        <w:t xml:space="preserve"> 圆柱度0.01mm，直线度0.005mm，径向跳动＜0.01mm；</w:t>
      </w:r>
    </w:p>
    <w:p>
      <w:pPr>
        <w:pStyle w:val="2"/>
        <w:ind w:left="0" w:leftChars="0" w:firstLine="0" w:firstLineChars="0"/>
        <w:rPr>
          <w:rFonts w:hint="eastAsia" w:ascii="仿宋" w:hAnsi="仿宋" w:eastAsia="仿宋" w:cs="仿宋"/>
          <w:b w:val="0"/>
          <w:bCs/>
          <w:lang w:val="zh-CN" w:eastAsia="zh-CN"/>
        </w:rPr>
      </w:pPr>
      <w:r>
        <w:rPr>
          <w:rFonts w:hint="eastAsia" w:ascii="仿宋" w:hAnsi="仿宋" w:eastAsia="仿宋" w:cs="仿宋"/>
          <w:b w:val="0"/>
          <w:bCs/>
          <w:lang w:eastAsia="zh-CN"/>
        </w:rPr>
        <w:t>10.2规格齐全，广泛应用</w:t>
      </w:r>
      <w:r>
        <w:rPr>
          <w:rFonts w:hint="eastAsia" w:ascii="仿宋" w:hAnsi="仿宋" w:eastAsia="仿宋" w:cs="仿宋"/>
          <w:b w:val="0"/>
          <w:bCs/>
          <w:lang w:val="zh-CN" w:eastAsia="zh-CN"/>
        </w:rPr>
        <w:t>于骨组织的高速磨削、钻孔</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10.3</w:t>
      </w:r>
      <w:r>
        <w:rPr>
          <w:rFonts w:hint="eastAsia" w:ascii="仿宋" w:hAnsi="仿宋" w:eastAsia="仿宋" w:cs="仿宋"/>
          <w:b w:val="0"/>
          <w:bCs/>
          <w:lang w:val="zh-CN" w:eastAsia="zh-CN"/>
        </w:rPr>
        <w:t>金刚砂球形磨钻头可选：Ф1.0mm、Ф2.0mm、Ф3.0mm</w:t>
      </w:r>
      <w:r>
        <w:rPr>
          <w:rFonts w:hint="eastAsia" w:ascii="仿宋" w:hAnsi="仿宋" w:eastAsia="仿宋" w:cs="仿宋"/>
          <w:b w:val="0"/>
          <w:bCs/>
          <w:lang w:eastAsia="zh-CN"/>
        </w:rPr>
        <w:t>，</w:t>
      </w:r>
      <w:r>
        <w:rPr>
          <w:rFonts w:hint="eastAsia" w:ascii="仿宋" w:hAnsi="仿宋" w:eastAsia="仿宋" w:cs="仿宋"/>
          <w:b w:val="0"/>
          <w:bCs/>
          <w:lang w:val="zh-CN" w:eastAsia="zh-CN"/>
        </w:rPr>
        <w:t>杆径</w:t>
      </w:r>
      <w:r>
        <w:rPr>
          <w:rFonts w:hint="eastAsia" w:ascii="仿宋" w:hAnsi="仿宋" w:eastAsia="仿宋" w:cs="仿宋"/>
          <w:b w:val="0"/>
          <w:bCs/>
          <w:lang w:eastAsia="zh-CN"/>
        </w:rPr>
        <w:t>Φ2.38mm</w:t>
      </w:r>
    </w:p>
    <w:p>
      <w:pPr>
        <w:pStyle w:val="2"/>
        <w:ind w:left="0" w:leftChars="0" w:firstLine="0" w:firstLineChars="0"/>
        <w:rPr>
          <w:rFonts w:hint="eastAsia" w:ascii="仿宋" w:hAnsi="仿宋" w:eastAsia="仿宋" w:cs="仿宋"/>
          <w:b w:val="0"/>
          <w:bCs/>
          <w:lang w:eastAsia="zh-CN"/>
        </w:rPr>
      </w:pPr>
      <w:r>
        <w:rPr>
          <w:rFonts w:hint="eastAsia" w:ascii="仿宋" w:hAnsi="仿宋" w:eastAsia="仿宋" w:cs="仿宋"/>
          <w:b w:val="0"/>
          <w:bCs/>
          <w:lang w:eastAsia="zh-CN"/>
        </w:rPr>
        <w:t>10.4 ★钨钢球形磨钻头可选</w:t>
      </w:r>
      <w:r>
        <w:rPr>
          <w:rFonts w:hint="eastAsia" w:ascii="仿宋" w:hAnsi="仿宋" w:eastAsia="仿宋" w:cs="仿宋"/>
          <w:b w:val="0"/>
          <w:bCs/>
          <w:lang w:val="zh-CN" w:eastAsia="zh-CN"/>
        </w:rPr>
        <w:t>：</w:t>
      </w:r>
      <w:r>
        <w:rPr>
          <w:rFonts w:hint="eastAsia" w:ascii="仿宋" w:hAnsi="仿宋" w:eastAsia="仿宋" w:cs="仿宋"/>
          <w:b w:val="0"/>
          <w:bCs/>
          <w:lang w:eastAsia="zh-CN"/>
        </w:rPr>
        <w:t>Ф2.0mm、Ф</w:t>
      </w:r>
      <w:r>
        <w:rPr>
          <w:rFonts w:hint="eastAsia" w:ascii="仿宋" w:hAnsi="仿宋" w:eastAsia="仿宋" w:cs="仿宋"/>
          <w:b w:val="0"/>
          <w:bCs/>
          <w:lang w:val="zh-CN" w:eastAsia="zh-CN"/>
        </w:rPr>
        <w:t>3.0mm、Ф5.0mm，杆</w:t>
      </w:r>
      <w:r>
        <w:rPr>
          <w:rFonts w:hint="eastAsia" w:ascii="仿宋" w:hAnsi="仿宋" w:eastAsia="仿宋" w:cs="仿宋"/>
          <w:b w:val="0"/>
          <w:bCs/>
          <w:lang w:eastAsia="zh-CN"/>
        </w:rPr>
        <w:t>径Φ2.38mm</w:t>
      </w:r>
      <w:r>
        <w:rPr>
          <w:rFonts w:hint="eastAsia" w:ascii="仿宋" w:hAnsi="仿宋" w:eastAsia="仿宋" w:cs="仿宋"/>
          <w:b w:val="0"/>
          <w:bCs/>
          <w:lang w:val="zh-CN" w:eastAsia="zh-CN"/>
        </w:rPr>
        <w:t>。</w:t>
      </w:r>
    </w:p>
    <w:p>
      <w:pPr>
        <w:pStyle w:val="2"/>
        <w:ind w:left="0" w:leftChars="0" w:firstLine="0" w:firstLineChars="0"/>
        <w:rPr>
          <w:rFonts w:hint="eastAsia"/>
          <w:lang w:eastAsia="zh-CN"/>
        </w:rPr>
      </w:pP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项为核心参数，必须满足，必要时提供佐证资料。</w:t>
      </w: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eastAsia="仿宋_GB2312"/>
          <w:lang w:val="en-US" w:eastAsia="zh-CN"/>
        </w:rPr>
      </w:pPr>
      <w:r>
        <w:rPr>
          <w:rFonts w:hint="eastAsia"/>
        </w:rPr>
        <w:t>1.交货日期:签订合同后</w:t>
      </w:r>
      <w:r>
        <w:rPr>
          <w:rFonts w:hint="eastAsia"/>
          <w:lang w:val="en-US" w:eastAsia="zh-CN"/>
        </w:rPr>
        <w:t>30</w:t>
      </w:r>
      <w:r>
        <w:rPr>
          <w:rFonts w:hint="eastAsia"/>
        </w:rPr>
        <w:t>个日历天内完成货物的供应并安装调试完毕</w:t>
      </w:r>
      <w:r>
        <w:rPr>
          <w:rFonts w:hint="eastAsia"/>
          <w:lang w:eastAsia="zh-CN"/>
        </w:rPr>
        <w:t>。</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pPr>
      <w:r>
        <w:rPr>
          <w:rFonts w:hint="eastAsia"/>
        </w:rPr>
        <w:t>3.付款方式:设备验收合格后，支付总货款的</w:t>
      </w:r>
      <w:r>
        <w:rPr>
          <w:rFonts w:hint="eastAsia"/>
          <w:lang w:val="en-US" w:eastAsia="zh-CN"/>
        </w:rPr>
        <w:t>6</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30%，</w:t>
      </w:r>
      <w:r>
        <w:rPr>
          <w:rFonts w:hint="eastAsia"/>
        </w:rPr>
        <w:t>余款10%作为质保金，质保期满后，</w:t>
      </w:r>
      <w:r>
        <w:rPr>
          <w:rFonts w:hint="eastAsia"/>
          <w:lang w:eastAsia="zh-CN"/>
        </w:rPr>
        <w:t>医院</w:t>
      </w:r>
      <w:r>
        <w:rPr>
          <w:rFonts w:hint="eastAsia"/>
        </w:rPr>
        <w:t>退还合同总金额的10%的质保金，质保金不计利息。</w:t>
      </w:r>
    </w:p>
    <w:p>
      <w:pPr>
        <w:spacing w:line="520" w:lineRule="exact"/>
        <w:ind w:firstLine="640" w:firstLineChars="200"/>
        <w:jc w:val="left"/>
        <w:rPr>
          <w:rFonts w:hint="eastAsia" w:eastAsia="仿宋_GB2312"/>
          <w:lang w:val="en-US" w:eastAsia="zh-CN"/>
        </w:rPr>
      </w:pPr>
      <w:r>
        <w:rPr>
          <w:rFonts w:hint="eastAsia"/>
        </w:rPr>
        <w:t>4.免费质保期:</w:t>
      </w:r>
      <w:r>
        <w:rPr>
          <w:rFonts w:hint="eastAsia"/>
          <w:lang w:val="en-US" w:eastAsia="zh-CN"/>
        </w:rPr>
        <w:t>2年。</w:t>
      </w:r>
    </w:p>
    <w:p>
      <w:pPr>
        <w:spacing w:line="520" w:lineRule="exact"/>
        <w:ind w:firstLine="640" w:firstLineChars="200"/>
        <w:jc w:val="left"/>
        <w:rPr>
          <w:rFonts w:hint="eastAsia" w:eastAsia="仿宋_GB2312"/>
          <w:lang w:eastAsia="zh-CN"/>
        </w:rPr>
      </w:pPr>
      <w:r>
        <w:rPr>
          <w:rFonts w:hint="eastAsia"/>
        </w:rPr>
        <w:t>5.安装调试要求:</w:t>
      </w:r>
      <w:r>
        <w:rPr>
          <w:rFonts w:hint="eastAsia"/>
          <w:lang w:eastAsia="zh-CN"/>
        </w:rPr>
        <w:t>安装后，按使用科室要求进行调试保障机器正常工作。</w:t>
      </w:r>
    </w:p>
    <w:p>
      <w:pPr>
        <w:spacing w:line="520" w:lineRule="exact"/>
        <w:ind w:firstLine="640" w:firstLineChars="200"/>
        <w:jc w:val="left"/>
        <w:rPr>
          <w:rFonts w:hint="eastAsia" w:eastAsia="仿宋_GB2312"/>
          <w:lang w:eastAsia="zh-CN"/>
        </w:rPr>
      </w:pPr>
      <w:r>
        <w:t>6.验收方式:</w:t>
      </w:r>
      <w:r>
        <w:rPr>
          <w:rFonts w:hint="eastAsia"/>
          <w:lang w:eastAsia="zh-CN"/>
        </w:rPr>
        <w:t>使用科室、设备工程师及供应商现场验收。</w:t>
      </w:r>
    </w:p>
    <w:p>
      <w:pPr>
        <w:spacing w:line="520" w:lineRule="exact"/>
        <w:ind w:firstLine="640" w:firstLineChars="200"/>
        <w:jc w:val="left"/>
        <w:rPr>
          <w:rFonts w:hint="eastAsia"/>
          <w:lang w:val="en-US" w:eastAsia="zh-CN"/>
        </w:rPr>
      </w:pPr>
      <w:r>
        <w:t>7.售后服务要求:</w:t>
      </w:r>
      <w:r>
        <w:rPr>
          <w:rFonts w:hint="eastAsia"/>
        </w:rPr>
        <w:t>在保修期内，</w:t>
      </w:r>
      <w:r>
        <w:rPr>
          <w:rFonts w:hint="eastAsia"/>
          <w:lang w:eastAsia="zh-CN"/>
        </w:rPr>
        <w:t>供应商</w:t>
      </w:r>
      <w:r>
        <w:rPr>
          <w:rFonts w:hint="eastAsia"/>
        </w:rPr>
        <w:t>负责承担所有维修及服务费用。保修期过后，终身</w:t>
      </w:r>
      <w:r>
        <w:rPr>
          <w:rFonts w:hint="eastAsia"/>
          <w:lang w:eastAsia="zh-CN"/>
        </w:rPr>
        <w:t>维护，</w:t>
      </w:r>
      <w:r>
        <w:rPr>
          <w:rFonts w:hint="eastAsia"/>
          <w:lang w:val="en-US" w:eastAsia="zh-CN"/>
        </w:rPr>
        <w:t>2个小时内响应，在省内要有售后服务机构，能及时提供备用机。</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28.5万元（分项预算见下表）</w:t>
      </w:r>
    </w:p>
    <w:tbl>
      <w:tblPr>
        <w:tblStyle w:val="6"/>
        <w:tblpPr w:leftFromText="180" w:rightFromText="180" w:vertAnchor="text" w:horzAnchor="page" w:tblpX="1905" w:tblpY="563"/>
        <w:tblOverlap w:val="never"/>
        <w:tblW w:w="8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249"/>
        <w:gridCol w:w="2008"/>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序号</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rPr>
            </w:pPr>
            <w:r>
              <w:rPr>
                <w:rFonts w:hint="eastAsia" w:ascii="宋体" w:hAnsi="宋体" w:eastAsia="宋体" w:cs="宋体"/>
                <w:b/>
                <w:bCs/>
                <w:color w:val="000000"/>
              </w:rPr>
              <w:t>产品名称</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数量</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预算（万元）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1</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黑体" w:hAnsi="黑体" w:eastAsia="黑体"/>
                <w:lang w:val="en-US" w:eastAsia="zh-CN"/>
              </w:rPr>
            </w:pPr>
            <w:r>
              <w:rPr>
                <w:rFonts w:hint="eastAsia" w:ascii="黑体" w:hAnsi="黑体" w:eastAsia="黑体"/>
                <w:lang w:val="en-US" w:eastAsia="zh-CN"/>
              </w:rPr>
              <w:t>开颅手术动力装置</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1</w:t>
            </w: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blHeader/>
        </w:trPr>
        <w:tc>
          <w:tcPr>
            <w:tcW w:w="10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b/>
                <w:bCs/>
                <w:color w:val="000000"/>
                <w:lang w:eastAsia="zh-CN"/>
              </w:rPr>
            </w:pPr>
            <w:r>
              <w:rPr>
                <w:rFonts w:hint="eastAsia" w:ascii="宋体" w:hAnsi="宋体" w:eastAsia="宋体" w:cs="宋体"/>
                <w:b/>
                <w:bCs/>
                <w:color w:val="000000"/>
                <w:lang w:eastAsia="zh-CN"/>
              </w:rPr>
              <w:t>总计</w:t>
            </w:r>
          </w:p>
        </w:tc>
        <w:tc>
          <w:tcPr>
            <w:tcW w:w="324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cs="宋体"/>
                <w:b/>
                <w:bCs/>
                <w:color w:val="000000"/>
                <w:lang w:val="en-US" w:eastAsia="zh-CN"/>
              </w:rPr>
            </w:pPr>
          </w:p>
        </w:tc>
        <w:tc>
          <w:tcPr>
            <w:tcW w:w="20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cs="宋体"/>
                <w:b/>
                <w:bCs/>
                <w:color w:val="000000"/>
                <w:lang w:val="en-US" w:eastAsia="zh-CN"/>
              </w:rPr>
            </w:pPr>
            <w:r>
              <w:rPr>
                <w:rFonts w:hint="eastAsia" w:ascii="宋体" w:hAnsi="宋体" w:cs="宋体"/>
                <w:b/>
                <w:bCs/>
                <w:color w:val="000000"/>
                <w:lang w:val="en-US" w:eastAsia="zh-CN"/>
              </w:rPr>
              <w:t>28.5</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医疗器械经营许可证</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rPr>
          <w:rFonts w:hint="eastAsia"/>
        </w:rPr>
      </w:pPr>
      <w:r>
        <w:rPr>
          <w:rFonts w:hint="eastAsia"/>
        </w:rPr>
        <w:t>1.发放时间：</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17</w:t>
      </w:r>
      <w:r>
        <w:rPr>
          <w:rFonts w:hint="eastAsia"/>
        </w:rPr>
        <w:t>日起至</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bookmarkStart w:id="0" w:name="_GoBack"/>
      <w:bookmarkEnd w:id="0"/>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3</w:t>
      </w:r>
      <w:r>
        <w:rPr>
          <w:rFonts w:hint="eastAsia" w:hAnsi="黑体"/>
        </w:rPr>
        <w:t>月</w:t>
      </w:r>
      <w:r>
        <w:rPr>
          <w:rFonts w:hint="eastAsia" w:hAnsi="黑体"/>
          <w:lang w:val="en-US" w:eastAsia="zh-CN"/>
        </w:rPr>
        <w:t>22</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61号枝江市人民医院综合楼20楼采购办（2025室）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hint="default" w:eastAsia="仿宋_GB2312"/>
          <w:lang w:val="en-US" w:eastAsia="zh-CN"/>
        </w:rPr>
      </w:pPr>
      <w:r>
        <w:rPr>
          <w:rFonts w:hint="eastAsia" w:hAnsi="黑体"/>
          <w:lang w:val="en-US" w:eastAsia="zh-CN"/>
        </w:rPr>
        <w:t>3.必须提供48小时核酸检测阴性报告，否则不能参与投标。</w:t>
      </w:r>
    </w:p>
    <w:p>
      <w:pPr>
        <w:spacing w:line="520" w:lineRule="exact"/>
        <w:ind w:firstLine="640" w:firstLineChars="200"/>
        <w:jc w:val="left"/>
        <w:rPr>
          <w:rFonts w:hAnsi="黑体"/>
        </w:rPr>
      </w:pP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在评审结束后</w:t>
      </w:r>
      <w:r>
        <w:rPr>
          <w:rFonts w:hint="eastAsia"/>
          <w:color w:val="333333"/>
          <w:shd w:val="clear" w:color="auto" w:fill="FFFFFF"/>
          <w:lang w:eastAsia="zh-CN"/>
        </w:rPr>
        <w:t>填写</w:t>
      </w:r>
      <w:r>
        <w:rPr>
          <w:rFonts w:hint="eastAsia"/>
          <w:color w:val="333333"/>
          <w:shd w:val="clear" w:color="auto" w:fill="FFFFFF"/>
        </w:rPr>
        <w:t>评审报告，采购人在收到评审报告后</w:t>
      </w:r>
      <w:r>
        <w:rPr>
          <w:rFonts w:hint="eastAsia"/>
          <w:color w:val="333333"/>
          <w:shd w:val="clear" w:color="auto" w:fill="FFFFFF"/>
          <w:lang w:eastAsia="zh-CN"/>
        </w:rPr>
        <w:t>现场</w:t>
      </w:r>
      <w:r>
        <w:rPr>
          <w:rFonts w:hint="eastAsia"/>
          <w:color w:val="333333"/>
          <w:shd w:val="clear" w:color="auto" w:fill="FFFFFF"/>
        </w:rPr>
        <w:t>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w:t>
      </w:r>
      <w:r>
        <w:rPr>
          <w:rFonts w:hint="eastAsia"/>
          <w:lang w:eastAsia="zh-CN"/>
        </w:rPr>
        <w:t>采购办</w:t>
      </w:r>
      <w:r>
        <w:rPr>
          <w:rFonts w:hint="eastAsia"/>
        </w:rPr>
        <w:t>将成交结果</w:t>
      </w:r>
      <w:r>
        <w:rPr>
          <w:rFonts w:hint="eastAsia"/>
          <w:lang w:eastAsia="zh-CN"/>
        </w:rPr>
        <w:t>通过枝江卫生局</w:t>
      </w:r>
      <w:r>
        <w:rPr>
          <w:rFonts w:hint="eastAsia"/>
        </w:rPr>
        <w:t>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2022</w:t>
      </w:r>
      <w:r>
        <w:rPr>
          <w:rFonts w:hint="eastAsia" w:hAnsi="黑体"/>
        </w:rPr>
        <w:t xml:space="preserve">年 </w:t>
      </w:r>
      <w:r>
        <w:rPr>
          <w:rFonts w:hint="eastAsia" w:hAnsi="黑体"/>
          <w:lang w:val="en-US" w:eastAsia="zh-CN"/>
        </w:rPr>
        <w:t>3</w:t>
      </w:r>
      <w:r>
        <w:rPr>
          <w:rFonts w:hint="eastAsia" w:hAnsi="黑体"/>
        </w:rPr>
        <w:t xml:space="preserve">月 </w:t>
      </w:r>
      <w:r>
        <w:rPr>
          <w:rFonts w:hint="eastAsia" w:hAnsi="黑体"/>
          <w:lang w:val="en-US" w:eastAsia="zh-CN"/>
        </w:rPr>
        <w:t>15</w:t>
      </w:r>
      <w:r>
        <w:rPr>
          <w:rFonts w:hint="eastAsia" w:hAnsi="黑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87ACB"/>
    <w:rsid w:val="0B5200D4"/>
    <w:rsid w:val="0BBE12D4"/>
    <w:rsid w:val="19EE062C"/>
    <w:rsid w:val="1BE9758E"/>
    <w:rsid w:val="1DEB48D4"/>
    <w:rsid w:val="1E5D49F4"/>
    <w:rsid w:val="203F7FD4"/>
    <w:rsid w:val="21571FFC"/>
    <w:rsid w:val="219B35FA"/>
    <w:rsid w:val="22382ED5"/>
    <w:rsid w:val="25182B88"/>
    <w:rsid w:val="281F2D83"/>
    <w:rsid w:val="2F255D4C"/>
    <w:rsid w:val="324E64A5"/>
    <w:rsid w:val="331C25E0"/>
    <w:rsid w:val="354231B2"/>
    <w:rsid w:val="37887063"/>
    <w:rsid w:val="385D7328"/>
    <w:rsid w:val="3A7378F1"/>
    <w:rsid w:val="3EE42899"/>
    <w:rsid w:val="3FA178ED"/>
    <w:rsid w:val="40FC1A0A"/>
    <w:rsid w:val="427F1BDB"/>
    <w:rsid w:val="42D24F55"/>
    <w:rsid w:val="43E73D5C"/>
    <w:rsid w:val="462A0555"/>
    <w:rsid w:val="46FC4089"/>
    <w:rsid w:val="47961D74"/>
    <w:rsid w:val="481E620A"/>
    <w:rsid w:val="4D8229F3"/>
    <w:rsid w:val="51E423BD"/>
    <w:rsid w:val="552326AB"/>
    <w:rsid w:val="569D12B9"/>
    <w:rsid w:val="64EB3D71"/>
    <w:rsid w:val="65566111"/>
    <w:rsid w:val="68214C58"/>
    <w:rsid w:val="68BC3673"/>
    <w:rsid w:val="6956758F"/>
    <w:rsid w:val="6DEF5596"/>
    <w:rsid w:val="6E8A0002"/>
    <w:rsid w:val="713A4280"/>
    <w:rsid w:val="71F50241"/>
    <w:rsid w:val="730A1D42"/>
    <w:rsid w:val="778027C2"/>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Hyperlink"/>
    <w:basedOn w:val="7"/>
    <w:qFormat/>
    <w:uiPriority w:val="99"/>
    <w:rPr>
      <w:rFonts w:cs="Times New Roman"/>
      <w:color w:val="0000FF"/>
      <w:u w:val="single"/>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Dk</cp:lastModifiedBy>
  <cp:lastPrinted>2022-03-16T00:28:22Z</cp:lastPrinted>
  <dcterms:modified xsi:type="dcterms:W3CDTF">2022-03-16T00:29:55Z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97E899B82D2040129A043CEF7BA38002</vt:lpwstr>
  </property>
</Properties>
</file>