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枝江市博物馆青山墓群安防升级工程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监理项目比价文件</w:t>
      </w:r>
    </w:p>
    <w:p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u w:val="single"/>
        </w:rPr>
        <w:t>枝江市博物馆</w:t>
      </w:r>
      <w:r>
        <w:rPr>
          <w:rFonts w:hint="eastAsia"/>
        </w:rPr>
        <w:t>就</w:t>
      </w:r>
      <w:r>
        <w:rPr>
          <w:rFonts w:hint="eastAsia"/>
          <w:u w:val="single"/>
        </w:rPr>
        <w:t>青山墓群安防升级工程监理</w:t>
      </w:r>
      <w:r>
        <w:rPr>
          <w:rFonts w:hint="eastAsia"/>
        </w:rPr>
        <w:t>项目进行比价采购，现邀请你公司前来参与报价。</w:t>
      </w:r>
    </w:p>
    <w:p>
      <w:pPr>
        <w:spacing w:line="520" w:lineRule="exact"/>
        <w:ind w:firstLine="640" w:firstLineChars="20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一、项目编号: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u w:val="single"/>
        </w:rPr>
      </w:pPr>
      <w:r>
        <w:rPr>
          <w:rFonts w:hint="eastAsia" w:ascii="黑体" w:hAnsi="黑体" w:eastAsia="黑体"/>
        </w:rPr>
        <w:t>二、项目名称:</w:t>
      </w:r>
      <w:r>
        <w:rPr>
          <w:rFonts w:hint="eastAsia" w:ascii="仿宋" w:hAnsi="仿宋" w:eastAsia="仿宋" w:cs="仿宋"/>
        </w:rPr>
        <w:t>枝江市博物馆青山墓群安防升级工程监理项目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 w:val="0"/>
          <w:bCs w:val="0"/>
          <w:u w:val="single"/>
        </w:rPr>
      </w:pPr>
      <w:r>
        <w:rPr>
          <w:rFonts w:hint="eastAsia" w:ascii="黑体" w:hAnsi="黑体" w:eastAsia="黑体"/>
        </w:rPr>
        <w:t>三、采购内容：</w:t>
      </w:r>
      <w:r>
        <w:rPr>
          <w:rFonts w:hint="eastAsia" w:ascii="仿宋" w:hAnsi="仿宋" w:eastAsia="仿宋" w:cs="仿宋"/>
        </w:rPr>
        <w:t>青山墓群安防升级工程项目施工全阶段监督和管理</w:t>
      </w:r>
      <w:r>
        <w:rPr>
          <w:rFonts w:ascii="仿宋" w:hAnsi="仿宋" w:eastAsia="仿宋"/>
          <w:b w:val="0"/>
          <w:bCs w:val="0"/>
        </w:rPr>
        <w:t>服务采购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</w:rPr>
      </w:pPr>
      <w:r>
        <w:rPr>
          <w:rFonts w:hint="eastAsia"/>
          <w:b/>
        </w:rPr>
        <w:t>（</w:t>
      </w:r>
      <w:r>
        <w:rPr>
          <w:rFonts w:hint="eastAsia" w:ascii="仿宋" w:hAnsi="仿宋" w:eastAsia="仿宋" w:cs="仿宋"/>
          <w:b/>
        </w:rPr>
        <w:t>一）项目概况</w:t>
      </w:r>
    </w:p>
    <w:p>
      <w:pPr>
        <w:spacing w:line="560" w:lineRule="exact"/>
        <w:ind w:firstLine="640" w:firstLineChars="200"/>
        <w:rPr>
          <w:bCs/>
          <w:sz w:val="28"/>
          <w:szCs w:val="28"/>
        </w:rPr>
      </w:pPr>
      <w:r>
        <w:rPr>
          <w:rFonts w:hint="eastAsia" w:ascii="仿宋" w:hAnsi="仿宋" w:eastAsia="仿宋" w:cs="仿宋"/>
          <w:shd w:val="clear" w:color="auto" w:fill="FFFFFF"/>
        </w:rPr>
        <w:t>青山墓群位于湖北省枝江市,是东周时期楚国贵族陵寝,保护面积15平方公里。</w:t>
      </w:r>
      <w:r>
        <w:rPr>
          <w:rFonts w:hint="eastAsia" w:ascii="仿宋" w:hAnsi="仿宋" w:eastAsia="仿宋" w:cs="仿宋"/>
          <w:bCs/>
        </w:rPr>
        <w:t>青山墓群墓葬数量多、规模大、等级高，保存较好，是楚国历史与文化发展链中的前端链节，对研究楚国历史与文化起着基础性的作用。</w:t>
      </w:r>
      <w:r>
        <w:rPr>
          <w:rFonts w:hint="eastAsia"/>
          <w:bCs/>
          <w:szCs w:val="21"/>
        </w:rPr>
        <w:t>青山墓群已建成的安防系统是在没有标准可循，保护范围、建设控制地带和防护周界没有明确的情况下实施的，因此在保护范围、建设控制带和防护周界未设置安全技术防范系统。</w:t>
      </w:r>
      <w:r>
        <w:rPr>
          <w:rFonts w:hint="eastAsia"/>
          <w:szCs w:val="21"/>
        </w:rPr>
        <w:t>依据</w:t>
      </w:r>
      <w:r>
        <w:rPr>
          <w:rFonts w:hint="eastAsia" w:ascii="宋体" w:hAnsi="宋体"/>
          <w:szCs w:val="21"/>
        </w:rPr>
        <w:t>《博物馆和文物保护单位安全防范系统要求》（GB/T 16571-2012）</w:t>
      </w:r>
      <w:r>
        <w:rPr>
          <w:rFonts w:hint="eastAsia"/>
          <w:szCs w:val="21"/>
        </w:rPr>
        <w:t>古墓葬安全防范系统要求</w:t>
      </w:r>
      <w:r>
        <w:rPr>
          <w:rFonts w:hint="eastAsia" w:ascii="宋体" w:hAnsi="宋体"/>
          <w:szCs w:val="21"/>
        </w:rPr>
        <w:t>和《青山墓群保护规划》中明确的墓冢的保护范围和防护周界，采取设置视频安防监控装置</w:t>
      </w:r>
      <w:r>
        <w:rPr>
          <w:rFonts w:hint="eastAsia"/>
          <w:szCs w:val="21"/>
        </w:rPr>
        <w:t>，对周界出入口进入的车辆、人员进行抓拍；在防护范围设置虚拟周界，实现越界、绊线等智能分析报警功能；升级现有墓冢核心区域监控装置；增加存储设备、管理服务器及客户端电脑等设备；升级现有安防管理系统；增加UPS电源；设置系统前端室外设备防雷接地系统；增加前端设备至各墓冢汇聚箱的传输系统等措施。</w:t>
      </w:r>
    </w:p>
    <w:p>
      <w:pPr>
        <w:spacing w:line="520" w:lineRule="exact"/>
        <w:ind w:firstLine="643" w:firstLineChars="200"/>
        <w:rPr>
          <w:b/>
        </w:rPr>
      </w:pPr>
      <w:r>
        <w:rPr>
          <w:rFonts w:hint="eastAsia"/>
          <w:b/>
        </w:rPr>
        <w:t>（二）</w:t>
      </w:r>
      <w:r>
        <w:rPr>
          <w:b/>
        </w:rPr>
        <w:t>服务内容及要求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/>
        </w:rPr>
        <w:t>1.服务内容：</w:t>
      </w:r>
      <w:r>
        <w:rPr>
          <w:rFonts w:hint="eastAsia" w:ascii="仿宋" w:hAnsi="仿宋" w:eastAsia="仿宋" w:cs="仿宋"/>
        </w:rPr>
        <w:t>在青山墓群安防升级工程的施工准备阶段、施工阶段、竣工验收阶段和保修期阶段，对工程质量、进度、费用控制、文物安全、信息收集进行监督和管理。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2.资格要求：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"/>
          <w:bCs/>
        </w:rPr>
        <w:t>（1）</w:t>
      </w:r>
      <w:r>
        <w:rPr>
          <w:rFonts w:ascii="仿宋" w:hAnsi="仿宋" w:eastAsia="仿宋"/>
          <w:color w:val="000000"/>
        </w:rPr>
        <w:t>具有国家颁发的信息系统工程监理乙级以上资质</w:t>
      </w:r>
      <w:r>
        <w:rPr>
          <w:rFonts w:hint="eastAsia" w:ascii="仿宋" w:hAnsi="仿宋" w:eastAsia="仿宋"/>
          <w:color w:val="000000"/>
        </w:rPr>
        <w:t>；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（2）</w:t>
      </w:r>
      <w:r>
        <w:rPr>
          <w:rFonts w:ascii="仿宋" w:hAnsi="仿宋" w:eastAsia="仿宋"/>
          <w:color w:val="000000"/>
        </w:rPr>
        <w:t>具备独立法人资格，持有有效的营业执照、税务登记、机构代码证等合法身份证件，企业注册资金必须在300万元以上</w:t>
      </w:r>
      <w:r>
        <w:rPr>
          <w:rFonts w:hint="eastAsia" w:ascii="仿宋" w:hAnsi="仿宋" w:eastAsia="仿宋"/>
          <w:color w:val="000000"/>
        </w:rPr>
        <w:t>；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（3）</w:t>
      </w:r>
      <w:r>
        <w:rPr>
          <w:rFonts w:ascii="仿宋" w:hAnsi="仿宋" w:eastAsia="仿宋"/>
          <w:color w:val="000000"/>
        </w:rPr>
        <w:t>具有国家注册的监理工程师20人以上</w:t>
      </w:r>
      <w:r>
        <w:rPr>
          <w:rFonts w:hint="eastAsia" w:ascii="仿宋" w:hAnsi="仿宋" w:eastAsia="仿宋"/>
          <w:color w:val="000000"/>
        </w:rPr>
        <w:t>。</w:t>
      </w:r>
    </w:p>
    <w:p>
      <w:pPr>
        <w:spacing w:line="580" w:lineRule="exact"/>
        <w:ind w:firstLine="643" w:firstLineChars="200"/>
        <w:rPr>
          <w:b/>
        </w:rPr>
      </w:pPr>
      <w:r>
        <w:rPr>
          <w:rFonts w:hint="eastAsia"/>
          <w:b/>
        </w:rPr>
        <w:t>（三）</w:t>
      </w:r>
      <w:r>
        <w:rPr>
          <w:b/>
        </w:rPr>
        <w:t>商务要求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1.</w:t>
      </w:r>
      <w:r>
        <w:rPr>
          <w:rFonts w:ascii="仿宋" w:hAnsi="仿宋" w:eastAsia="仿宋"/>
          <w:color w:val="000000"/>
        </w:rPr>
        <w:t>具有</w:t>
      </w:r>
      <w:r>
        <w:rPr>
          <w:rFonts w:hint="eastAsia" w:ascii="仿宋" w:hAnsi="仿宋" w:eastAsia="仿宋"/>
          <w:color w:val="000000"/>
        </w:rPr>
        <w:t>文物、</w:t>
      </w:r>
      <w:r>
        <w:rPr>
          <w:rFonts w:ascii="仿宋" w:hAnsi="仿宋" w:eastAsia="仿宋"/>
          <w:color w:val="000000"/>
        </w:rPr>
        <w:t>博物馆安防相关工程业绩</w:t>
      </w:r>
      <w:r>
        <w:rPr>
          <w:rFonts w:hint="eastAsia" w:ascii="仿宋" w:hAnsi="仿宋" w:eastAsia="仿宋"/>
          <w:color w:val="000000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2.</w:t>
      </w:r>
      <w:r>
        <w:rPr>
          <w:rFonts w:ascii="仿宋" w:hAnsi="仿宋" w:eastAsia="仿宋"/>
          <w:color w:val="000000"/>
        </w:rPr>
        <w:t>与建设单位签订保密</w:t>
      </w:r>
      <w:r>
        <w:rPr>
          <w:rFonts w:hint="eastAsia" w:ascii="仿宋" w:hAnsi="仿宋" w:eastAsia="仿宋"/>
          <w:color w:val="000000"/>
        </w:rPr>
        <w:t>承诺书。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3.付款方式：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（1）签订合同后支付采购服务合同款的30%；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（2）项目验收合格后支付</w:t>
      </w:r>
      <w:r>
        <w:rPr>
          <w:rFonts w:hint="eastAsia" w:ascii="仿宋" w:hAnsi="仿宋" w:eastAsia="仿宋"/>
          <w:color w:val="000000" w:themeColor="text1"/>
        </w:rPr>
        <w:t>采购服务合同款</w:t>
      </w:r>
      <w:r>
        <w:rPr>
          <w:rFonts w:hint="eastAsia" w:ascii="仿宋" w:hAnsi="仿宋" w:eastAsia="仿宋"/>
          <w:color w:val="000000"/>
        </w:rPr>
        <w:t>余款。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u w:val="single"/>
        </w:rPr>
      </w:pPr>
      <w:r>
        <w:rPr>
          <w:rFonts w:hint="eastAsia" w:ascii="黑体" w:hAnsi="黑体" w:eastAsia="黑体"/>
        </w:rPr>
        <w:t>四、采购预算:</w:t>
      </w:r>
      <w:r>
        <w:rPr>
          <w:rFonts w:hint="eastAsia" w:ascii="仿宋" w:hAnsi="仿宋" w:eastAsia="仿宋" w:cs="仿宋"/>
        </w:rPr>
        <w:t>16.750295万元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五、供应商资格条件</w:t>
      </w:r>
    </w:p>
    <w:p>
      <w:pPr>
        <w:spacing w:line="520" w:lineRule="exact"/>
        <w:ind w:firstLine="640" w:firstLineChars="200"/>
      </w:pPr>
      <w:r>
        <w:rPr>
          <w:rFonts w:hint="eastAsia"/>
        </w:rPr>
        <w:t>1.供应商应具备《政府采购法》第二十二条第一款规定的条件（</w:t>
      </w:r>
      <w:r>
        <w:rPr>
          <w:rFonts w:hint="eastAsia"/>
          <w:bCs/>
        </w:rPr>
        <w:t>除第一项外，其他几项采购人可根据项目特点自主确定）。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/>
        </w:rPr>
        <w:t>2.采购项目的特殊条件要求:</w:t>
      </w:r>
      <w:r>
        <w:rPr>
          <w:rFonts w:ascii="仿宋" w:hAnsi="仿宋" w:eastAsia="仿宋"/>
          <w:color w:val="000000"/>
        </w:rPr>
        <w:t>对枝江市博物馆关于青山墓群安防</w:t>
      </w:r>
      <w:r>
        <w:rPr>
          <w:rFonts w:hint="eastAsia" w:ascii="仿宋" w:hAnsi="仿宋" w:eastAsia="仿宋"/>
          <w:color w:val="000000"/>
        </w:rPr>
        <w:t>升级</w:t>
      </w:r>
      <w:r>
        <w:rPr>
          <w:rFonts w:ascii="仿宋" w:hAnsi="仿宋" w:eastAsia="仿宋"/>
          <w:color w:val="000000"/>
        </w:rPr>
        <w:t>工程合同范围</w:t>
      </w:r>
      <w:r>
        <w:rPr>
          <w:rFonts w:hint="eastAsia" w:ascii="仿宋" w:hAnsi="仿宋" w:eastAsia="仿宋"/>
          <w:color w:val="000000"/>
        </w:rPr>
        <w:t>的</w:t>
      </w:r>
      <w:r>
        <w:rPr>
          <w:rFonts w:ascii="仿宋" w:hAnsi="仿宋" w:eastAsia="仿宋"/>
          <w:color w:val="000000"/>
        </w:rPr>
        <w:t>全部内容实施过程和完成结果及质量保证期进行监理，进行造价、质量、进度、安全生产文明施工的全面控制和管理以及合同、技术资料、数据管理。</w:t>
      </w:r>
    </w:p>
    <w:p>
      <w:pPr>
        <w:spacing w:line="52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</w:rPr>
        <w:t>3.</w:t>
      </w:r>
      <w:r>
        <w:rPr>
          <w:rFonts w:hint="eastAsia"/>
          <w:color w:val="333333"/>
          <w:shd w:val="clear" w:color="auto" w:fill="FFFFFF"/>
        </w:rPr>
        <w:t>响应文件递交截止时间当天，在“信用中国”网站</w:t>
      </w:r>
      <w:r>
        <w:rPr>
          <w:rFonts w:hint="eastAsia" w:hAnsi="Calibri" w:cs="Calibri"/>
          <w:color w:val="333333"/>
          <w:shd w:val="clear" w:color="auto" w:fill="FFFFFF"/>
        </w:rPr>
        <w:t>(www.creditchina.gov.cn)</w:t>
      </w:r>
      <w:r>
        <w:rPr>
          <w:rFonts w:hint="eastAsia"/>
          <w:color w:val="333333"/>
          <w:shd w:val="clear" w:color="auto" w:fill="FFFFFF"/>
        </w:rPr>
        <w:t>、中国政府采购网</w:t>
      </w:r>
      <w:r>
        <w:rPr>
          <w:rFonts w:hint="eastAsia" w:hAnsi="Calibri" w:cs="Calibri"/>
          <w:color w:val="333333"/>
          <w:shd w:val="clear" w:color="auto" w:fill="FFFFFF"/>
        </w:rPr>
        <w:t>(</w:t>
      </w:r>
      <w:r>
        <w:rPr>
          <w:rFonts w:hAnsi="Calibri" w:cs="Calibri"/>
          <w:color w:val="333333"/>
          <w:shd w:val="clear" w:color="auto" w:fill="FFFFFF"/>
        </w:rPr>
        <w:t>www.ccgp.gov.cn</w:t>
      </w:r>
      <w:r>
        <w:rPr>
          <w:rFonts w:hint="eastAsia" w:hAnsi="Calibri" w:cs="Calibri"/>
          <w:color w:val="333333"/>
          <w:shd w:val="clear" w:color="auto" w:fill="FFFFFF"/>
        </w:rPr>
        <w:t>)</w:t>
      </w:r>
      <w:r>
        <w:rPr>
          <w:rFonts w:hint="eastAsia"/>
          <w:color w:val="333333"/>
          <w:shd w:val="clear" w:color="auto" w:fill="FFFFFF"/>
        </w:rPr>
        <w:t>查询，供应商未被列入信用记录失信被执行人、重大税收违法案件当事人名单、政府采购严重违法失信行为记录名单。</w:t>
      </w:r>
    </w:p>
    <w:p>
      <w:pPr>
        <w:spacing w:line="520" w:lineRule="exact"/>
        <w:ind w:firstLine="640" w:firstLineChars="200"/>
        <w:rPr>
          <w:rFonts w:ascii="黑体" w:hAnsi="黑体" w:eastAsia="仿宋"/>
        </w:rPr>
      </w:pPr>
      <w:r>
        <w:rPr>
          <w:rFonts w:hint="eastAsia" w:ascii="黑体" w:hAnsi="黑体" w:eastAsia="黑体"/>
        </w:rPr>
        <w:t>六、优惠政策：</w:t>
      </w:r>
      <w:r>
        <w:rPr>
          <w:rFonts w:hint="eastAsia" w:ascii="仿宋" w:hAnsi="仿宋" w:eastAsia="仿宋" w:cs="仿宋"/>
        </w:rPr>
        <w:t>对小微企业报价给予6%-10%的价格扣除，用扣除后的价格作为评审价进行价格排序。（采购人根据实际情况自行确定价格扣除比例）。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七、获取比价文件和报名</w:t>
      </w:r>
    </w:p>
    <w:p>
      <w:pPr>
        <w:spacing w:line="500" w:lineRule="exact"/>
        <w:ind w:firstLine="640" w:firstLineChars="200"/>
      </w:pPr>
      <w:r>
        <w:rPr>
          <w:rFonts w:hint="eastAsia"/>
        </w:rPr>
        <w:t>1.发放时间：</w:t>
      </w:r>
      <w:r>
        <w:rPr>
          <w:rFonts w:hint="eastAsia"/>
          <w:highlight w:val="none"/>
        </w:rPr>
        <w:t>2021年9月26日起至2021年9月28日</w:t>
      </w:r>
      <w:r>
        <w:rPr>
          <w:rFonts w:hint="eastAsia"/>
        </w:rPr>
        <w:t>止（上午：8:30-12:00，下午14:00-17:30）。</w:t>
      </w:r>
    </w:p>
    <w:p>
      <w:pPr>
        <w:spacing w:line="500" w:lineRule="exact"/>
        <w:ind w:firstLine="640" w:firstLineChars="200"/>
        <w:rPr>
          <w:u w:val="single"/>
        </w:rPr>
      </w:pPr>
      <w:r>
        <w:rPr>
          <w:rFonts w:hint="eastAsia"/>
        </w:rPr>
        <w:t>2.发放方式：</w:t>
      </w:r>
      <w:r>
        <w:rPr>
          <w:rFonts w:hint="eastAsia"/>
          <w:u w:val="single"/>
        </w:rPr>
        <w:t xml:space="preserve">  网上下载   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</w:pPr>
      <w:r>
        <w:rPr>
          <w:rFonts w:hint="eastAsia"/>
        </w:rPr>
        <w:t>3.发放地点：</w:t>
      </w:r>
      <w:r>
        <w:rPr>
          <w:rFonts w:hint="eastAsia"/>
          <w:u w:val="single"/>
        </w:rPr>
        <w:t>三峡枝江网</w:t>
      </w:r>
      <w:r>
        <w:rPr>
          <w:rFonts w:hint="eastAsia"/>
        </w:rPr>
        <w:t>免费领取。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八、响应文件编制</w:t>
      </w:r>
    </w:p>
    <w:p>
      <w:pPr>
        <w:spacing w:line="50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1.</w:t>
      </w:r>
      <w:r>
        <w:rPr>
          <w:color w:val="333333"/>
          <w:shd w:val="clear" w:color="auto" w:fill="FFFFFF"/>
        </w:rPr>
        <w:t>供应商应认真阅读、并充分理解本</w:t>
      </w:r>
      <w:r>
        <w:rPr>
          <w:rFonts w:hint="eastAsia"/>
          <w:color w:val="333333"/>
          <w:shd w:val="clear" w:color="auto" w:fill="FFFFFF"/>
        </w:rPr>
        <w:t>比价文件</w:t>
      </w:r>
      <w:r>
        <w:rPr>
          <w:color w:val="333333"/>
          <w:shd w:val="clear" w:color="auto" w:fill="FFFFFF"/>
        </w:rPr>
        <w:t>的全部内容（包括所有的补充、修改内容），承诺并履行本</w:t>
      </w:r>
      <w:r>
        <w:rPr>
          <w:rFonts w:hint="eastAsia"/>
          <w:color w:val="333333"/>
          <w:shd w:val="clear" w:color="auto" w:fill="FFFFFF"/>
        </w:rPr>
        <w:t>比价文件</w:t>
      </w:r>
      <w:r>
        <w:rPr>
          <w:color w:val="333333"/>
          <w:shd w:val="clear" w:color="auto" w:fill="FFFFFF"/>
        </w:rPr>
        <w:t>中各项条款规定及要求。</w:t>
      </w:r>
    </w:p>
    <w:p>
      <w:pPr>
        <w:spacing w:line="50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2.</w:t>
      </w:r>
      <w:r>
        <w:rPr>
          <w:color w:val="333333"/>
          <w:shd w:val="clear" w:color="auto" w:fill="FFFFFF"/>
        </w:rPr>
        <w:t>响应文件应按本文件的全部内容，包括所有的补充通知及附件进行编制。</w:t>
      </w:r>
    </w:p>
    <w:p>
      <w:pPr>
        <w:spacing w:line="50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3.</w:t>
      </w:r>
      <w:r>
        <w:rPr>
          <w:color w:val="333333"/>
          <w:shd w:val="clear" w:color="auto" w:fill="FFFFFF"/>
        </w:rPr>
        <w:t>如因供应商只填写和提供了本文件要求的部分内容和附件，</w:t>
      </w:r>
      <w:r>
        <w:rPr>
          <w:rFonts w:hint="eastAsia"/>
          <w:color w:val="333333"/>
          <w:shd w:val="clear" w:color="auto" w:fill="FFFFFF"/>
        </w:rPr>
        <w:t>比价</w:t>
      </w:r>
      <w:r>
        <w:rPr>
          <w:color w:val="333333"/>
          <w:shd w:val="clear" w:color="auto" w:fill="FFFFFF"/>
        </w:rPr>
        <w:t>小组将拒绝其补充。</w:t>
      </w:r>
    </w:p>
    <w:p>
      <w:pPr>
        <w:spacing w:line="50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4.</w:t>
      </w:r>
      <w:r>
        <w:rPr>
          <w:color w:val="333333"/>
          <w:shd w:val="clear" w:color="auto" w:fill="FFFFFF"/>
        </w:rPr>
        <w:t>响应文件的组成</w:t>
      </w:r>
      <w:r>
        <w:rPr>
          <w:rFonts w:hint="eastAsia"/>
          <w:color w:val="333333"/>
          <w:shd w:val="clear" w:color="auto" w:fill="FFFFFF"/>
        </w:rPr>
        <w:t>。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不限于以下内容，如未提供，</w:t>
      </w:r>
      <w:r>
        <w:rPr>
          <w:rFonts w:hint="eastAsia"/>
          <w:color w:val="333333"/>
          <w:shd w:val="clear" w:color="auto" w:fill="FFFFFF"/>
        </w:rPr>
        <w:t>比价</w:t>
      </w:r>
      <w:r>
        <w:rPr>
          <w:color w:val="333333"/>
          <w:shd w:val="clear" w:color="auto" w:fill="FFFFFF"/>
        </w:rPr>
        <w:t>小组有权拒绝其响应文件</w:t>
      </w:r>
      <w:r>
        <w:rPr>
          <w:rFonts w:hint="eastAsia"/>
          <w:color w:val="333333"/>
          <w:shd w:val="clear" w:color="auto" w:fill="FFFFFF"/>
        </w:rPr>
        <w:t>：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（1）</w:t>
      </w:r>
      <w:r>
        <w:rPr>
          <w:color w:val="333333"/>
          <w:shd w:val="clear" w:color="auto" w:fill="FFFFFF"/>
        </w:rPr>
        <w:t>报价一览表；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（2）</w:t>
      </w:r>
      <w:r>
        <w:rPr>
          <w:color w:val="333333"/>
          <w:shd w:val="clear" w:color="auto" w:fill="FFFFFF"/>
        </w:rPr>
        <w:t>分项报价表；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（3）</w:t>
      </w:r>
      <w:r>
        <w:rPr>
          <w:color w:val="333333"/>
          <w:shd w:val="clear" w:color="auto" w:fill="FFFFFF"/>
        </w:rPr>
        <w:t>货物及服务清单；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（4）</w:t>
      </w:r>
      <w:r>
        <w:rPr>
          <w:color w:val="333333"/>
          <w:shd w:val="clear" w:color="auto" w:fill="FFFFFF"/>
        </w:rPr>
        <w:t>技术和服务响应、偏离情况说明表；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（5）</w:t>
      </w:r>
      <w:r>
        <w:rPr>
          <w:color w:val="333333"/>
          <w:shd w:val="clear" w:color="auto" w:fill="FFFFFF"/>
        </w:rPr>
        <w:t>法人（负责人）代表授权书；</w:t>
      </w:r>
    </w:p>
    <w:p>
      <w:pPr>
        <w:spacing w:line="500" w:lineRule="exact"/>
        <w:ind w:firstLine="429" w:firstLineChars="150"/>
        <w:rPr>
          <w:snapToGrid w:val="0"/>
          <w:color w:val="333333"/>
          <w:spacing w:val="-17"/>
          <w:kern w:val="0"/>
          <w:shd w:val="clear" w:color="auto" w:fill="FFFFFF"/>
        </w:rPr>
      </w:pPr>
      <w:r>
        <w:rPr>
          <w:rFonts w:hint="eastAsia"/>
          <w:snapToGrid w:val="0"/>
          <w:color w:val="333333"/>
          <w:spacing w:val="-17"/>
          <w:kern w:val="0"/>
          <w:shd w:val="clear" w:color="auto" w:fill="FFFFFF"/>
        </w:rPr>
        <w:t>（6）本比价文件“五、供应商资格条件”所列要求的相关证明材料</w:t>
      </w:r>
      <w:r>
        <w:rPr>
          <w:snapToGrid w:val="0"/>
          <w:color w:val="333333"/>
          <w:spacing w:val="-17"/>
          <w:kern w:val="0"/>
          <w:shd w:val="clear" w:color="auto" w:fill="FFFFFF"/>
        </w:rPr>
        <w:t>；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（7）</w:t>
      </w:r>
      <w:r>
        <w:rPr>
          <w:color w:val="333333"/>
          <w:shd w:val="clear" w:color="auto" w:fill="FFFFFF"/>
        </w:rPr>
        <w:t>《中小企业声明函》（如果有）</w:t>
      </w:r>
      <w:r>
        <w:rPr>
          <w:rFonts w:hint="eastAsia"/>
          <w:color w:val="333333"/>
          <w:shd w:val="clear" w:color="auto" w:fill="FFFFFF"/>
        </w:rPr>
        <w:t>；</w:t>
      </w:r>
    </w:p>
    <w:p>
      <w:pPr>
        <w:spacing w:line="500" w:lineRule="exact"/>
        <w:ind w:firstLine="480" w:firstLineChars="15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（8）</w:t>
      </w:r>
      <w:r>
        <w:rPr>
          <w:color w:val="333333"/>
          <w:shd w:val="clear" w:color="auto" w:fill="FFFFFF"/>
        </w:rPr>
        <w:t>本</w:t>
      </w:r>
      <w:r>
        <w:rPr>
          <w:rFonts w:hint="eastAsia"/>
          <w:color w:val="333333"/>
          <w:shd w:val="clear" w:color="auto" w:fill="FFFFFF"/>
        </w:rPr>
        <w:t>比价文件</w:t>
      </w:r>
      <w:r>
        <w:rPr>
          <w:color w:val="333333"/>
          <w:shd w:val="clear" w:color="auto" w:fill="FFFFFF"/>
        </w:rPr>
        <w:t>要求提供的其他文件及资料。</w:t>
      </w:r>
    </w:p>
    <w:p>
      <w:pPr>
        <w:spacing w:line="52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5.响应文件必须电脑打印，不准涂改和行间插字，除签名外不得出现手写字体。所有文件应当以胶印的方式装订成册，并编制目录及页码。</w:t>
      </w:r>
    </w:p>
    <w:p>
      <w:pPr>
        <w:spacing w:line="52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6.响应文件须加盖供应商单位公章，并由法定代表人或经其授权的代表签字。由授权代表签字的，应在响应文件中提供法人代表授权书，否则视为无效响应。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九、响应文件份数及封装</w:t>
      </w:r>
    </w:p>
    <w:p>
      <w:pPr>
        <w:spacing w:line="52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供应商只需提交一份响应文件，响应文件密封包装在一个包装袋内，并在包封上注明供应商名称和采购项目名称。封包袋封口上加盖公司公章，并注明“比价时间以前不得开封”字样。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十、响应文件递交</w:t>
      </w:r>
    </w:p>
    <w:p>
      <w:pPr>
        <w:spacing w:line="520" w:lineRule="exact"/>
        <w:ind w:firstLine="640" w:firstLineChars="200"/>
        <w:rPr>
          <w:rFonts w:hAnsi="黑体"/>
        </w:rPr>
      </w:pPr>
      <w:r>
        <w:rPr>
          <w:rFonts w:hint="eastAsia" w:hAnsi="黑体"/>
        </w:rPr>
        <w:t>1.截止时间：</w:t>
      </w:r>
      <w:r>
        <w:rPr>
          <w:rFonts w:hint="eastAsia" w:hAnsi="黑体"/>
          <w:highlight w:val="none"/>
        </w:rPr>
        <w:t>2021年9月29日8时30分。</w:t>
      </w:r>
      <w:bookmarkStart w:id="4" w:name="_GoBack"/>
      <w:bookmarkEnd w:id="4"/>
    </w:p>
    <w:p>
      <w:pPr>
        <w:spacing w:line="520" w:lineRule="exact"/>
        <w:ind w:firstLine="640" w:firstLineChars="200"/>
        <w:rPr>
          <w:rFonts w:hAnsi="黑体"/>
        </w:rPr>
      </w:pPr>
      <w:r>
        <w:rPr>
          <w:rFonts w:hint="eastAsia" w:hAnsi="黑体"/>
        </w:rPr>
        <w:t>2.地点：</w:t>
      </w:r>
      <w:r>
        <w:rPr>
          <w:rFonts w:hAnsi="黑体"/>
        </w:rPr>
        <w:t>请将纸质版响应文件密封递交至</w:t>
      </w:r>
      <w:r>
        <w:rPr>
          <w:rFonts w:hint="eastAsia" w:hAnsi="黑体"/>
          <w:u w:val="single"/>
        </w:rPr>
        <w:t>枝江市南岗路50号，枝江市博物馆103室，</w:t>
      </w:r>
      <w:r>
        <w:rPr>
          <w:rFonts w:hAnsi="黑体"/>
        </w:rPr>
        <w:t>响应文件递交截止时间即为</w:t>
      </w:r>
      <w:r>
        <w:rPr>
          <w:rFonts w:hint="eastAsia" w:hAnsi="黑体"/>
        </w:rPr>
        <w:t>比价</w:t>
      </w:r>
      <w:r>
        <w:rPr>
          <w:rFonts w:hAnsi="黑体"/>
        </w:rPr>
        <w:t>时间，逾期送达的响应文件概不接受。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十一、评审方法</w:t>
      </w:r>
    </w:p>
    <w:p>
      <w:pPr>
        <w:spacing w:line="520" w:lineRule="exact"/>
        <w:ind w:firstLine="640" w:firstLineChars="200"/>
        <w:rPr>
          <w:b/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hd w:val="clear" w:color="auto" w:fill="FFFFFF"/>
        </w:rPr>
        <w:t>1.响应文件审查。</w:t>
      </w:r>
      <w:r>
        <w:rPr>
          <w:rFonts w:hint="eastAsia"/>
          <w:color w:val="333333"/>
          <w:shd w:val="clear" w:color="auto" w:fill="FFFFFF"/>
        </w:rPr>
        <w:t>采购人确定3人以上单数比价小组，比价小</w:t>
      </w:r>
      <w:r>
        <w:rPr>
          <w:color w:val="333333"/>
          <w:shd w:val="clear" w:color="auto" w:fill="FFFFFF"/>
        </w:rPr>
        <w:t>组根据本</w:t>
      </w:r>
      <w:r>
        <w:rPr>
          <w:rFonts w:hint="eastAsia"/>
          <w:color w:val="333333"/>
          <w:shd w:val="clear" w:color="auto" w:fill="FFFFFF"/>
        </w:rPr>
        <w:t>比价文件</w:t>
      </w:r>
      <w:r>
        <w:rPr>
          <w:color w:val="333333"/>
          <w:shd w:val="clear" w:color="auto" w:fill="FFFFFF"/>
        </w:rPr>
        <w:t>规定的供应商资格条件、评定成交的标准等事项对供应商提交的响应文件进行</w:t>
      </w:r>
      <w:r>
        <w:rPr>
          <w:rFonts w:hint="eastAsia"/>
          <w:color w:val="333333"/>
          <w:shd w:val="clear" w:color="auto" w:fill="FFFFFF"/>
        </w:rPr>
        <w:t>资格性和符合性</w:t>
      </w:r>
      <w:r>
        <w:rPr>
          <w:color w:val="333333"/>
          <w:shd w:val="clear" w:color="auto" w:fill="FFFFFF"/>
        </w:rPr>
        <w:t>评审。</w:t>
      </w:r>
    </w:p>
    <w:p>
      <w:pPr>
        <w:pStyle w:val="3"/>
        <w:spacing w:line="520" w:lineRule="exact"/>
        <w:ind w:firstLine="0" w:firstLineChars="0"/>
        <w:jc w:val="center"/>
        <w:rPr>
          <w:rFonts w:ascii="仿宋_GB2312" w:eastAsia="仿宋_GB2312"/>
          <w:b/>
          <w:color w:val="333333"/>
          <w:shd w:val="clear" w:color="auto" w:fill="FFFFFF"/>
        </w:rPr>
      </w:pPr>
      <w:r>
        <w:rPr>
          <w:rFonts w:hint="eastAsia" w:ascii="仿宋_GB2312" w:eastAsia="仿宋_GB2312"/>
          <w:bCs/>
          <w:color w:val="333333"/>
          <w:shd w:val="clear" w:color="auto" w:fill="FFFFFF"/>
        </w:rPr>
        <w:t>资格性审查和符合性审查内容及标准</w:t>
      </w:r>
    </w:p>
    <w:tbl>
      <w:tblPr>
        <w:tblStyle w:val="7"/>
        <w:tblW w:w="8804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22"/>
        <w:gridCol w:w="2551"/>
        <w:gridCol w:w="482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检查内容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检查标准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60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资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格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性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检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查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具有独立承担民事责任的能力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提供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合法有效的营业执照或事业单位法人证书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复印件，加盖公章。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信用记录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响应文件递交截止时间当天，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在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“信用中国”网站(www.cred itchina.go v.cn)、中国政府采购网(www.cc gp.gov.cn) 查询，供应商未被列入信用记录失信被执行人、重大税收违法案件当事人名单、政府采购严重违法失信行为记录名单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，以现场查询的为准。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符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合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性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检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查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供应商名称是否与营业执照一致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响应文件签署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按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比价文件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要求在规定区域加盖单位章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，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法定代表人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或授权代表签字。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法定代表人和授权代表资格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具有法定代表人资格证明和法定代表人授权委托书。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报价是否有效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只有一个有效报价且未超过采购预算价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货物或者服务清单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满足本比价文件“三、采购内容”要求。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交货期、质量要求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满足本比价文件“三、采购内容”要求。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其他要求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符合法律法规和本比价文件规定的其他实质性要求。</w:t>
            </w:r>
          </w:p>
        </w:tc>
      </w:tr>
    </w:tbl>
    <w:p>
      <w:pPr>
        <w:spacing w:line="52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评审后，满足本比价文件要求的供应商不足3家的，采购活动终止，采购人重新组织采购。满足本比价文件要求的供应商达到3家以上，比价小组对满足要求的供应商进行价格评议。</w:t>
      </w:r>
    </w:p>
    <w:p>
      <w:pPr>
        <w:spacing w:line="520" w:lineRule="exact"/>
        <w:ind w:firstLine="640" w:firstLineChars="200"/>
        <w:rPr>
          <w:bCs/>
          <w:color w:val="FF0000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hd w:val="clear" w:color="auto" w:fill="FFFFFF"/>
        </w:rPr>
        <w:t>2.价格评议。</w:t>
      </w:r>
      <w:r>
        <w:rPr>
          <w:rFonts w:hint="eastAsia"/>
          <w:bCs/>
          <w:shd w:val="clear" w:color="auto" w:fill="FFFFFF"/>
        </w:rPr>
        <w:t>比价小组根据本比价文件“六、优惠政策”相关规定，结合供应商提供的《中小企业声明函》，对供应商报价进行价格扣除评议，用扣除后的价格作为评审价进行价格排序，评审价不作为合同价格，合同价格应为供应商实际报价。供应商</w:t>
      </w:r>
      <w:r>
        <w:rPr>
          <w:bCs/>
          <w:shd w:val="clear" w:color="auto" w:fill="FFFFFF"/>
        </w:rPr>
        <w:t>提供本企业制造的产品、承担的工程或者服务的，应</w:t>
      </w:r>
      <w:r>
        <w:rPr>
          <w:rFonts w:hint="eastAsia"/>
          <w:bCs/>
          <w:shd w:val="clear" w:color="auto" w:fill="FFFFFF"/>
        </w:rPr>
        <w:t>由供应商</w:t>
      </w:r>
      <w:r>
        <w:rPr>
          <w:bCs/>
          <w:shd w:val="clear" w:color="auto" w:fill="FFFFFF"/>
        </w:rPr>
        <w:t>出具《中小企业声明函》</w:t>
      </w:r>
      <w:r>
        <w:rPr>
          <w:rFonts w:hint="eastAsia"/>
          <w:bCs/>
          <w:shd w:val="clear" w:color="auto" w:fill="FFFFFF"/>
        </w:rPr>
        <w:t>，供应商</w:t>
      </w:r>
      <w:r>
        <w:rPr>
          <w:bCs/>
          <w:shd w:val="clear" w:color="auto" w:fill="FFFFFF"/>
        </w:rPr>
        <w:t>提供其他小型和微型企业制造的产品的，应</w:t>
      </w:r>
      <w:r>
        <w:rPr>
          <w:rFonts w:hint="eastAsia"/>
          <w:bCs/>
          <w:shd w:val="clear" w:color="auto" w:fill="FFFFFF"/>
        </w:rPr>
        <w:t>由</w:t>
      </w:r>
      <w:r>
        <w:rPr>
          <w:bCs/>
          <w:shd w:val="clear" w:color="auto" w:fill="FFFFFF"/>
        </w:rPr>
        <w:t>产品制造企业出具《中小企业声明函》原件，否则，不给予价格扣除。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hd w:val="clear" w:color="auto" w:fill="FFFFFF"/>
        </w:rPr>
        <w:t>3.推荐供应商</w:t>
      </w:r>
      <w:r>
        <w:rPr>
          <w:rFonts w:hint="eastAsia" w:ascii="仿宋" w:hAnsi="仿宋" w:eastAsia="仿宋" w:cs="仿宋"/>
          <w:color w:val="333333"/>
          <w:shd w:val="clear" w:color="auto" w:fill="FFFFFF"/>
        </w:rPr>
        <w:t>。比价小组从满足本比价文件实质性要求的供应商中，按照评审价由低到高的顺序提出3名以上成交候选供应商，并编写评审报告。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十二、确定成交供应商</w:t>
      </w:r>
    </w:p>
    <w:p>
      <w:pPr>
        <w:spacing w:line="520" w:lineRule="exact"/>
        <w:ind w:firstLine="640" w:firstLineChars="20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1.比</w:t>
      </w:r>
      <w:r>
        <w:rPr>
          <w:color w:val="333333"/>
          <w:shd w:val="clear" w:color="auto" w:fill="FFFFFF"/>
        </w:rPr>
        <w:t>价小组</w:t>
      </w:r>
      <w:r>
        <w:rPr>
          <w:rFonts w:hint="eastAsia"/>
          <w:color w:val="333333"/>
          <w:shd w:val="clear" w:color="auto" w:fill="FFFFFF"/>
        </w:rPr>
        <w:t>应当在评审结束后1个工作日内将评审报告送采购人，采购人应当在收到评审报告后1个工作日内，从比价小组推荐的候选供应商中，根据满足比价文件要求且评审价最低的原则确定成交供应商</w:t>
      </w:r>
      <w:r>
        <w:rPr>
          <w:color w:val="333333"/>
          <w:shd w:val="clear" w:color="auto" w:fill="FFFFFF"/>
        </w:rPr>
        <w:t>。</w:t>
      </w:r>
    </w:p>
    <w:p>
      <w:pPr>
        <w:spacing w:line="520" w:lineRule="exact"/>
        <w:ind w:firstLine="640" w:firstLineChars="200"/>
      </w:pPr>
      <w:r>
        <w:rPr>
          <w:rFonts w:hint="eastAsia"/>
          <w:color w:val="333333"/>
          <w:shd w:val="clear" w:color="auto" w:fill="FFFFFF"/>
        </w:rPr>
        <w:t>2.</w:t>
      </w:r>
      <w:r>
        <w:rPr>
          <w:rFonts w:hint="eastAsia"/>
        </w:rPr>
        <w:t>确定成交供应商后，采购人应将成交结果在</w:t>
      </w:r>
      <w:r>
        <w:rPr>
          <w:rFonts w:hint="eastAsia"/>
          <w:bCs/>
        </w:rPr>
        <w:t>三峡枝江网或枝江市公共资源交易信息网</w:t>
      </w:r>
      <w:r>
        <w:rPr>
          <w:rFonts w:hint="eastAsia"/>
        </w:rPr>
        <w:t>等网络媒体予以公示，同时向成交供应商发出成交通知书。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十三、签订采购合同</w:t>
      </w:r>
    </w:p>
    <w:p>
      <w:pPr>
        <w:spacing w:line="520" w:lineRule="exact"/>
        <w:ind w:firstLine="640" w:firstLineChars="200"/>
      </w:pPr>
      <w:r>
        <w:rPr>
          <w:color w:val="333333"/>
          <w:shd w:val="clear" w:color="auto" w:fill="FFFFFF"/>
        </w:rPr>
        <w:t>成交供应商收到成交通知书后，</w:t>
      </w:r>
      <w:r>
        <w:rPr>
          <w:rFonts w:hint="eastAsia"/>
          <w:color w:val="333333"/>
          <w:shd w:val="clear" w:color="auto" w:fill="FFFFFF"/>
        </w:rPr>
        <w:t>应在3个工作</w:t>
      </w:r>
      <w:r>
        <w:rPr>
          <w:color w:val="333333"/>
          <w:shd w:val="clear" w:color="auto" w:fill="FFFFFF"/>
        </w:rPr>
        <w:t>日内与采购人签订</w:t>
      </w:r>
      <w:r>
        <w:rPr>
          <w:rFonts w:hint="eastAsia"/>
          <w:color w:val="333333"/>
          <w:shd w:val="clear" w:color="auto" w:fill="FFFFFF"/>
        </w:rPr>
        <w:t>采购</w:t>
      </w:r>
      <w:r>
        <w:rPr>
          <w:color w:val="333333"/>
          <w:shd w:val="clear" w:color="auto" w:fill="FFFFFF"/>
        </w:rPr>
        <w:t>合同。</w:t>
      </w:r>
    </w:p>
    <w:p>
      <w:pPr>
        <w:spacing w:line="520" w:lineRule="exact"/>
        <w:ind w:firstLine="640" w:firstLineChars="20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十四、联系方式：</w:t>
      </w:r>
    </w:p>
    <w:p>
      <w:pPr>
        <w:spacing w:line="520" w:lineRule="exact"/>
        <w:ind w:firstLine="640" w:firstLineChars="200"/>
        <w:rPr>
          <w:rFonts w:hAnsi="黑体"/>
          <w:u w:val="single"/>
        </w:rPr>
      </w:pPr>
      <w:r>
        <w:rPr>
          <w:rFonts w:hint="eastAsia" w:hAnsi="黑体"/>
        </w:rPr>
        <w:t>联 系 人：郑飞；联系电话：13872535637</w:t>
      </w:r>
    </w:p>
    <w:p>
      <w:pPr>
        <w:spacing w:line="520" w:lineRule="exact"/>
        <w:ind w:firstLine="640" w:firstLineChars="200"/>
        <w:rPr>
          <w:rFonts w:hAnsi="黑体"/>
        </w:rPr>
      </w:pPr>
      <w:r>
        <w:rPr>
          <w:rFonts w:hint="eastAsia" w:hAnsi="黑体"/>
        </w:rPr>
        <w:t>地    址：枝江市博物馆（枝江市南岗路50号）</w:t>
      </w:r>
    </w:p>
    <w:p>
      <w:pPr>
        <w:spacing w:line="520" w:lineRule="exact"/>
        <w:ind w:firstLine="5440" w:firstLineChars="1700"/>
        <w:rPr>
          <w:rFonts w:hAnsi="黑体"/>
        </w:rPr>
      </w:pPr>
      <w:r>
        <w:rPr>
          <w:rFonts w:hint="eastAsia" w:hAnsi="黑体"/>
        </w:rPr>
        <w:t>枝江市博物馆</w:t>
      </w:r>
    </w:p>
    <w:p>
      <w:pPr>
        <w:spacing w:line="520" w:lineRule="exact"/>
        <w:ind w:firstLine="640" w:firstLineChars="200"/>
        <w:rPr>
          <w:rFonts w:hAnsi="黑体"/>
        </w:rPr>
      </w:pPr>
      <w:r>
        <w:rPr>
          <w:rFonts w:hint="eastAsia" w:hAnsi="黑体"/>
        </w:rPr>
        <w:t xml:space="preserve">                             2021年9月26日</w:t>
      </w:r>
    </w:p>
    <w:p>
      <w:pPr>
        <w:spacing w:line="680" w:lineRule="exact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spacing w:line="680" w:lineRule="exact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spacing w:line="680" w:lineRule="exact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spacing w:line="680" w:lineRule="exact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spacing w:line="68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响 应 文 件</w:t>
      </w:r>
    </w:p>
    <w:p>
      <w:pPr>
        <w:spacing w:line="600" w:lineRule="exact"/>
        <w:rPr>
          <w:rFonts w:ascii="黑体" w:hAnsi="黑体" w:eastAsia="黑体"/>
        </w:rPr>
      </w:pPr>
    </w:p>
    <w:p>
      <w:pPr>
        <w:spacing w:line="520" w:lineRule="exact"/>
        <w:rPr>
          <w:rFonts w:ascii="黑体" w:hAnsi="黑体" w:eastAsia="黑体"/>
        </w:rPr>
      </w:pPr>
    </w:p>
    <w:p>
      <w:pPr>
        <w:spacing w:line="520" w:lineRule="exact"/>
        <w:rPr>
          <w:rFonts w:ascii="黑体" w:hAnsi="黑体" w:eastAsia="黑体"/>
        </w:rPr>
      </w:pPr>
    </w:p>
    <w:p>
      <w:pPr>
        <w:spacing w:line="520" w:lineRule="exact"/>
        <w:rPr>
          <w:rFonts w:ascii="黑体" w:hAnsi="黑体" w:eastAsia="黑体"/>
        </w:rPr>
      </w:pPr>
    </w:p>
    <w:p>
      <w:pPr>
        <w:spacing w:line="520" w:lineRule="exact"/>
        <w:ind w:firstLine="1440" w:firstLineChars="45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项目编号：</w:t>
      </w:r>
    </w:p>
    <w:p>
      <w:pPr>
        <w:spacing w:line="520" w:lineRule="exact"/>
        <w:ind w:firstLine="1440" w:firstLineChars="4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项目名称：</w:t>
      </w:r>
    </w:p>
    <w:p>
      <w:pPr>
        <w:pStyle w:val="2"/>
        <w:ind w:firstLine="0"/>
        <w:jc w:val="both"/>
      </w:pPr>
    </w:p>
    <w:p/>
    <w:p>
      <w:pPr>
        <w:pStyle w:val="2"/>
        <w:jc w:val="both"/>
      </w:pPr>
    </w:p>
    <w:p/>
    <w:p>
      <w:pPr>
        <w:pStyle w:val="2"/>
        <w:jc w:val="both"/>
      </w:pPr>
    </w:p>
    <w:p/>
    <w:p>
      <w:pPr>
        <w:pStyle w:val="2"/>
        <w:jc w:val="both"/>
      </w:pPr>
    </w:p>
    <w:p/>
    <w:p>
      <w:pPr>
        <w:pStyle w:val="2"/>
        <w:jc w:val="both"/>
      </w:pPr>
    </w:p>
    <w:p/>
    <w:p>
      <w:pPr>
        <w:pStyle w:val="2"/>
        <w:jc w:val="both"/>
      </w:pPr>
    </w:p>
    <w:p>
      <w:pPr>
        <w:spacing w:line="520" w:lineRule="exact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 xml:space="preserve">                供应商名称（盖章）：</w:t>
      </w:r>
    </w:p>
    <w:p>
      <w:pPr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     日   期：  年  月  日</w:t>
      </w: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</w:rPr>
        <w:t>响应文件组成（货物服务类）</w:t>
      </w:r>
    </w:p>
    <w:p>
      <w:pPr>
        <w:spacing w:line="520" w:lineRule="exact"/>
        <w:rPr>
          <w:rFonts w:ascii="黑体" w:hAnsi="黑体" w:eastAsia="黑体"/>
        </w:rPr>
      </w:pPr>
    </w:p>
    <w:p>
      <w:pPr>
        <w:spacing w:line="520" w:lineRule="exact"/>
        <w:ind w:firstLine="640" w:firstLineChars="20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目  录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（1）</w:t>
      </w:r>
      <w:r>
        <w:rPr>
          <w:rFonts w:ascii="仿宋" w:hAnsi="仿宋" w:eastAsia="仿宋"/>
          <w:color w:val="333333"/>
          <w:shd w:val="clear" w:color="auto" w:fill="FFFFFF"/>
        </w:rPr>
        <w:t>报价一览表；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（2）</w:t>
      </w:r>
      <w:r>
        <w:rPr>
          <w:rFonts w:ascii="仿宋" w:hAnsi="仿宋" w:eastAsia="仿宋"/>
          <w:color w:val="333333"/>
          <w:shd w:val="clear" w:color="auto" w:fill="FFFFFF"/>
        </w:rPr>
        <w:t>分项报价表；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（3）</w:t>
      </w:r>
      <w:r>
        <w:rPr>
          <w:rFonts w:ascii="仿宋" w:hAnsi="仿宋" w:eastAsia="仿宋"/>
          <w:color w:val="333333"/>
          <w:shd w:val="clear" w:color="auto" w:fill="FFFFFF"/>
        </w:rPr>
        <w:t>货物及服务清单；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（4）</w:t>
      </w:r>
      <w:r>
        <w:rPr>
          <w:rFonts w:ascii="仿宋" w:hAnsi="仿宋" w:eastAsia="仿宋"/>
          <w:color w:val="333333"/>
          <w:shd w:val="clear" w:color="auto" w:fill="FFFFFF"/>
        </w:rPr>
        <w:t>技术和服务响应、偏离情况说明表；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（5）</w:t>
      </w:r>
      <w:r>
        <w:rPr>
          <w:rFonts w:ascii="仿宋" w:hAnsi="仿宋" w:eastAsia="仿宋"/>
          <w:color w:val="333333"/>
          <w:shd w:val="clear" w:color="auto" w:fill="FFFFFF"/>
        </w:rPr>
        <w:t>法人（负责人）代表授权书；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（6）本邀请函“五、供应商资格条件”所列要求的相关证明材料</w:t>
      </w:r>
      <w:r>
        <w:rPr>
          <w:rFonts w:ascii="仿宋" w:hAnsi="仿宋" w:eastAsia="仿宋"/>
          <w:color w:val="333333"/>
          <w:shd w:val="clear" w:color="auto" w:fill="FFFFFF"/>
        </w:rPr>
        <w:t>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（7）</w:t>
      </w:r>
      <w:r>
        <w:rPr>
          <w:rFonts w:ascii="仿宋" w:hAnsi="仿宋" w:eastAsia="仿宋"/>
          <w:color w:val="333333"/>
          <w:shd w:val="clear" w:color="auto" w:fill="FFFFFF"/>
        </w:rPr>
        <w:t>《中小企业声明函》（如果有）</w:t>
      </w:r>
      <w:r>
        <w:rPr>
          <w:rFonts w:hint="eastAsia" w:ascii="仿宋" w:hAnsi="仿宋" w:eastAsia="仿宋"/>
          <w:color w:val="333333"/>
          <w:shd w:val="clear" w:color="auto" w:fill="FFFFFF"/>
        </w:rPr>
        <w:t>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（8）</w:t>
      </w:r>
      <w:r>
        <w:rPr>
          <w:rFonts w:ascii="仿宋" w:hAnsi="仿宋" w:eastAsia="仿宋"/>
          <w:color w:val="333333"/>
          <w:shd w:val="clear" w:color="auto" w:fill="FFFFFF"/>
        </w:rPr>
        <w:t>本</w:t>
      </w:r>
      <w:r>
        <w:rPr>
          <w:rFonts w:hint="eastAsia" w:ascii="仿宋" w:hAnsi="仿宋" w:eastAsia="仿宋"/>
          <w:color w:val="333333"/>
          <w:shd w:val="clear" w:color="auto" w:fill="FFFFFF"/>
        </w:rPr>
        <w:t>邀请函</w:t>
      </w:r>
      <w:r>
        <w:rPr>
          <w:rFonts w:ascii="仿宋" w:hAnsi="仿宋" w:eastAsia="仿宋"/>
          <w:color w:val="333333"/>
          <w:shd w:val="clear" w:color="auto" w:fill="FFFFFF"/>
        </w:rPr>
        <w:t>要求提供的其他文件及资料。</w:t>
      </w:r>
    </w:p>
    <w:p>
      <w:pPr>
        <w:spacing w:line="520" w:lineRule="exact"/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</w:rPr>
        <w:t>报价一览表</w:t>
      </w:r>
    </w:p>
    <w:p>
      <w:pPr>
        <w:spacing w:line="520" w:lineRule="exact"/>
        <w:rPr>
          <w:rFonts w:ascii="宋体" w:hAnsi="宋体" w:eastAsia="宋体" w:cs="Times New Roman"/>
        </w:rPr>
      </w:pPr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项目编号:</w:t>
      </w:r>
    </w:p>
    <w:p>
      <w:pPr>
        <w:spacing w:line="5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项目名称: 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809" w:type="dxa"/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总报价</w:t>
            </w:r>
          </w:p>
        </w:tc>
        <w:tc>
          <w:tcPr>
            <w:tcW w:w="7195" w:type="dxa"/>
            <w:noWrap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大写：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9" w:type="dxa"/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7195" w:type="dxa"/>
            <w:noWrap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pStyle w:val="4"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pStyle w:val="4"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pStyle w:val="4"/>
        <w:spacing w:line="5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供应商名称（公章）：</w:t>
      </w:r>
    </w:p>
    <w:p>
      <w:pPr>
        <w:pStyle w:val="4"/>
        <w:spacing w:line="5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授权代表（签字）:</w:t>
      </w:r>
    </w:p>
    <w:p>
      <w:pPr>
        <w:pStyle w:val="4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期：年 月 日</w:t>
      </w:r>
    </w:p>
    <w:p>
      <w:pPr>
        <w:widowControl/>
        <w:spacing w:line="520" w:lineRule="exact"/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sz w:val="28"/>
          <w:szCs w:val="28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</w:rPr>
        <w:t>报价组成情况表</w:t>
      </w:r>
    </w:p>
    <w:p>
      <w:pPr>
        <w:spacing w:line="520" w:lineRule="exact"/>
        <w:rPr>
          <w:rFonts w:ascii="仿宋" w:hAnsi="仿宋" w:eastAsia="仿宋" w:cs="Times New Roman"/>
        </w:rPr>
      </w:pPr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项目编号：</w:t>
      </w:r>
    </w:p>
    <w:p>
      <w:pPr>
        <w:spacing w:line="5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项目名称：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04"/>
        <w:gridCol w:w="1416"/>
        <w:gridCol w:w="1146"/>
        <w:gridCol w:w="536"/>
        <w:gridCol w:w="1242"/>
        <w:gridCol w:w="96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名称（服务）</w:t>
            </w:r>
          </w:p>
        </w:tc>
        <w:tc>
          <w:tcPr>
            <w:tcW w:w="141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规格型号</w:t>
            </w:r>
          </w:p>
        </w:tc>
        <w:tc>
          <w:tcPr>
            <w:tcW w:w="114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制造商名称</w:t>
            </w:r>
          </w:p>
        </w:tc>
        <w:tc>
          <w:tcPr>
            <w:tcW w:w="53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单价</w:t>
            </w:r>
          </w:p>
        </w:tc>
        <w:tc>
          <w:tcPr>
            <w:tcW w:w="119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141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141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其它</w:t>
            </w:r>
          </w:p>
        </w:tc>
        <w:tc>
          <w:tcPr>
            <w:tcW w:w="141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80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总计</w:t>
            </w:r>
          </w:p>
        </w:tc>
        <w:tc>
          <w:tcPr>
            <w:tcW w:w="215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说明：1.所有价格均用人民币表示，单位为元。</w:t>
      </w:r>
    </w:p>
    <w:p>
      <w:pPr>
        <w:spacing w:line="520" w:lineRule="exact"/>
        <w:ind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2.分项报价总计价格必须与《报价一览表》报价一致。</w:t>
      </w:r>
    </w:p>
    <w:p>
      <w:pPr>
        <w:spacing w:line="520" w:lineRule="exact"/>
        <w:ind w:firstLine="420" w:firstLineChars="150"/>
        <w:rPr>
          <w:rFonts w:ascii="仿宋" w:hAnsi="仿宋" w:eastAsia="仿宋" w:cs="Times New Roman"/>
          <w:sz w:val="28"/>
          <w:szCs w:val="28"/>
        </w:rPr>
      </w:pPr>
    </w:p>
    <w:p>
      <w:pPr>
        <w:pStyle w:val="4"/>
        <w:spacing w:line="5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供应商名称（公章）：</w:t>
      </w:r>
    </w:p>
    <w:p>
      <w:pPr>
        <w:pStyle w:val="4"/>
        <w:spacing w:line="5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授权代表（签字）:</w:t>
      </w:r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时间：年 月 日</w:t>
      </w:r>
    </w:p>
    <w:p>
      <w:pPr>
        <w:pStyle w:val="4"/>
        <w:spacing w:line="520" w:lineRule="exact"/>
        <w:ind w:firstLine="840"/>
        <w:rPr>
          <w:rFonts w:ascii="仿宋" w:hAnsi="仿宋" w:eastAsia="仿宋"/>
          <w:sz w:val="28"/>
          <w:szCs w:val="28"/>
        </w:rPr>
      </w:pPr>
    </w:p>
    <w:p>
      <w:pPr>
        <w:widowControl/>
        <w:spacing w:line="5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br w:type="page"/>
      </w: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货物、服务清单</w:t>
      </w:r>
    </w:p>
    <w:p>
      <w:pPr>
        <w:pStyle w:val="9"/>
        <w:adjustRightInd w:val="0"/>
        <w:snapToGrid w:val="0"/>
        <w:spacing w:line="52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项目编号：</w:t>
      </w:r>
    </w:p>
    <w:p>
      <w:pPr>
        <w:pStyle w:val="9"/>
        <w:adjustRightInd w:val="0"/>
        <w:snapToGrid w:val="0"/>
        <w:spacing w:line="520" w:lineRule="exact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项目名称：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163"/>
        <w:gridCol w:w="420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序号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货物/服务名称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主要规格、技术参数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rPr>
                <w:rFonts w:ascii="仿宋" w:hAnsi="仿宋" w:eastAsia="仿宋"/>
                <w:szCs w:val="28"/>
              </w:rPr>
            </w:pPr>
          </w:p>
        </w:tc>
      </w:tr>
    </w:tbl>
    <w:p>
      <w:pPr>
        <w:pStyle w:val="9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说明：按技术参数要求，提供所投货物详细的技术规格、参数及要求。</w:t>
      </w:r>
    </w:p>
    <w:p>
      <w:pPr>
        <w:pStyle w:val="9"/>
        <w:adjustRightInd w:val="0"/>
        <w:snapToGrid w:val="0"/>
        <w:spacing w:line="520" w:lineRule="exact"/>
        <w:ind w:left="1260" w:hanging="1260" w:hangingChars="450"/>
        <w:rPr>
          <w:rFonts w:ascii="宋体" w:hAnsi="宋体"/>
          <w:szCs w:val="28"/>
        </w:rPr>
      </w:pPr>
    </w:p>
    <w:p>
      <w:pPr>
        <w:pStyle w:val="9"/>
        <w:adjustRightInd w:val="0"/>
        <w:snapToGrid w:val="0"/>
        <w:spacing w:line="520" w:lineRule="exact"/>
        <w:ind w:left="1260" w:hanging="1260" w:hangingChars="450"/>
        <w:rPr>
          <w:rFonts w:ascii="宋体" w:hAnsi="宋体"/>
          <w:szCs w:val="28"/>
        </w:rPr>
      </w:pPr>
    </w:p>
    <w:p>
      <w:pPr>
        <w:pStyle w:val="9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供应商名称（签章）：</w:t>
      </w:r>
    </w:p>
    <w:p>
      <w:pPr>
        <w:pStyle w:val="9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供应商法定代表人（签章）：</w:t>
      </w:r>
    </w:p>
    <w:p>
      <w:pPr>
        <w:pStyle w:val="9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日期：年 月 日</w:t>
      </w:r>
    </w:p>
    <w:p>
      <w:pPr>
        <w:widowControl/>
        <w:spacing w:line="520" w:lineRule="exac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ascii="宋体" w:hAnsi="宋体" w:eastAsia="宋体" w:cs="Times New Roman"/>
          <w:sz w:val="28"/>
          <w:szCs w:val="28"/>
          <w:u w:val="single"/>
        </w:rPr>
        <w:br w:type="page"/>
      </w: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Toc41059952"/>
      <w:bookmarkStart w:id="1" w:name="_Toc41315829"/>
      <w:r>
        <w:rPr>
          <w:rFonts w:hint="eastAsia" w:ascii="方正小标宋简体" w:hAnsi="黑体" w:eastAsia="方正小标宋简体"/>
          <w:sz w:val="44"/>
          <w:szCs w:val="44"/>
        </w:rPr>
        <w:t>技术和商务条款响应、偏离说明表</w:t>
      </w:r>
      <w:bookmarkEnd w:id="0"/>
      <w:bookmarkEnd w:id="1"/>
    </w:p>
    <w:p>
      <w:pPr>
        <w:pStyle w:val="10"/>
        <w:spacing w:line="520" w:lineRule="exact"/>
        <w:rPr>
          <w:rFonts w:ascii="宋体" w:hAnsi="宋体"/>
          <w:sz w:val="28"/>
          <w:szCs w:val="28"/>
        </w:rPr>
      </w:pPr>
    </w:p>
    <w:p>
      <w:pPr>
        <w:pStyle w:val="10"/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</w:p>
    <w:p>
      <w:pPr>
        <w:pStyle w:val="10"/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155"/>
        <w:gridCol w:w="2155"/>
        <w:gridCol w:w="1526"/>
        <w:gridCol w:w="99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邀请函要求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响应文件具体响应内容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响应/偏离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响应文件中对应的页码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5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pStyle w:val="10"/>
        <w:tabs>
          <w:tab w:val="left" w:pos="426"/>
        </w:tabs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Corbel"/>
          <w:sz w:val="28"/>
          <w:szCs w:val="28"/>
        </w:rPr>
        <w:t>注：1.供应商须对照邀请函</w:t>
      </w:r>
      <w:r>
        <w:rPr>
          <w:rFonts w:hint="eastAsia" w:ascii="仿宋" w:hAnsi="仿宋" w:eastAsia="仿宋"/>
          <w:sz w:val="28"/>
          <w:szCs w:val="28"/>
        </w:rPr>
        <w:t>“ 三、采购内容”要求，进行逐条说明是否满足要求，并申明与技术规格条款的响应和偏离。</w:t>
      </w:r>
    </w:p>
    <w:p>
      <w:pPr>
        <w:pStyle w:val="10"/>
        <w:tabs>
          <w:tab w:val="left" w:pos="426"/>
        </w:tabs>
        <w:spacing w:line="52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2.技术参数中带“★”参数要求必须满足，均不得负偏离，否则为无效响应。</w:t>
      </w:r>
    </w:p>
    <w:p>
      <w:pPr>
        <w:widowControl/>
        <w:spacing w:line="520" w:lineRule="exact"/>
        <w:jc w:val="center"/>
        <w:rPr>
          <w:rFonts w:ascii="黑体" w:hAnsi="黑体" w:eastAsia="黑体"/>
        </w:rPr>
      </w:pPr>
      <w:r>
        <w:rPr>
          <w:rFonts w:hint="eastAsia" w:ascii="宋体" w:hAnsi="宋体" w:eastAsia="宋体" w:cs="Times New Roman"/>
          <w:sz w:val="28"/>
          <w:szCs w:val="28"/>
          <w:u w:val="single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</w:rPr>
        <w:t>法人代表授权书</w:t>
      </w:r>
    </w:p>
    <w:p>
      <w:pPr>
        <w:pStyle w:val="9"/>
        <w:spacing w:before="0" w:after="0" w:line="520" w:lineRule="exact"/>
        <w:rPr>
          <w:rFonts w:ascii="仿宋" w:hAnsi="仿宋" w:eastAsia="仿宋"/>
          <w:szCs w:val="28"/>
          <w:u w:val="single"/>
        </w:rPr>
      </w:pPr>
    </w:p>
    <w:p>
      <w:pPr>
        <w:pStyle w:val="9"/>
        <w:spacing w:before="0" w:after="0" w:line="52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  <w:u w:val="single"/>
        </w:rPr>
        <w:t>（采购人名称）</w:t>
      </w:r>
      <w:r>
        <w:rPr>
          <w:rFonts w:hint="eastAsia" w:ascii="仿宋" w:hAnsi="仿宋" w:eastAsia="仿宋"/>
          <w:szCs w:val="28"/>
        </w:rPr>
        <w:t>：</w:t>
      </w:r>
    </w:p>
    <w:p>
      <w:pPr>
        <w:pStyle w:val="9"/>
        <w:spacing w:line="520" w:lineRule="exact"/>
        <w:ind w:left="0"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兹授权同志为我单位参加贵单位组织的编号为</w:t>
      </w:r>
      <w:r>
        <w:rPr>
          <w:rFonts w:hint="eastAsia" w:ascii="仿宋" w:hAnsi="仿宋" w:eastAsia="仿宋"/>
          <w:szCs w:val="28"/>
          <w:u w:val="single"/>
        </w:rPr>
        <w:t>（项目编号）</w:t>
      </w:r>
      <w:r>
        <w:rPr>
          <w:rFonts w:hint="eastAsia" w:ascii="仿宋" w:hAnsi="仿宋" w:eastAsia="仿宋"/>
          <w:szCs w:val="28"/>
        </w:rPr>
        <w:t>的</w:t>
      </w:r>
      <w:r>
        <w:rPr>
          <w:rFonts w:hint="eastAsia" w:ascii="仿宋" w:hAnsi="仿宋" w:eastAsia="仿宋"/>
          <w:szCs w:val="28"/>
          <w:u w:val="single"/>
        </w:rPr>
        <w:t>（项 目 名 称）</w:t>
      </w:r>
      <w:r>
        <w:rPr>
          <w:rFonts w:hint="eastAsia" w:ascii="仿宋" w:hAnsi="仿宋" w:eastAsia="仿宋"/>
          <w:szCs w:val="28"/>
        </w:rPr>
        <w:t xml:space="preserve">采购活动的代表人，全权代表我单位处理在该项目采购活动中的一切事宜。代理期限从年月日起至年月日止。 </w:t>
      </w:r>
    </w:p>
    <w:p>
      <w:pPr>
        <w:pStyle w:val="9"/>
        <w:spacing w:line="520" w:lineRule="exact"/>
        <w:rPr>
          <w:rFonts w:ascii="仿宋" w:hAnsi="仿宋" w:eastAsia="仿宋"/>
          <w:szCs w:val="28"/>
        </w:rPr>
      </w:pPr>
    </w:p>
    <w:p>
      <w:pPr>
        <w:pStyle w:val="9"/>
        <w:spacing w:line="52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供应商名称（签章）：</w:t>
      </w:r>
    </w:p>
    <w:p>
      <w:pPr>
        <w:pStyle w:val="9"/>
        <w:spacing w:line="52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签发日期：年 月 日</w:t>
      </w:r>
    </w:p>
    <w:p>
      <w:pPr>
        <w:pStyle w:val="9"/>
        <w:spacing w:line="52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附：</w:t>
      </w:r>
    </w:p>
    <w:p>
      <w:pPr>
        <w:pStyle w:val="9"/>
        <w:spacing w:line="52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代理人工作单位：</w:t>
      </w:r>
    </w:p>
    <w:p>
      <w:pPr>
        <w:pStyle w:val="9"/>
        <w:spacing w:line="520" w:lineRule="exact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联系电话（手机）：</w:t>
      </w:r>
    </w:p>
    <w:p>
      <w:pPr>
        <w:pStyle w:val="9"/>
        <w:adjustRightInd w:val="0"/>
        <w:snapToGrid w:val="0"/>
        <w:spacing w:line="520" w:lineRule="exact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身份证号码：</w:t>
      </w:r>
    </w:p>
    <w:p>
      <w:pPr>
        <w:pStyle w:val="9"/>
        <w:adjustRightInd w:val="0"/>
        <w:snapToGrid w:val="0"/>
        <w:spacing w:line="520" w:lineRule="exact"/>
        <w:ind w:left="-134" w:leftChars="-42" w:firstLine="700" w:firstLineChars="250"/>
        <w:rPr>
          <w:rFonts w:ascii="仿宋" w:hAnsi="仿宋" w:eastAsia="仿宋"/>
          <w:szCs w:val="28"/>
          <w:u w:val="single"/>
        </w:rPr>
      </w:pPr>
    </w:p>
    <w:tbl>
      <w:tblPr>
        <w:tblStyle w:val="7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spacing w:line="52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粘贴被授权人身份证（扫描件）</w:t>
            </w:r>
          </w:p>
        </w:tc>
      </w:tr>
    </w:tbl>
    <w:p>
      <w:pPr>
        <w:pStyle w:val="9"/>
        <w:autoSpaceDE w:val="0"/>
        <w:autoSpaceDN w:val="0"/>
        <w:spacing w:line="520" w:lineRule="exact"/>
        <w:ind w:left="0" w:firstLine="0"/>
        <w:rPr>
          <w:rFonts w:ascii="宋体" w:hAnsi="宋体"/>
          <w:szCs w:val="28"/>
        </w:rPr>
      </w:pPr>
    </w:p>
    <w:p>
      <w:pPr>
        <w:pStyle w:val="13"/>
        <w:spacing w:line="520" w:lineRule="exact"/>
      </w:pPr>
      <w:r>
        <w:rPr>
          <w:szCs w:val="28"/>
        </w:rPr>
        <w:br w:type="page"/>
      </w:r>
      <w:bookmarkStart w:id="2" w:name="_Toc52098418"/>
      <w:bookmarkStart w:id="3" w:name="_Toc494840191"/>
      <w:r>
        <w:rPr>
          <w:rFonts w:hint="eastAsia" w:ascii="方正小标宋简体" w:hAnsi="黑体" w:eastAsia="方正小标宋简体" w:cs="仿宋_GB2312"/>
          <w:b w:val="0"/>
          <w:kern w:val="40"/>
          <w:sz w:val="44"/>
          <w:szCs w:val="44"/>
        </w:rPr>
        <w:t>中小企业声明函</w:t>
      </w:r>
      <w:bookmarkEnd w:id="2"/>
      <w:bookmarkEnd w:id="3"/>
    </w:p>
    <w:p>
      <w:pPr>
        <w:pStyle w:val="11"/>
        <w:adjustRightInd w:val="0"/>
        <w:snapToGrid w:val="0"/>
        <w:spacing w:line="300" w:lineRule="exact"/>
        <w:jc w:val="center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（适用于服务类项目）</w:t>
      </w:r>
    </w:p>
    <w:p>
      <w:pPr>
        <w:pStyle w:val="11"/>
        <w:adjustRightInd w:val="0"/>
        <w:snapToGrid w:val="0"/>
        <w:spacing w:line="300" w:lineRule="exact"/>
        <w:rPr>
          <w:rFonts w:ascii="仿宋" w:hAnsi="仿宋" w:eastAsia="仿宋"/>
          <w:sz w:val="24"/>
          <w:szCs w:val="21"/>
        </w:rPr>
      </w:pPr>
    </w:p>
    <w:p>
      <w:pPr>
        <w:pStyle w:val="11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（采购人名称）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11"/>
        <w:spacing w:line="52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本公司郑重声明，根据《政府采购促进中小企业发展暂行办法》（财库〔2011〕181号）的规定，本公司为______（请填写：中型、小型、微型）企业。本公司同时满足以下条件：</w:t>
      </w:r>
    </w:p>
    <w:p>
      <w:pPr>
        <w:pStyle w:val="11"/>
        <w:spacing w:line="52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根据《工业和信息化部、国家统计局、国家发展和改革委员会、财政部关于印发中小企业划型标准规定的通知》（工信部联企业〔2011〕300号）规定的划分标准（详见《中小企业划型标准》），本公司为______（请填写：中型、小型、微型）企业。</w:t>
      </w:r>
    </w:p>
    <w:p>
      <w:pPr>
        <w:pStyle w:val="11"/>
        <w:spacing w:line="52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2.本公司参加</w:t>
      </w:r>
      <w:r>
        <w:rPr>
          <w:rFonts w:hint="eastAsia" w:ascii="仿宋" w:hAnsi="仿宋" w:eastAsia="仿宋"/>
          <w:sz w:val="28"/>
          <w:szCs w:val="28"/>
          <w:u w:val="single"/>
        </w:rPr>
        <w:t>（采购人）</w:t>
      </w:r>
      <w:r>
        <w:rPr>
          <w:rFonts w:hint="eastAsia" w:ascii="仿宋" w:hAnsi="仿宋" w:eastAsia="仿宋"/>
          <w:sz w:val="28"/>
          <w:szCs w:val="28"/>
        </w:rPr>
        <w:t>的项目（项目编号：______）采购活动由本企业承担工程（或提供服务）。</w:t>
      </w:r>
    </w:p>
    <w:p>
      <w:pPr>
        <w:pStyle w:val="11"/>
        <w:spacing w:line="52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本公司对上述声明的真实性负责。如有虚假，将依法承担相应责任。</w:t>
      </w:r>
    </w:p>
    <w:p>
      <w:pPr>
        <w:pStyle w:val="11"/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pStyle w:val="11"/>
        <w:spacing w:line="520" w:lineRule="exact"/>
        <w:ind w:left="1109" w:hanging="1108" w:hangingChars="3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说明：1.组成联合体的大中型企业和其他自然人、法人或者其他组织，与小型、微型企业之间不得存在投资关系。</w:t>
      </w:r>
    </w:p>
    <w:p>
      <w:pPr>
        <w:pStyle w:val="11"/>
        <w:tabs>
          <w:tab w:val="left" w:pos="882"/>
        </w:tabs>
        <w:spacing w:line="520" w:lineRule="exact"/>
        <w:ind w:left="1137" w:leftChars="273" w:hanging="263" w:hangingChars="9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2.以联合体方式参与项目投标的供应商，应由联合体双方签字盖章。</w:t>
      </w:r>
    </w:p>
    <w:p>
      <w:pPr>
        <w:pStyle w:val="11"/>
        <w:spacing w:after="100" w:afterAutospacing="1" w:line="520" w:lineRule="exact"/>
        <w:ind w:firstLine="3885" w:firstLineChars="1382"/>
        <w:rPr>
          <w:rFonts w:ascii="仿宋" w:hAnsi="仿宋" w:eastAsia="仿宋" w:cs="Corbel"/>
          <w:b/>
          <w:sz w:val="28"/>
          <w:szCs w:val="28"/>
        </w:rPr>
      </w:pPr>
    </w:p>
    <w:p>
      <w:pPr>
        <w:pStyle w:val="11"/>
        <w:spacing w:after="100" w:afterAutospacing="1" w:line="520" w:lineRule="exact"/>
        <w:ind w:firstLine="3869" w:firstLineChars="1382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Corbel"/>
          <w:bCs/>
          <w:sz w:val="28"/>
          <w:szCs w:val="28"/>
        </w:rPr>
        <w:t>供应商</w:t>
      </w:r>
      <w:r>
        <w:rPr>
          <w:rFonts w:hint="eastAsia" w:ascii="仿宋" w:hAnsi="仿宋" w:eastAsia="仿宋"/>
          <w:bCs/>
          <w:sz w:val="28"/>
          <w:szCs w:val="28"/>
        </w:rPr>
        <w:t>（公章）：</w:t>
      </w:r>
    </w:p>
    <w:p>
      <w:pPr>
        <w:pStyle w:val="11"/>
        <w:spacing w:before="100" w:beforeAutospacing="1" w:after="100" w:afterAutospacing="1" w:line="520" w:lineRule="exact"/>
        <w:ind w:firstLine="3869" w:firstLineChars="1382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Corbel"/>
          <w:bCs/>
          <w:sz w:val="28"/>
          <w:szCs w:val="28"/>
        </w:rPr>
        <w:t>供应商</w:t>
      </w:r>
      <w:r>
        <w:rPr>
          <w:rFonts w:hint="eastAsia" w:ascii="仿宋" w:hAnsi="仿宋" w:eastAsia="仿宋"/>
          <w:bCs/>
          <w:sz w:val="28"/>
          <w:szCs w:val="28"/>
        </w:rPr>
        <w:t>授权代表（签字）：</w:t>
      </w:r>
    </w:p>
    <w:p>
      <w:pPr>
        <w:pStyle w:val="11"/>
        <w:spacing w:before="100" w:beforeAutospacing="1" w:after="100" w:afterAutospacing="1" w:line="520" w:lineRule="exact"/>
        <w:ind w:firstLine="3869" w:firstLineChars="1382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日期：年 月 日</w:t>
      </w:r>
    </w:p>
    <w:p>
      <w:pPr>
        <w:widowControl/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443"/>
    <w:rsid w:val="00126EBA"/>
    <w:rsid w:val="00142D37"/>
    <w:rsid w:val="00146A24"/>
    <w:rsid w:val="00283FF6"/>
    <w:rsid w:val="00300AA5"/>
    <w:rsid w:val="003063CE"/>
    <w:rsid w:val="00597486"/>
    <w:rsid w:val="005A0854"/>
    <w:rsid w:val="006748D3"/>
    <w:rsid w:val="006F2A6D"/>
    <w:rsid w:val="00886D00"/>
    <w:rsid w:val="008E41A4"/>
    <w:rsid w:val="009A4885"/>
    <w:rsid w:val="00A04872"/>
    <w:rsid w:val="00AC1562"/>
    <w:rsid w:val="00B24C42"/>
    <w:rsid w:val="00B37005"/>
    <w:rsid w:val="00B4278C"/>
    <w:rsid w:val="00BE6962"/>
    <w:rsid w:val="00C124B3"/>
    <w:rsid w:val="00C8044B"/>
    <w:rsid w:val="00D61443"/>
    <w:rsid w:val="00F90F75"/>
    <w:rsid w:val="00FB1898"/>
    <w:rsid w:val="00FC2960"/>
    <w:rsid w:val="01132E71"/>
    <w:rsid w:val="171647D8"/>
    <w:rsid w:val="1A8934FF"/>
    <w:rsid w:val="1A8C66EC"/>
    <w:rsid w:val="21B40881"/>
    <w:rsid w:val="36F26939"/>
    <w:rsid w:val="441F63AC"/>
    <w:rsid w:val="49B71B35"/>
    <w:rsid w:val="54B36EB7"/>
    <w:rsid w:val="58974989"/>
    <w:rsid w:val="5BC4600C"/>
    <w:rsid w:val="77402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40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line="360" w:lineRule="auto"/>
      <w:ind w:firstLine="602"/>
      <w:jc w:val="left"/>
      <w:outlineLvl w:val="1"/>
    </w:pPr>
    <w:rPr>
      <w:rFonts w:hAnsi="Calibri" w:cs="Times New Roman"/>
      <w:b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99"/>
    <w:rPr>
      <w:rFonts w:ascii="宋体" w:hAnsi="Times New Roman" w:eastAsia="宋体" w:cs="Times New Roman"/>
      <w:kern w:val="2"/>
      <w:sz w:val="21"/>
      <w:szCs w:val="21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_0_1"/>
    <w:qFormat/>
    <w:uiPriority w:val="0"/>
    <w:pPr>
      <w:spacing w:before="120" w:after="120" w:line="360" w:lineRule="auto"/>
      <w:ind w:left="1072" w:hanging="1072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10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纯文本_0"/>
    <w:basedOn w:val="11"/>
    <w:qFormat/>
    <w:uiPriority w:val="0"/>
    <w:rPr>
      <w:rFonts w:ascii="宋体" w:hAnsi="Courier New"/>
      <w:szCs w:val="21"/>
    </w:rPr>
  </w:style>
  <w:style w:type="paragraph" w:customStyle="1" w:styleId="13">
    <w:name w:val="标题 3_0"/>
    <w:basedOn w:val="9"/>
    <w:next w:val="9"/>
    <w:qFormat/>
    <w:uiPriority w:val="0"/>
    <w:pPr>
      <w:adjustRightInd w:val="0"/>
      <w:snapToGrid w:val="0"/>
      <w:spacing w:line="500" w:lineRule="exact"/>
      <w:ind w:left="0" w:firstLine="0"/>
      <w:jc w:val="center"/>
      <w:outlineLvl w:val="2"/>
    </w:pPr>
    <w:rPr>
      <w:rFonts w:ascii="宋体" w:hAnsi="宋体"/>
      <w:b/>
      <w:sz w:val="32"/>
      <w:szCs w:val="32"/>
    </w:rPr>
  </w:style>
  <w:style w:type="paragraph" w:customStyle="1" w:styleId="14">
    <w:name w:val="纯文本_0_0"/>
    <w:basedOn w:val="10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15">
    <w:name w:val="正文_0_0_0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6">
    <w:name w:val="普通(网站)_0"/>
    <w:basedOn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8"/>
    <w:link w:val="6"/>
    <w:qFormat/>
    <w:uiPriority w:val="0"/>
    <w:rPr>
      <w:rFonts w:ascii="仿宋_GB2312" w:hAnsi="仿宋_GB2312" w:eastAsia="仿宋_GB2312" w:cs="仿宋_GB2312"/>
      <w:kern w:val="40"/>
      <w:sz w:val="18"/>
      <w:szCs w:val="18"/>
    </w:rPr>
  </w:style>
  <w:style w:type="character" w:customStyle="1" w:styleId="19">
    <w:name w:val="页脚 Char"/>
    <w:basedOn w:val="8"/>
    <w:link w:val="5"/>
    <w:qFormat/>
    <w:uiPriority w:val="0"/>
    <w:rPr>
      <w:rFonts w:ascii="仿宋_GB2312" w:hAnsi="仿宋_GB2312" w:eastAsia="仿宋_GB2312" w:cs="仿宋_GB2312"/>
      <w:kern w:val="40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728</Words>
  <Characters>4151</Characters>
  <Lines>34</Lines>
  <Paragraphs>9</Paragraphs>
  <TotalTime>59</TotalTime>
  <ScaleCrop>false</ScaleCrop>
  <LinksUpToDate>false</LinksUpToDate>
  <CharactersWithSpaces>4870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2021-09-24T00:53:01Z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4A36311C568144089D124BA7B5D06EA2</vt:lpwstr>
  </property>
</Properties>
</file>