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u w:val="single"/>
          <w:lang w:eastAsia="zh-CN"/>
        </w:rPr>
        <w:t>全自动电脑视野仪</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ascii="黑体" w:hAnsi="黑体" w:eastAsia="黑体"/>
          <w:lang w:eastAsia="zh-CN"/>
        </w:rPr>
        <w:t>全自动电脑视野仪</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：全自动电脑视野仪</w:t>
      </w:r>
    </w:p>
    <w:p>
      <w:pPr>
        <w:spacing w:line="520" w:lineRule="exact"/>
        <w:ind w:firstLine="640" w:firstLineChars="200"/>
        <w:jc w:val="left"/>
        <w:rPr>
          <w:rFonts w:hint="default" w:eastAsia="仿宋_GB2312"/>
          <w:lang w:val="en-US" w:eastAsia="zh-CN"/>
        </w:rPr>
      </w:pPr>
      <w:r>
        <w:rPr>
          <w:rFonts w:hint="eastAsia"/>
        </w:rPr>
        <w:t>（二）采购需求一览表</w:t>
      </w:r>
      <w:r>
        <w:rPr>
          <w:rFonts w:hint="eastAsia"/>
          <w:lang w:eastAsia="zh-CN"/>
        </w:rPr>
        <w:t>：全自动电脑视野仪</w:t>
      </w:r>
      <w:r>
        <w:rPr>
          <w:rFonts w:hint="eastAsia"/>
          <w:lang w:val="en-US" w:eastAsia="zh-CN"/>
        </w:rPr>
        <w:t>1台</w:t>
      </w: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right="0" w:rightChars="0"/>
        <w:jc w:val="both"/>
        <w:textAlignment w:val="auto"/>
        <w:outlineLvl w:val="9"/>
        <w:rPr>
          <w:rFonts w:hint="eastAsia" w:ascii="宋体" w:hAnsi="宋体"/>
          <w:b/>
          <w:bCs/>
          <w:sz w:val="21"/>
          <w:szCs w:val="21"/>
        </w:rPr>
      </w:pPr>
      <w:r>
        <w:rPr>
          <w:rFonts w:hint="eastAsia" w:ascii="宋体" w:hAnsi="宋体"/>
          <w:b/>
          <w:sz w:val="21"/>
          <w:szCs w:val="21"/>
        </w:rPr>
        <w:t>技术参数：</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检测范围：90°</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检测距离：30cm</w:t>
      </w:r>
    </w:p>
    <w:p>
      <w:pPr>
        <w:spacing w:line="360" w:lineRule="exac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视标亮度：0.08asb—10000asb（ 0-51db）</w:t>
      </w:r>
      <w:r>
        <w:rPr>
          <w:rFonts w:hint="eastAsia" w:ascii="宋体" w:hAnsi="宋体"/>
          <w:sz w:val="21"/>
          <w:szCs w:val="21"/>
          <w:lang w:val="en-US" w:eastAsia="zh-CN"/>
        </w:rPr>
        <w:t xml:space="preserve">  </w:t>
      </w:r>
      <w:r>
        <w:rPr>
          <w:rFonts w:hint="eastAsia" w:ascii="Arial" w:hAnsi="Arial"/>
          <w:bCs/>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18"/>
          <w:szCs w:val="18"/>
        </w:rPr>
      </w:pPr>
      <w:r>
        <w:rPr>
          <w:rFonts w:hint="eastAsia" w:ascii="宋体" w:hAnsi="宋体"/>
          <w:sz w:val="21"/>
          <w:szCs w:val="21"/>
        </w:rPr>
        <w:t>视标尺寸：</w:t>
      </w:r>
      <w:r>
        <w:rPr>
          <w:rFonts w:ascii="宋体" w:hAnsi="宋体"/>
          <w:color w:val="000000"/>
          <w:sz w:val="21"/>
          <w:szCs w:val="21"/>
        </w:rPr>
        <w:t>Goldmann</w:t>
      </w:r>
      <w:r>
        <w:rPr>
          <w:rFonts w:hint="eastAsia" w:ascii="宋体" w:hAnsi="宋体"/>
          <w:sz w:val="18"/>
          <w:szCs w:val="18"/>
        </w:rPr>
        <w:t>Ⅰ-Ⅴ</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rPr>
        <w:t>背景光亮度：白色31.5asb、黄色315asb</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18"/>
          <w:szCs w:val="18"/>
        </w:rPr>
      </w:pPr>
      <w:r>
        <w:rPr>
          <w:rFonts w:hint="eastAsia" w:ascii="宋体" w:hAnsi="宋体"/>
          <w:sz w:val="21"/>
          <w:szCs w:val="21"/>
        </w:rPr>
        <w:t>视标呈现时间：200ms</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default" w:ascii="宋体" w:hAnsi="宋体" w:eastAsia="宋体"/>
          <w:sz w:val="21"/>
          <w:szCs w:val="21"/>
          <w:lang w:val="en-US" w:eastAsia="zh-CN"/>
        </w:rPr>
      </w:pPr>
      <w:r>
        <w:rPr>
          <w:rFonts w:hint="eastAsia" w:ascii="宋体" w:hAnsi="宋体"/>
          <w:sz w:val="21"/>
          <w:szCs w:val="21"/>
          <w:lang w:val="en-US" w:eastAsia="zh-CN"/>
        </w:rPr>
        <w:t>4.</w:t>
      </w:r>
      <w:r>
        <w:rPr>
          <w:rFonts w:ascii="宋体" w:hAnsi="宋体"/>
          <w:sz w:val="28"/>
          <w:szCs w:val="28"/>
        </w:rPr>
        <w:t>★</w:t>
      </w:r>
      <w:r>
        <w:rPr>
          <w:rFonts w:hint="eastAsia" w:ascii="宋体" w:hAnsi="宋体"/>
          <w:sz w:val="21"/>
          <w:szCs w:val="21"/>
          <w:lang w:val="en-US" w:eastAsia="zh-CN"/>
        </w:rPr>
        <w:t xml:space="preserve">测试光源：包含400nm-700nm范围标准卤素灯光源   </w:t>
      </w:r>
      <w:r>
        <w:rPr>
          <w:rFonts w:hint="eastAsia" w:ascii="Arial" w:hAnsi="Arial"/>
          <w:bCs/>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rPr>
        <w:t>阈值程序： 5°-16点、10°-68点、24-2、30-2、60-4、鼻侧阶梯程序</w:t>
      </w:r>
    </w:p>
    <w:p>
      <w:pPr>
        <w:numPr>
          <w:ilvl w:val="0"/>
          <w:numId w:val="2"/>
        </w:numPr>
        <w:spacing w:line="360" w:lineRule="exact"/>
        <w:rPr>
          <w:rFonts w:hint="eastAsia" w:ascii="宋体" w:hAnsi="宋体"/>
          <w:sz w:val="21"/>
          <w:szCs w:val="21"/>
          <w:lang w:val="en-US" w:eastAsia="zh-CN"/>
        </w:rPr>
      </w:pPr>
      <w:r>
        <w:rPr>
          <w:rFonts w:hint="eastAsia" w:ascii="宋体" w:hAnsi="宋体"/>
          <w:sz w:val="21"/>
          <w:szCs w:val="21"/>
        </w:rPr>
        <w:t>阈值检测策略：全阈值策略、智能交互式策略、快速智能交互式策略</w:t>
      </w:r>
      <w:r>
        <w:rPr>
          <w:rFonts w:hint="eastAsia" w:ascii="宋体" w:hAnsi="宋体"/>
          <w:sz w:val="21"/>
          <w:szCs w:val="21"/>
          <w:lang w:val="en-US" w:eastAsia="zh-CN"/>
        </w:rPr>
        <w:t xml:space="preserve"> </w:t>
      </w:r>
    </w:p>
    <w:p>
      <w:pPr>
        <w:numPr>
          <w:ilvl w:val="0"/>
          <w:numId w:val="0"/>
        </w:numPr>
        <w:spacing w:line="360" w:lineRule="exact"/>
        <w:rPr>
          <w:rFonts w:hint="eastAsia" w:ascii="宋体" w:hAnsi="宋体"/>
          <w:sz w:val="21"/>
          <w:szCs w:val="21"/>
        </w:rPr>
      </w:pPr>
      <w:r>
        <w:rPr>
          <w:rFonts w:hint="eastAsia" w:ascii="宋体" w:hAnsi="宋体"/>
          <w:sz w:val="21"/>
          <w:szCs w:val="21"/>
          <w:lang w:val="en-US" w:eastAsia="zh-CN"/>
        </w:rPr>
        <w:t xml:space="preserve">含：SITA标准、SITA快速、FastPac、SITA-SWAP等  </w:t>
      </w:r>
      <w:r>
        <w:rPr>
          <w:rFonts w:hint="eastAsia" w:ascii="Arial" w:hAnsi="Arial"/>
          <w:bCs/>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lang w:val="en-US" w:eastAsia="zh-CN"/>
        </w:rPr>
        <w:t>6.</w:t>
      </w:r>
      <w:r>
        <w:rPr>
          <w:rFonts w:ascii="宋体" w:hAnsi="宋体"/>
          <w:sz w:val="28"/>
          <w:szCs w:val="28"/>
        </w:rPr>
        <w:t>★</w:t>
      </w:r>
      <w:r>
        <w:rPr>
          <w:rFonts w:hint="eastAsia" w:ascii="宋体" w:hAnsi="宋体"/>
          <w:sz w:val="21"/>
          <w:szCs w:val="21"/>
        </w:rPr>
        <w:t>阈上值检测程序：C-40、C-76、FF-81、FF-120、FF-135、P-60、C-</w:t>
      </w:r>
      <w:r>
        <w:rPr>
          <w:rFonts w:ascii="宋体" w:hAnsi="宋体"/>
          <w:color w:val="000000"/>
          <w:sz w:val="21"/>
          <w:szCs w:val="21"/>
        </w:rPr>
        <w:t>Armaly</w:t>
      </w:r>
      <w:r>
        <w:rPr>
          <w:rFonts w:hint="eastAsia" w:ascii="宋体" w:hAnsi="宋体"/>
          <w:color w:val="000000"/>
          <w:sz w:val="21"/>
          <w:szCs w:val="21"/>
          <w:lang w:eastAsia="zh-CN"/>
        </w:rPr>
        <w:t>、</w:t>
      </w:r>
      <w:r>
        <w:rPr>
          <w:rFonts w:hint="eastAsia" w:ascii="宋体" w:hAnsi="宋体"/>
          <w:color w:val="000000"/>
          <w:sz w:val="21"/>
          <w:szCs w:val="21"/>
          <w:lang w:val="en-US" w:eastAsia="zh-CN"/>
        </w:rPr>
        <w:t>FF-246、FF-Aramly</w:t>
      </w:r>
      <w:r>
        <w:rPr>
          <w:rFonts w:hint="eastAsia" w:ascii="宋体" w:hAnsi="宋体"/>
          <w:sz w:val="21"/>
          <w:szCs w:val="21"/>
        </w:rPr>
        <w:t>等</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default" w:ascii="宋体" w:hAnsi="宋体" w:eastAsia="宋体"/>
          <w:sz w:val="21"/>
          <w:szCs w:val="21"/>
          <w:lang w:val="en-US" w:eastAsia="zh-CN"/>
        </w:rPr>
      </w:pPr>
      <w:r>
        <w:rPr>
          <w:rFonts w:hint="eastAsia" w:ascii="宋体" w:hAnsi="宋体"/>
          <w:sz w:val="21"/>
          <w:szCs w:val="21"/>
          <w:lang w:val="en-US" w:eastAsia="zh-CN"/>
        </w:rPr>
        <w:t>7.</w:t>
      </w:r>
      <w:r>
        <w:rPr>
          <w:rFonts w:ascii="宋体" w:hAnsi="宋体"/>
          <w:sz w:val="28"/>
          <w:szCs w:val="28"/>
        </w:rPr>
        <w:t>★</w:t>
      </w:r>
      <w:r>
        <w:rPr>
          <w:rFonts w:hint="eastAsia" w:ascii="宋体" w:hAnsi="宋体"/>
          <w:sz w:val="21"/>
          <w:szCs w:val="21"/>
        </w:rPr>
        <w:t>阈上值检测策略：二区法、三区法、量化缺损</w:t>
      </w:r>
      <w:r>
        <w:rPr>
          <w:rFonts w:hint="eastAsia" w:ascii="宋体" w:hAnsi="宋体"/>
          <w:sz w:val="21"/>
          <w:szCs w:val="21"/>
          <w:lang w:eastAsia="zh-CN"/>
        </w:rPr>
        <w:t>、</w:t>
      </w:r>
      <w:r>
        <w:rPr>
          <w:rFonts w:hint="eastAsia" w:ascii="宋体" w:hAnsi="宋体"/>
          <w:sz w:val="21"/>
          <w:szCs w:val="21"/>
          <w:lang w:val="en-US" w:eastAsia="zh-CN"/>
        </w:rPr>
        <w:t>年龄修正、单刺激</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特殊检测程序：Estemann单眼、Estemann双眼、上半部36、上半部64</w:t>
      </w:r>
    </w:p>
    <w:p>
      <w:pPr>
        <w:spacing w:line="360" w:lineRule="exact"/>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蓝黄视野检查：440nm蓝色V号光标+OD530黄色背景光</w:t>
      </w: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动态视野检查：标准动态、盲区动态、暗区动态、静点动态</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lang w:val="en-US" w:eastAsia="zh-CN"/>
        </w:rPr>
        <w:t>11.</w:t>
      </w:r>
      <w:r>
        <w:rPr>
          <w:rFonts w:hint="eastAsia" w:ascii="宋体" w:hAnsi="宋体"/>
          <w:sz w:val="21"/>
          <w:szCs w:val="21"/>
        </w:rPr>
        <w:t>自定义程序：预留</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彩色视野：红色、蓝色</w:t>
      </w:r>
    </w:p>
    <w:p>
      <w:pPr>
        <w:spacing w:line="360" w:lineRule="exact"/>
        <w:rPr>
          <w:rFonts w:hint="eastAsia" w:ascii="宋体" w:hAnsi="宋体"/>
          <w:bCs/>
          <w:color w:val="000000"/>
          <w:sz w:val="21"/>
          <w:szCs w:val="21"/>
        </w:rPr>
      </w:pPr>
      <w:r>
        <w:rPr>
          <w:rFonts w:hint="eastAsia" w:ascii="宋体" w:hAnsi="宋体"/>
          <w:sz w:val="21"/>
          <w:szCs w:val="21"/>
          <w:lang w:val="en-US" w:eastAsia="zh-CN"/>
        </w:rPr>
        <w:t>13.</w:t>
      </w:r>
      <w:r>
        <w:rPr>
          <w:rFonts w:hint="eastAsia" w:ascii="宋体" w:hAnsi="宋体"/>
          <w:sz w:val="21"/>
          <w:szCs w:val="21"/>
        </w:rPr>
        <w:t>固视监测：</w:t>
      </w:r>
      <w:r>
        <w:rPr>
          <w:rFonts w:ascii="宋体" w:hAnsi="宋体"/>
          <w:color w:val="000000"/>
          <w:sz w:val="21"/>
          <w:szCs w:val="21"/>
        </w:rPr>
        <w:t>Heijl/Krakau</w:t>
      </w:r>
      <w:r>
        <w:rPr>
          <w:rFonts w:hint="eastAsia" w:ascii="宋体" w:hAnsi="宋体"/>
          <w:color w:val="000000"/>
          <w:sz w:val="21"/>
          <w:szCs w:val="21"/>
        </w:rPr>
        <w:t>盲点检测、头位监测、视频实时动态监视、自动眼位校准、眼位偏移曲线、</w:t>
      </w:r>
      <w:r>
        <w:rPr>
          <w:rFonts w:hint="eastAsia" w:ascii="宋体" w:hAnsi="宋体"/>
          <w:bCs/>
          <w:color w:val="000000"/>
          <w:sz w:val="21"/>
          <w:szCs w:val="21"/>
        </w:rPr>
        <w:t>眼位偏移报警、瞳孔直径测量</w:t>
      </w:r>
      <w:r>
        <w:rPr>
          <w:rFonts w:hint="eastAsia" w:ascii="宋体" w:hAnsi="宋体"/>
          <w:bCs/>
          <w:color w:val="000000"/>
          <w:sz w:val="21"/>
          <w:szCs w:val="21"/>
          <w:lang w:val="en-US" w:eastAsia="zh-CN"/>
        </w:rPr>
        <w:t xml:space="preserve"> 、自动瞳孔测量 </w:t>
      </w:r>
      <w:r>
        <w:rPr>
          <w:rFonts w:hint="eastAsia" w:ascii="Arial" w:hAnsi="Arial"/>
          <w:bCs/>
          <w:szCs w:val="28"/>
        </w:rPr>
        <w:t xml:space="preserve"> </w:t>
      </w:r>
    </w:p>
    <w:p>
      <w:pPr>
        <w:spacing w:line="360" w:lineRule="exact"/>
        <w:ind w:left="1050" w:hanging="1050" w:hangingChars="500"/>
        <w:rPr>
          <w:rFonts w:hint="eastAsia" w:ascii="Arial" w:hAnsi="Arial"/>
          <w:bCs/>
          <w:szCs w:val="28"/>
        </w:rPr>
      </w:pPr>
      <w:r>
        <w:rPr>
          <w:rFonts w:hint="eastAsia" w:ascii="宋体" w:hAnsi="宋体"/>
          <w:sz w:val="21"/>
          <w:szCs w:val="21"/>
          <w:lang w:val="en-US" w:eastAsia="zh-CN"/>
        </w:rPr>
        <w:t>14.</w:t>
      </w:r>
      <w:r>
        <w:rPr>
          <w:rFonts w:hint="eastAsia" w:ascii="宋体" w:hAnsi="宋体"/>
          <w:sz w:val="21"/>
          <w:szCs w:val="21"/>
        </w:rPr>
        <w:t>分析软件：可信性分析、单报告分析、多报告分析、青光眼半视野分析、青光眼进展分析、VFI视野指数分析、蓝黄视野分析</w:t>
      </w:r>
      <w:r>
        <w:rPr>
          <w:rFonts w:hint="eastAsia" w:ascii="宋体" w:hAnsi="宋体"/>
          <w:sz w:val="21"/>
          <w:szCs w:val="21"/>
          <w:lang w:eastAsia="zh-CN"/>
        </w:rPr>
        <w:t>、</w:t>
      </w:r>
      <w:r>
        <w:rPr>
          <w:rFonts w:hint="eastAsia" w:ascii="宋体" w:hAnsi="宋体"/>
          <w:sz w:val="21"/>
          <w:szCs w:val="21"/>
          <w:lang w:val="en-US" w:eastAsia="zh-CN"/>
        </w:rPr>
        <w:t xml:space="preserve">SITA-SWAP快速蓝黄视野分析   </w:t>
      </w:r>
      <w:r>
        <w:rPr>
          <w:rFonts w:hint="eastAsia" w:ascii="Arial" w:hAnsi="Arial"/>
          <w:bCs/>
          <w:szCs w:val="28"/>
        </w:rPr>
        <w:t xml:space="preserve"> </w:t>
      </w:r>
    </w:p>
    <w:p>
      <w:pPr>
        <w:spacing w:line="360" w:lineRule="exact"/>
        <w:ind w:left="1050" w:hanging="1050" w:hangingChars="500"/>
        <w:rPr>
          <w:rFonts w:hint="eastAsia" w:ascii="Arial" w:hAnsi="Arial"/>
          <w:bCs/>
          <w:szCs w:val="28"/>
          <w:lang w:eastAsia="zh-CN"/>
        </w:rPr>
      </w:pPr>
      <w:r>
        <w:rPr>
          <w:rFonts w:hint="eastAsia" w:ascii="宋体" w:hAnsi="宋体"/>
          <w:sz w:val="21"/>
          <w:szCs w:val="21"/>
          <w:lang w:val="en-US" w:eastAsia="zh-CN"/>
        </w:rPr>
        <w:t>15.</w:t>
      </w:r>
      <w:r>
        <w:rPr>
          <w:rFonts w:hint="eastAsia" w:ascii="宋体" w:hAnsi="宋体"/>
          <w:sz w:val="28"/>
          <w:szCs w:val="28"/>
        </w:rPr>
        <w:t>★</w:t>
      </w:r>
      <w:r>
        <w:rPr>
          <w:rFonts w:hint="eastAsia" w:ascii="宋体" w:hAnsi="宋体"/>
          <w:sz w:val="21"/>
          <w:szCs w:val="21"/>
          <w:lang w:eastAsia="zh-CN"/>
        </w:rPr>
        <w:t>体检用检查分析策略：</w:t>
      </w:r>
      <w:r>
        <w:rPr>
          <w:rFonts w:hint="eastAsia" w:ascii="宋体" w:hAnsi="宋体"/>
          <w:sz w:val="21"/>
          <w:szCs w:val="21"/>
          <w:lang w:val="en-US" w:eastAsia="zh-CN"/>
        </w:rPr>
        <w:t xml:space="preserve">  </w:t>
      </w:r>
    </w:p>
    <w:p>
      <w:pPr>
        <w:spacing w:line="500" w:lineRule="exact"/>
        <w:rPr>
          <w:rFonts w:hint="eastAsia" w:ascii="宋体" w:hAnsi="宋体"/>
          <w:sz w:val="21"/>
          <w:szCs w:val="21"/>
        </w:rPr>
      </w:pPr>
      <w:r>
        <w:rPr>
          <w:rFonts w:hint="eastAsia" w:ascii="宋体" w:hAnsi="宋体"/>
          <w:sz w:val="21"/>
          <w:szCs w:val="21"/>
        </w:rPr>
        <w:t xml:space="preserve">水平直线视野检测程序：精准检查一条直线上的水平视野150°~160°  </w:t>
      </w:r>
      <w:r>
        <w:rPr>
          <w:rFonts w:hint="eastAsia" w:ascii="宋体" w:hAnsi="宋体"/>
          <w:sz w:val="21"/>
          <w:szCs w:val="21"/>
          <w:lang w:val="en-US" w:eastAsia="zh-CN"/>
        </w:rPr>
        <w:t xml:space="preserve">    </w:t>
      </w:r>
    </w:p>
    <w:p>
      <w:pPr>
        <w:spacing w:line="500" w:lineRule="exact"/>
        <w:rPr>
          <w:rFonts w:hint="eastAsia" w:ascii="宋体" w:hAnsi="宋体"/>
          <w:sz w:val="21"/>
          <w:szCs w:val="21"/>
        </w:rPr>
      </w:pPr>
      <w:r>
        <w:rPr>
          <w:rFonts w:hint="eastAsia" w:ascii="宋体" w:hAnsi="宋体"/>
          <w:sz w:val="21"/>
          <w:szCs w:val="21"/>
        </w:rPr>
        <w:t xml:space="preserve">单眼快速筛查程序：水平视野检查范围160°，垂直视野检查范围100°   </w:t>
      </w:r>
      <w:r>
        <w:rPr>
          <w:rFonts w:hint="eastAsia" w:ascii="宋体" w:hAnsi="宋体"/>
          <w:sz w:val="21"/>
          <w:szCs w:val="21"/>
          <w:lang w:val="en-US" w:eastAsia="zh-CN"/>
        </w:rPr>
        <w:t xml:space="preserve">  </w:t>
      </w:r>
      <w:r>
        <w:rPr>
          <w:rFonts w:hint="eastAsia" w:ascii="宋体" w:hAnsi="宋体"/>
          <w:sz w:val="21"/>
          <w:szCs w:val="21"/>
        </w:rPr>
        <w:t xml:space="preserve"> </w:t>
      </w:r>
    </w:p>
    <w:p>
      <w:pPr>
        <w:spacing w:line="500" w:lineRule="exact"/>
        <w:rPr>
          <w:rFonts w:hint="eastAsia" w:ascii="宋体" w:hAnsi="宋体"/>
          <w:sz w:val="21"/>
          <w:szCs w:val="21"/>
        </w:rPr>
      </w:pPr>
      <w:r>
        <w:rPr>
          <w:rFonts w:hint="eastAsia" w:ascii="宋体" w:hAnsi="宋体"/>
          <w:sz w:val="21"/>
          <w:szCs w:val="21"/>
        </w:rPr>
        <w:t>标准视野</w:t>
      </w:r>
      <w:r>
        <w:rPr>
          <w:rFonts w:hint="eastAsia" w:ascii="宋体" w:hAnsi="宋体"/>
          <w:sz w:val="21"/>
          <w:szCs w:val="21"/>
          <w:lang w:eastAsia="zh-CN"/>
        </w:rPr>
        <w:t>筛查</w:t>
      </w:r>
      <w:r>
        <w:rPr>
          <w:rFonts w:hint="eastAsia" w:ascii="宋体" w:hAnsi="宋体"/>
          <w:sz w:val="21"/>
          <w:szCs w:val="21"/>
        </w:rPr>
        <w:t>检测程序：水平视野检查范围160°，垂直视野检查范围100°</w:t>
      </w:r>
      <w:r>
        <w:rPr>
          <w:rFonts w:hint="eastAsia" w:ascii="宋体" w:hAnsi="宋体" w:eastAsia="宋体" w:cs="宋体"/>
          <w:b w:val="0"/>
          <w:bCs w:val="0"/>
          <w:color w:val="000000"/>
          <w:sz w:val="21"/>
          <w:szCs w:val="21"/>
        </w:rPr>
        <w:t xml:space="preserve"> </w:t>
      </w:r>
      <w:r>
        <w:rPr>
          <w:rFonts w:hint="eastAsia" w:ascii="Arial" w:hAnsi="Arial"/>
          <w:bCs/>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sz w:val="21"/>
          <w:szCs w:val="21"/>
          <w:lang w:val="en-US" w:eastAsia="zh-CN"/>
        </w:rPr>
      </w:pPr>
      <w:r>
        <w:rPr>
          <w:rFonts w:hint="eastAsia" w:ascii="宋体" w:hAnsi="宋体"/>
          <w:sz w:val="21"/>
          <w:szCs w:val="21"/>
        </w:rPr>
        <w:t>操作系统：WIN7</w:t>
      </w:r>
      <w:r>
        <w:rPr>
          <w:rFonts w:hint="eastAsia" w:ascii="宋体" w:hAnsi="宋体"/>
          <w:sz w:val="21"/>
          <w:szCs w:val="21"/>
          <w:lang w:val="en-US" w:eastAsia="zh-CN"/>
        </w:rPr>
        <w:t>或以上</w:t>
      </w:r>
    </w:p>
    <w:p>
      <w:pPr>
        <w:spacing w:line="500" w:lineRule="exact"/>
        <w:rPr>
          <w:rFonts w:hint="default" w:ascii="宋体" w:hAnsi="宋体"/>
          <w:sz w:val="21"/>
          <w:szCs w:val="21"/>
          <w:lang w:val="en-US" w:eastAsia="zh-CN"/>
        </w:rPr>
      </w:pPr>
      <w:r>
        <w:rPr>
          <w:rFonts w:hint="eastAsia" w:ascii="宋体" w:hAnsi="宋体"/>
          <w:sz w:val="21"/>
          <w:szCs w:val="21"/>
          <w:lang w:val="en-US" w:eastAsia="zh-CN"/>
        </w:rPr>
        <w:t>16.</w:t>
      </w:r>
      <w:r>
        <w:rPr>
          <w:rFonts w:ascii="宋体" w:hAnsi="宋体"/>
          <w:sz w:val="28"/>
          <w:szCs w:val="28"/>
        </w:rPr>
        <w:t>★</w:t>
      </w:r>
      <w:r>
        <w:rPr>
          <w:rFonts w:hint="eastAsia" w:ascii="宋体" w:hAnsi="宋体"/>
          <w:sz w:val="21"/>
          <w:szCs w:val="21"/>
        </w:rPr>
        <w:t>具有国家软件认证证书及软件产品测评报告</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sz w:val="21"/>
          <w:szCs w:val="21"/>
        </w:rPr>
      </w:pPr>
      <w:r>
        <w:rPr>
          <w:rFonts w:hint="eastAsia" w:ascii="宋体" w:hAnsi="宋体" w:eastAsia="宋体" w:cs="宋体"/>
          <w:b/>
          <w:bCs/>
          <w:sz w:val="21"/>
          <w:szCs w:val="21"/>
          <w:lang w:val="en-US" w:eastAsia="zh-CN"/>
        </w:rPr>
        <w:t>配置清单：</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说明书1本</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0"/>
          <w:sz w:val="21"/>
          <w:szCs w:val="21"/>
        </w:rPr>
        <w:t xml:space="preserve">视野仪临床应用指南1本    </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0"/>
          <w:sz w:val="21"/>
          <w:szCs w:val="21"/>
        </w:rPr>
        <w:t>合格证</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rPr>
        <w:t>1张</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0"/>
          <w:sz w:val="21"/>
          <w:szCs w:val="21"/>
        </w:rPr>
        <w:t>保修卡</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rPr>
        <w:t>1张</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0"/>
          <w:sz w:val="21"/>
          <w:szCs w:val="21"/>
        </w:rPr>
        <w:t>响应器</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rPr>
        <w:t>1</w:t>
      </w:r>
      <w:r>
        <w:rPr>
          <w:rFonts w:hint="eastAsia" w:ascii="宋体" w:hAnsi="宋体" w:cs="宋体"/>
          <w:b w:val="0"/>
          <w:bCs w:val="0"/>
          <w:kern w:val="0"/>
          <w:sz w:val="21"/>
          <w:szCs w:val="21"/>
          <w:lang w:val="en-US" w:eastAsia="zh-CN"/>
        </w:rPr>
        <w:t>台</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0"/>
          <w:sz w:val="21"/>
          <w:szCs w:val="21"/>
        </w:rPr>
        <w:t>防尘罩</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rPr>
        <w:t>1个</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0"/>
          <w:sz w:val="21"/>
          <w:szCs w:val="21"/>
        </w:rPr>
        <w:t>电源线</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rPr>
        <w:t>1根</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0"/>
          <w:sz w:val="21"/>
          <w:szCs w:val="21"/>
        </w:rPr>
        <w:t>10、USB数据线1根</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11、打印机</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rPr>
        <w:t>1台</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12、专用电动升降台1台</w:t>
      </w:r>
    </w:p>
    <w:p>
      <w:pPr>
        <w:pStyle w:val="2"/>
        <w:ind w:left="0" w:leftChars="0" w:firstLine="0" w:firstLineChars="0"/>
        <w:rPr>
          <w:rFonts w:hint="eastAsia" w:eastAsia="仿宋_GB2312"/>
          <w:lang w:eastAsia="zh-CN"/>
        </w:rPr>
      </w:pPr>
      <w:r>
        <w:rPr>
          <w:rFonts w:hint="eastAsia"/>
          <w:lang w:eastAsia="zh-CN"/>
        </w:rPr>
        <w:t>注：带</w:t>
      </w:r>
      <w:r>
        <w:rPr>
          <w:rFonts w:hint="eastAsia" w:ascii="宋体" w:hAnsi="宋体"/>
          <w:sz w:val="24"/>
        </w:rPr>
        <w:t>★</w:t>
      </w:r>
      <w:r>
        <w:rPr>
          <w:rFonts w:hint="eastAsia" w:ascii="宋体" w:hAnsi="宋体"/>
          <w:sz w:val="24"/>
          <w:lang w:eastAsia="zh-CN"/>
        </w:rPr>
        <w:t>项为核心参数，必须满足。</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6</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30%，</w:t>
      </w:r>
      <w:r>
        <w:rPr>
          <w:rFonts w:hint="eastAsia"/>
        </w:rPr>
        <w:t>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21.8万元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日起至</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27</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（http://www.zhijiang.gov.cn/）免费发放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7</w:t>
      </w:r>
      <w:r>
        <w:rPr>
          <w:rFonts w:hint="eastAsia" w:hAnsi="黑体"/>
        </w:rPr>
        <w:t>月</w:t>
      </w:r>
      <w:r>
        <w:rPr>
          <w:rFonts w:hint="eastAsia" w:hAnsi="黑体"/>
          <w:lang w:val="en-US" w:eastAsia="zh-CN"/>
        </w:rPr>
        <w:t>28</w:t>
      </w:r>
      <w:r>
        <w:rPr>
          <w:rFonts w:hint="eastAsia" w:hAnsi="黑体"/>
        </w:rPr>
        <w:t>日</w:t>
      </w:r>
      <w:r>
        <w:rPr>
          <w:rFonts w:hint="eastAsia" w:hAnsi="黑体"/>
          <w:lang w:val="en-US" w:eastAsia="zh-CN"/>
        </w:rPr>
        <w:t>10</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lang w:eastAsia="zh-CN"/>
              </w:rPr>
              <w:t>佐证资料</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lang w:eastAsia="zh-CN"/>
              </w:rPr>
              <w:t>核心性能参数提供佐证资料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7</w:t>
      </w:r>
      <w:r>
        <w:rPr>
          <w:rFonts w:hint="eastAsia" w:hAnsi="黑体"/>
        </w:rPr>
        <w:t xml:space="preserve"> 月 </w:t>
      </w:r>
      <w:r>
        <w:rPr>
          <w:rFonts w:hint="eastAsia" w:hAnsi="黑体"/>
          <w:lang w:val="en-US" w:eastAsia="zh-CN"/>
        </w:rPr>
        <w:t>23</w:t>
      </w:r>
      <w:bookmarkStart w:id="0" w:name="_GoBack"/>
      <w:bookmarkEnd w:id="0"/>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abstractNum w:abstractNumId="1">
    <w:nsid w:val="2111373D"/>
    <w:multiLevelType w:val="multilevel"/>
    <w:tmpl w:val="2111373D"/>
    <w:lvl w:ilvl="0" w:tentative="0">
      <w:start w:val="1"/>
      <w:numFmt w:val="decimal"/>
      <w:lvlText w:val="%1、"/>
      <w:lvlJc w:val="left"/>
      <w:pPr>
        <w:tabs>
          <w:tab w:val="left" w:pos="360"/>
        </w:tabs>
        <w:ind w:left="360" w:hanging="360"/>
      </w:pPr>
      <w:rPr>
        <w:rFonts w:hint="default" w:ascii="Times New Roman" w:hAnsi="Times New Roman" w:eastAsia="宋体" w:cs="Times New Roman"/>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2AD88F"/>
    <w:multiLevelType w:val="singleLevel"/>
    <w:tmpl w:val="3C2AD88F"/>
    <w:lvl w:ilvl="0" w:tentative="0">
      <w:start w:val="5"/>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E12D4"/>
    <w:rsid w:val="1BE9758E"/>
    <w:rsid w:val="1DEB48D4"/>
    <w:rsid w:val="219B35FA"/>
    <w:rsid w:val="22382ED5"/>
    <w:rsid w:val="25182B88"/>
    <w:rsid w:val="324E64A5"/>
    <w:rsid w:val="331C25E0"/>
    <w:rsid w:val="3A7378F1"/>
    <w:rsid w:val="3EE42899"/>
    <w:rsid w:val="3FA178ED"/>
    <w:rsid w:val="40A80C84"/>
    <w:rsid w:val="47961D74"/>
    <w:rsid w:val="5EDE64EC"/>
    <w:rsid w:val="64EB3D71"/>
    <w:rsid w:val="65566111"/>
    <w:rsid w:val="6DEF5596"/>
    <w:rsid w:val="6E8A0002"/>
    <w:rsid w:val="713A4280"/>
    <w:rsid w:val="730A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character" w:styleId="7">
    <w:name w:val="Strong"/>
    <w:basedOn w:val="6"/>
    <w:qFormat/>
    <w:uiPriority w:val="0"/>
    <w:rPr>
      <w:b/>
      <w:bCs/>
    </w:rPr>
  </w:style>
  <w:style w:type="character" w:styleId="8">
    <w:name w:val="Hyperlink"/>
    <w:basedOn w:val="6"/>
    <w:qFormat/>
    <w:uiPriority w:val="99"/>
    <w:rPr>
      <w:rFonts w:cs="Times New Roman"/>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dcterms:modified xsi:type="dcterms:W3CDTF">2021-07-23T00:40:26Z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97E899B82D2040129A043CEF7BA38002</vt:lpwstr>
  </property>
</Properties>
</file>