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7E9C23">
      <w:pPr>
        <w:spacing w:line="360" w:lineRule="auto"/>
        <w:jc w:val="center"/>
        <w:rPr>
          <w:rFonts w:hint="eastAsia" w:asciiTheme="minorEastAsia" w:hAnsiTheme="minorEastAsia" w:eastAsiaTheme="minorEastAsia" w:cstheme="minorEastAsia"/>
          <w:b/>
          <w:bCs/>
          <w:color w:val="auto"/>
          <w:sz w:val="44"/>
          <w:szCs w:val="44"/>
        </w:rPr>
      </w:pPr>
      <w:bookmarkStart w:id="76" w:name="_GoBack"/>
      <w:r>
        <w:rPr>
          <w:rFonts w:hint="eastAsia" w:asciiTheme="minorEastAsia" w:hAnsiTheme="minorEastAsia" w:eastAsiaTheme="minorEastAsia" w:cstheme="minorEastAsia"/>
          <w:b/>
          <w:bCs/>
          <w:color w:val="auto"/>
          <w:sz w:val="44"/>
          <w:szCs w:val="44"/>
        </w:rPr>
        <w:t>大冶市东风路街道观山社区粮库以北建设美食城安装800KW变压器开户设备</w:t>
      </w:r>
    </w:p>
    <w:p w14:paraId="06132388">
      <w:pPr>
        <w:spacing w:line="360" w:lineRule="auto"/>
        <w:jc w:val="both"/>
        <w:rPr>
          <w:rFonts w:hint="eastAsia" w:asciiTheme="minorEastAsia" w:hAnsiTheme="minorEastAsia" w:eastAsiaTheme="minorEastAsia" w:cstheme="minorEastAsia"/>
          <w:b/>
          <w:bCs/>
          <w:color w:val="auto"/>
          <w:sz w:val="32"/>
          <w:szCs w:val="32"/>
          <w:lang w:val="en-US" w:eastAsia="zh-CN"/>
        </w:rPr>
      </w:pPr>
    </w:p>
    <w:p w14:paraId="77ACDC70">
      <w:pPr>
        <w:spacing w:line="360" w:lineRule="auto"/>
        <w:jc w:val="both"/>
        <w:rPr>
          <w:rFonts w:hint="eastAsia" w:asciiTheme="minorEastAsia" w:hAnsiTheme="minorEastAsia" w:eastAsiaTheme="minorEastAsia" w:cstheme="minorEastAsia"/>
          <w:b/>
          <w:bCs/>
          <w:color w:val="auto"/>
          <w:sz w:val="32"/>
          <w:szCs w:val="32"/>
        </w:rPr>
      </w:pPr>
    </w:p>
    <w:p w14:paraId="19762FDD">
      <w:pPr>
        <w:spacing w:line="360" w:lineRule="auto"/>
        <w:jc w:val="center"/>
        <w:rPr>
          <w:rFonts w:hint="eastAsia" w:asciiTheme="minorEastAsia" w:hAnsiTheme="minorEastAsia" w:eastAsiaTheme="minorEastAsia" w:cstheme="minorEastAsia"/>
          <w:b/>
          <w:bCs/>
          <w:color w:val="auto"/>
          <w:sz w:val="32"/>
          <w:szCs w:val="32"/>
        </w:rPr>
      </w:pPr>
    </w:p>
    <w:p w14:paraId="4015D608">
      <w:pPr>
        <w:spacing w:line="360" w:lineRule="auto"/>
        <w:jc w:val="center"/>
        <w:rPr>
          <w:rFonts w:hint="eastAsia" w:asciiTheme="minorEastAsia" w:hAnsiTheme="minorEastAsia" w:eastAsiaTheme="minorEastAsia" w:cstheme="minorEastAsia"/>
          <w:b/>
          <w:bCs/>
          <w:color w:val="auto"/>
          <w:sz w:val="72"/>
          <w:szCs w:val="72"/>
        </w:rPr>
      </w:pPr>
      <w:r>
        <w:rPr>
          <w:rFonts w:hint="eastAsia" w:asciiTheme="minorEastAsia" w:hAnsiTheme="minorEastAsia" w:eastAsiaTheme="minorEastAsia" w:cstheme="minorEastAsia"/>
          <w:b/>
          <w:bCs/>
          <w:color w:val="auto"/>
          <w:sz w:val="72"/>
          <w:szCs w:val="72"/>
        </w:rPr>
        <w:t>招 标 文 件</w:t>
      </w:r>
    </w:p>
    <w:p w14:paraId="0A281CFC">
      <w:pPr>
        <w:spacing w:line="360" w:lineRule="auto"/>
        <w:jc w:val="center"/>
        <w:rPr>
          <w:rFonts w:hint="default" w:asciiTheme="minorEastAsia" w:hAnsiTheme="minorEastAsia" w:eastAsiaTheme="minorEastAsia" w:cstheme="minorEastAsia"/>
          <w:b/>
          <w:bCs/>
          <w:color w:val="auto"/>
          <w:sz w:val="32"/>
          <w:szCs w:val="32"/>
          <w:lang w:val="en-US" w:eastAsia="zh-CN"/>
        </w:rPr>
      </w:pPr>
      <w:r>
        <w:rPr>
          <w:rFonts w:hint="eastAsia" w:asciiTheme="minorEastAsia" w:hAnsiTheme="minorEastAsia" w:eastAsiaTheme="minorEastAsia" w:cstheme="minorEastAsia"/>
          <w:b/>
          <w:bCs/>
          <w:color w:val="auto"/>
          <w:sz w:val="32"/>
          <w:szCs w:val="32"/>
          <w:lang w:val="en-US" w:eastAsia="zh-CN"/>
        </w:rPr>
        <w:t xml:space="preserve">               </w:t>
      </w:r>
    </w:p>
    <w:p w14:paraId="30F9390C">
      <w:pPr>
        <w:spacing w:line="360" w:lineRule="auto"/>
        <w:jc w:val="both"/>
        <w:rPr>
          <w:rFonts w:hint="eastAsia" w:asciiTheme="minorEastAsia" w:hAnsiTheme="minorEastAsia" w:eastAsiaTheme="minorEastAsia" w:cstheme="minorEastAsia"/>
          <w:b/>
          <w:bCs/>
          <w:color w:val="auto"/>
          <w:sz w:val="32"/>
          <w:szCs w:val="32"/>
          <w:lang w:val="en-US" w:eastAsia="zh-CN"/>
        </w:rPr>
      </w:pPr>
      <w:r>
        <w:rPr>
          <w:rFonts w:hint="eastAsia" w:asciiTheme="minorEastAsia" w:hAnsiTheme="minorEastAsia" w:eastAsiaTheme="minorEastAsia" w:cstheme="minorEastAsia"/>
          <w:b/>
          <w:bCs/>
          <w:color w:val="auto"/>
          <w:sz w:val="32"/>
          <w:szCs w:val="32"/>
          <w:lang w:val="en-US" w:eastAsia="zh-CN"/>
        </w:rPr>
        <w:t xml:space="preserve"> </w:t>
      </w:r>
    </w:p>
    <w:p w14:paraId="58F8104F">
      <w:pPr>
        <w:spacing w:line="600" w:lineRule="auto"/>
        <w:ind w:right="-502" w:rightChars="-239" w:firstLine="0" w:firstLineChars="0"/>
        <w:rPr>
          <w:rFonts w:hint="eastAsia" w:asciiTheme="minorEastAsia" w:hAnsiTheme="minorEastAsia" w:eastAsiaTheme="minorEastAsia" w:cstheme="minorEastAsia"/>
          <w:b/>
          <w:color w:val="auto"/>
          <w:sz w:val="30"/>
          <w:szCs w:val="30"/>
          <w:highlight w:val="none"/>
        </w:rPr>
      </w:pPr>
    </w:p>
    <w:p w14:paraId="1F9A42AD">
      <w:pPr>
        <w:spacing w:line="600" w:lineRule="auto"/>
        <w:ind w:right="-502" w:rightChars="-239" w:firstLine="0" w:firstLineChars="0"/>
        <w:rPr>
          <w:rFonts w:hint="default" w:asciiTheme="minorEastAsia" w:hAnsiTheme="minorEastAsia" w:eastAsiaTheme="minorEastAsia" w:cstheme="minorEastAsia"/>
          <w:color w:val="auto"/>
          <w:sz w:val="30"/>
          <w:szCs w:val="30"/>
          <w:highlight w:val="none"/>
          <w:u w:val="single"/>
          <w:lang w:val="en-US" w:eastAsia="zh-CN"/>
        </w:rPr>
      </w:pPr>
      <w:r>
        <w:rPr>
          <w:rFonts w:hint="eastAsia" w:asciiTheme="minorEastAsia" w:hAnsiTheme="minorEastAsia" w:eastAsiaTheme="minorEastAsia" w:cstheme="minorEastAsia"/>
          <w:b/>
          <w:color w:val="auto"/>
          <w:sz w:val="30"/>
          <w:szCs w:val="30"/>
          <w:highlight w:val="none"/>
        </w:rPr>
        <w:t>项目编号：</w:t>
      </w:r>
      <w:r>
        <w:rPr>
          <w:rFonts w:hint="eastAsia" w:asciiTheme="minorEastAsia" w:hAnsiTheme="minorEastAsia" w:eastAsiaTheme="minorEastAsia" w:cstheme="minorEastAsia"/>
          <w:color w:val="auto"/>
          <w:sz w:val="30"/>
          <w:szCs w:val="30"/>
          <w:highlight w:val="none"/>
          <w:u w:val="single"/>
          <w:lang w:eastAsia="zh-CN"/>
        </w:rPr>
        <w:t>冶农采[2026]0003号</w:t>
      </w:r>
      <w:r>
        <w:rPr>
          <w:rFonts w:hint="eastAsia" w:asciiTheme="minorEastAsia" w:hAnsiTheme="minorEastAsia" w:eastAsiaTheme="minorEastAsia" w:cstheme="minorEastAsia"/>
          <w:color w:val="auto"/>
          <w:sz w:val="30"/>
          <w:szCs w:val="30"/>
          <w:highlight w:val="none"/>
          <w:u w:val="single"/>
          <w:lang w:val="en-US" w:eastAsia="zh-CN"/>
        </w:rPr>
        <w:t xml:space="preserve">  </w:t>
      </w:r>
      <w:r>
        <w:rPr>
          <w:rFonts w:hint="eastAsia" w:asciiTheme="minorEastAsia" w:hAnsiTheme="minorEastAsia" w:eastAsiaTheme="minorEastAsia" w:cstheme="minorEastAsia"/>
          <w:color w:val="auto"/>
          <w:sz w:val="30"/>
          <w:szCs w:val="30"/>
          <w:highlight w:val="none"/>
          <w:u w:val="single"/>
        </w:rPr>
        <w:t xml:space="preserve">    </w:t>
      </w:r>
      <w:r>
        <w:rPr>
          <w:rFonts w:hint="eastAsia" w:asciiTheme="minorEastAsia" w:hAnsiTheme="minorEastAsia" w:eastAsiaTheme="minorEastAsia" w:cstheme="minorEastAsia"/>
          <w:color w:val="auto"/>
          <w:sz w:val="30"/>
          <w:szCs w:val="30"/>
          <w:highlight w:val="none"/>
          <w:u w:val="single"/>
          <w:lang w:val="en-US" w:eastAsia="zh-CN"/>
        </w:rPr>
        <w:t xml:space="preserve">                             </w:t>
      </w:r>
    </w:p>
    <w:p w14:paraId="2AB5727E">
      <w:pPr>
        <w:spacing w:line="600" w:lineRule="auto"/>
        <w:ind w:left="1506" w:right="-502" w:rightChars="-239" w:hanging="1506" w:hangingChars="500"/>
        <w:rPr>
          <w:rFonts w:hint="default" w:asciiTheme="minorEastAsia" w:hAnsiTheme="minorEastAsia" w:eastAsiaTheme="minorEastAsia" w:cstheme="minorEastAsia"/>
          <w:color w:val="auto"/>
          <w:sz w:val="30"/>
          <w:szCs w:val="30"/>
          <w:u w:val="single"/>
          <w:lang w:val="en-US" w:eastAsia="zh-CN"/>
        </w:rPr>
      </w:pPr>
      <w:r>
        <w:rPr>
          <w:rFonts w:hint="eastAsia" w:asciiTheme="minorEastAsia" w:hAnsiTheme="minorEastAsia" w:eastAsiaTheme="minorEastAsia" w:cstheme="minorEastAsia"/>
          <w:b/>
          <w:color w:val="auto"/>
          <w:sz w:val="30"/>
          <w:szCs w:val="30"/>
        </w:rPr>
        <w:t>项目名称：</w:t>
      </w:r>
      <w:r>
        <w:rPr>
          <w:rFonts w:hint="eastAsia" w:asciiTheme="minorEastAsia" w:hAnsiTheme="minorEastAsia" w:eastAsiaTheme="minorEastAsia" w:cstheme="minorEastAsia"/>
          <w:color w:val="auto"/>
          <w:sz w:val="30"/>
          <w:szCs w:val="30"/>
          <w:u w:val="single"/>
          <w:lang w:val="zh-CN"/>
        </w:rPr>
        <w:t>大冶市东风路街道观山社区粮库以北建设美食城安装800KW变压器开户设备</w:t>
      </w:r>
      <w:r>
        <w:rPr>
          <w:rFonts w:hint="eastAsia" w:asciiTheme="minorEastAsia" w:hAnsiTheme="minorEastAsia" w:eastAsiaTheme="minorEastAsia" w:cstheme="minorEastAsia"/>
          <w:color w:val="auto"/>
          <w:sz w:val="30"/>
          <w:szCs w:val="30"/>
          <w:u w:val="single"/>
          <w:lang w:val="en-US" w:eastAsia="zh-CN"/>
        </w:rPr>
        <w:t xml:space="preserve">             </w:t>
      </w:r>
    </w:p>
    <w:p w14:paraId="7B2B9BC8">
      <w:pPr>
        <w:spacing w:line="600" w:lineRule="auto"/>
        <w:ind w:right="-502" w:rightChars="-239" w:firstLine="0" w:firstLineChars="0"/>
        <w:rPr>
          <w:rFonts w:hint="default" w:asciiTheme="minorEastAsia" w:hAnsiTheme="minorEastAsia" w:eastAsiaTheme="minorEastAsia" w:cstheme="minorEastAsia"/>
          <w:color w:val="auto"/>
          <w:sz w:val="30"/>
          <w:szCs w:val="30"/>
          <w:u w:val="single"/>
          <w:lang w:val="en-US" w:eastAsia="zh-CN"/>
        </w:rPr>
      </w:pPr>
      <w:r>
        <w:rPr>
          <w:rFonts w:hint="eastAsia" w:asciiTheme="minorEastAsia" w:hAnsiTheme="minorEastAsia" w:eastAsiaTheme="minorEastAsia" w:cstheme="minorEastAsia"/>
          <w:b/>
          <w:color w:val="auto"/>
          <w:sz w:val="30"/>
          <w:szCs w:val="30"/>
        </w:rPr>
        <w:t>采购内容：</w:t>
      </w:r>
      <w:r>
        <w:rPr>
          <w:rFonts w:hint="eastAsia" w:asciiTheme="minorEastAsia" w:hAnsiTheme="minorEastAsia" w:eastAsiaTheme="minorEastAsia" w:cstheme="minorEastAsia"/>
          <w:b/>
          <w:color w:val="auto"/>
          <w:sz w:val="30"/>
          <w:szCs w:val="30"/>
          <w:u w:val="single"/>
        </w:rPr>
        <w:sym w:font="Wingdings" w:char="00A8"/>
      </w:r>
      <w:r>
        <w:rPr>
          <w:rFonts w:hint="eastAsia" w:asciiTheme="minorEastAsia" w:hAnsiTheme="minorEastAsia" w:eastAsiaTheme="minorEastAsia" w:cstheme="minorEastAsia"/>
          <w:bCs/>
          <w:color w:val="auto"/>
          <w:sz w:val="30"/>
          <w:szCs w:val="30"/>
          <w:u w:val="single"/>
        </w:rPr>
        <w:t xml:space="preserve">工程   </w:t>
      </w:r>
      <w:r>
        <w:rPr>
          <w:rFonts w:hint="eastAsia" w:asciiTheme="minorEastAsia" w:hAnsiTheme="minorEastAsia" w:eastAsiaTheme="minorEastAsia" w:cstheme="minorEastAsia"/>
          <w:bCs/>
          <w:color w:val="auto"/>
          <w:sz w:val="30"/>
          <w:szCs w:val="30"/>
          <w:u w:val="single"/>
        </w:rPr>
        <w:sym w:font="Wingdings" w:char="00A8"/>
      </w:r>
      <w:r>
        <w:rPr>
          <w:rFonts w:hint="eastAsia" w:asciiTheme="minorEastAsia" w:hAnsiTheme="minorEastAsia" w:eastAsiaTheme="minorEastAsia" w:cstheme="minorEastAsia"/>
          <w:bCs/>
          <w:color w:val="auto"/>
          <w:sz w:val="30"/>
          <w:szCs w:val="30"/>
          <w:u w:val="single"/>
        </w:rPr>
        <w:t xml:space="preserve">服务  </w:t>
      </w:r>
      <w:r>
        <w:rPr>
          <w:rFonts w:hint="eastAsia" w:asciiTheme="minorEastAsia" w:hAnsiTheme="minorEastAsia" w:eastAsiaTheme="minorEastAsia" w:cstheme="minorEastAsia"/>
          <w:bCs/>
          <w:color w:val="auto"/>
          <w:sz w:val="30"/>
          <w:szCs w:val="30"/>
          <w:u w:val="single"/>
        </w:rPr>
        <w:sym w:font="Wingdings" w:char="00FE"/>
      </w:r>
      <w:r>
        <w:rPr>
          <w:rFonts w:hint="eastAsia" w:asciiTheme="minorEastAsia" w:hAnsiTheme="minorEastAsia" w:eastAsiaTheme="minorEastAsia" w:cstheme="minorEastAsia"/>
          <w:bCs/>
          <w:color w:val="auto"/>
          <w:sz w:val="30"/>
          <w:szCs w:val="30"/>
          <w:u w:val="single"/>
        </w:rPr>
        <w:t>货物</w:t>
      </w:r>
      <w:r>
        <w:rPr>
          <w:rFonts w:hint="eastAsia" w:asciiTheme="minorEastAsia" w:hAnsiTheme="minorEastAsia" w:eastAsiaTheme="minorEastAsia" w:cstheme="minorEastAsia"/>
          <w:color w:val="auto"/>
          <w:sz w:val="30"/>
          <w:szCs w:val="30"/>
          <w:u w:val="single"/>
        </w:rPr>
        <w:t xml:space="preserve">              </w:t>
      </w:r>
      <w:r>
        <w:rPr>
          <w:rFonts w:hint="eastAsia" w:asciiTheme="minorEastAsia" w:hAnsiTheme="minorEastAsia" w:eastAsiaTheme="minorEastAsia" w:cstheme="minorEastAsia"/>
          <w:color w:val="auto"/>
          <w:sz w:val="30"/>
          <w:szCs w:val="30"/>
          <w:u w:val="single"/>
          <w:lang w:val="en-US" w:eastAsia="zh-CN"/>
        </w:rPr>
        <w:t xml:space="preserve">  </w:t>
      </w:r>
      <w:r>
        <w:rPr>
          <w:rFonts w:hint="eastAsia" w:asciiTheme="minorEastAsia" w:hAnsiTheme="minorEastAsia" w:eastAsiaTheme="minorEastAsia" w:cstheme="minorEastAsia"/>
          <w:color w:val="auto"/>
          <w:sz w:val="30"/>
          <w:szCs w:val="30"/>
          <w:u w:val="single"/>
        </w:rPr>
        <w:t xml:space="preserve">  </w:t>
      </w:r>
      <w:r>
        <w:rPr>
          <w:rFonts w:hint="eastAsia" w:asciiTheme="minorEastAsia" w:hAnsiTheme="minorEastAsia" w:eastAsiaTheme="minorEastAsia" w:cstheme="minorEastAsia"/>
          <w:color w:val="auto"/>
          <w:sz w:val="30"/>
          <w:szCs w:val="30"/>
          <w:u w:val="single"/>
          <w:lang w:val="en-US" w:eastAsia="zh-CN"/>
        </w:rPr>
        <w:t xml:space="preserve">      </w:t>
      </w:r>
    </w:p>
    <w:p w14:paraId="204DE397">
      <w:pPr>
        <w:spacing w:line="600" w:lineRule="auto"/>
        <w:ind w:right="-502" w:rightChars="-239" w:firstLine="0" w:firstLineChars="0"/>
        <w:rPr>
          <w:rFonts w:hint="default" w:asciiTheme="minorEastAsia" w:hAnsiTheme="minorEastAsia" w:eastAsiaTheme="minorEastAsia" w:cstheme="minorEastAsia"/>
          <w:b/>
          <w:color w:val="auto"/>
          <w:sz w:val="28"/>
          <w:szCs w:val="28"/>
          <w:lang w:val="en-US" w:eastAsia="zh-CN"/>
        </w:rPr>
      </w:pPr>
      <w:r>
        <w:rPr>
          <w:rFonts w:hint="eastAsia" w:asciiTheme="minorEastAsia" w:hAnsiTheme="minorEastAsia" w:eastAsiaTheme="minorEastAsia" w:cstheme="minorEastAsia"/>
          <w:b/>
          <w:color w:val="auto"/>
          <w:sz w:val="30"/>
          <w:szCs w:val="30"/>
        </w:rPr>
        <w:t>采 购 人：</w:t>
      </w:r>
      <w:r>
        <w:rPr>
          <w:rFonts w:hint="eastAsia" w:asciiTheme="minorEastAsia" w:hAnsiTheme="minorEastAsia" w:eastAsiaTheme="minorEastAsia" w:cstheme="minorEastAsia"/>
          <w:color w:val="auto"/>
          <w:sz w:val="30"/>
          <w:szCs w:val="30"/>
          <w:u w:val="single"/>
          <w:lang w:val="zh-CN"/>
        </w:rPr>
        <w:t xml:space="preserve">大冶市东风路街道观山社区居民委员会     </w:t>
      </w:r>
      <w:r>
        <w:rPr>
          <w:rFonts w:hint="eastAsia" w:asciiTheme="minorEastAsia" w:hAnsiTheme="minorEastAsia" w:eastAsiaTheme="minorEastAsia" w:cstheme="minorEastAsia"/>
          <w:color w:val="auto"/>
          <w:sz w:val="30"/>
          <w:szCs w:val="30"/>
          <w:u w:val="single"/>
        </w:rPr>
        <w:t xml:space="preserve">         </w:t>
      </w:r>
    </w:p>
    <w:p w14:paraId="01F7E138">
      <w:pPr>
        <w:snapToGrid w:val="0"/>
        <w:spacing w:line="360" w:lineRule="auto"/>
        <w:ind w:firstLine="0" w:firstLineChars="0"/>
        <w:jc w:val="center"/>
        <w:rPr>
          <w:rFonts w:hint="eastAsia" w:asciiTheme="minorEastAsia" w:hAnsiTheme="minorEastAsia" w:eastAsiaTheme="minorEastAsia" w:cstheme="minorEastAsia"/>
          <w:b/>
          <w:color w:val="auto"/>
          <w:sz w:val="28"/>
          <w:szCs w:val="28"/>
          <w:lang w:eastAsia="zh-CN"/>
        </w:rPr>
      </w:pPr>
      <w:bookmarkStart w:id="0" w:name="_Toc10172"/>
      <w:bookmarkStart w:id="1" w:name="_Toc24877"/>
      <w:r>
        <w:rPr>
          <w:rFonts w:hint="eastAsia" w:asciiTheme="minorEastAsia" w:hAnsiTheme="minorEastAsia" w:eastAsiaTheme="minorEastAsia" w:cstheme="minorEastAsia"/>
          <w:b/>
          <w:color w:val="auto"/>
          <w:sz w:val="28"/>
          <w:szCs w:val="28"/>
          <w:lang w:eastAsia="zh-CN"/>
        </w:rPr>
        <w:t>黄石市兴发工程咨询有限公司</w:t>
      </w:r>
    </w:p>
    <w:p w14:paraId="7F991579">
      <w:pPr>
        <w:snapToGrid w:val="0"/>
        <w:spacing w:line="360" w:lineRule="auto"/>
        <w:ind w:firstLine="0" w:firstLineChars="0"/>
        <w:jc w:val="center"/>
        <w:rPr>
          <w:rFonts w:hint="eastAsia" w:asciiTheme="minorEastAsia" w:hAnsiTheme="minorEastAsia" w:eastAsiaTheme="minorEastAsia" w:cstheme="minorEastAsia"/>
          <w:b/>
          <w:color w:val="auto"/>
          <w:sz w:val="28"/>
          <w:szCs w:val="28"/>
        </w:rPr>
      </w:pPr>
      <w:r>
        <w:rPr>
          <w:rFonts w:hint="eastAsia" w:asciiTheme="minorEastAsia" w:hAnsiTheme="minorEastAsia" w:eastAsiaTheme="minorEastAsia" w:cstheme="minorEastAsia"/>
          <w:b/>
          <w:color w:val="auto"/>
          <w:sz w:val="28"/>
          <w:szCs w:val="28"/>
        </w:rPr>
        <w:t>二〇二</w:t>
      </w:r>
      <w:r>
        <w:rPr>
          <w:rFonts w:hint="eastAsia" w:asciiTheme="minorEastAsia" w:hAnsiTheme="minorEastAsia" w:eastAsiaTheme="minorEastAsia" w:cstheme="minorEastAsia"/>
          <w:b/>
          <w:color w:val="auto"/>
          <w:sz w:val="28"/>
          <w:szCs w:val="28"/>
          <w:lang w:val="en-US" w:eastAsia="zh-CN"/>
        </w:rPr>
        <w:t>六</w:t>
      </w:r>
      <w:r>
        <w:rPr>
          <w:rFonts w:hint="eastAsia" w:asciiTheme="minorEastAsia" w:hAnsiTheme="minorEastAsia" w:eastAsiaTheme="minorEastAsia" w:cstheme="minorEastAsia"/>
          <w:b/>
          <w:color w:val="auto"/>
          <w:sz w:val="28"/>
          <w:szCs w:val="28"/>
        </w:rPr>
        <w:t>年</w:t>
      </w:r>
      <w:bookmarkEnd w:id="0"/>
      <w:bookmarkEnd w:id="1"/>
    </w:p>
    <w:p w14:paraId="75688A1B">
      <w:pPr>
        <w:snapToGrid w:val="0"/>
        <w:spacing w:line="360" w:lineRule="auto"/>
        <w:ind w:firstLine="643"/>
        <w:jc w:val="center"/>
        <w:rPr>
          <w:rFonts w:hint="eastAsia" w:asciiTheme="minorEastAsia" w:hAnsiTheme="minorEastAsia" w:eastAsiaTheme="minorEastAsia" w:cstheme="minorEastAsia"/>
          <w:b/>
          <w:color w:val="auto"/>
          <w:sz w:val="32"/>
          <w:szCs w:val="32"/>
        </w:rPr>
        <w:sectPr>
          <w:footerReference r:id="rId4" w:type="first"/>
          <w:footerReference r:id="rId3" w:type="default"/>
          <w:pgSz w:w="11907" w:h="16840"/>
          <w:pgMar w:top="1440" w:right="1701" w:bottom="1440" w:left="1588" w:header="907" w:footer="907" w:gutter="0"/>
          <w:pgNumType w:fmt="decimal" w:start="1"/>
          <w:cols w:space="720" w:num="1"/>
          <w:docGrid w:linePitch="312" w:charSpace="0"/>
        </w:sectPr>
      </w:pPr>
    </w:p>
    <w:sdt>
      <w:sdtPr>
        <w:rPr>
          <w:rFonts w:ascii="宋体" w:hAnsi="宋体" w:eastAsia="宋体" w:cs="Times New Roman"/>
          <w:color w:val="auto"/>
          <w:kern w:val="2"/>
          <w:sz w:val="21"/>
          <w:szCs w:val="22"/>
          <w:lang w:val="en-US" w:eastAsia="zh-CN" w:bidi="ar-SA"/>
        </w:rPr>
        <w:id w:val="147474291"/>
        <w15:color w:val="DBDBDB"/>
        <w:docPartObj>
          <w:docPartGallery w:val="Table of Contents"/>
          <w:docPartUnique/>
        </w:docPartObj>
      </w:sdtPr>
      <w:sdtEndPr>
        <w:rPr>
          <w:rFonts w:ascii="Times New Roman" w:hAnsi="Times New Roman" w:eastAsia="宋体" w:cs="Times New Roman"/>
          <w:color w:val="auto"/>
          <w:kern w:val="2"/>
          <w:sz w:val="21"/>
          <w:szCs w:val="22"/>
          <w:lang w:val="en-US" w:eastAsia="zh-CN" w:bidi="ar-SA"/>
        </w:rPr>
      </w:sdtEndPr>
      <w:sdtContent>
        <w:p w14:paraId="14B76541">
          <w:pPr>
            <w:spacing w:before="0" w:beforeLines="0" w:after="0" w:afterLines="0" w:line="240" w:lineRule="auto"/>
            <w:ind w:left="0" w:leftChars="0" w:right="0" w:rightChars="0" w:firstLine="0" w:firstLineChars="0"/>
            <w:jc w:val="center"/>
            <w:rPr>
              <w:color w:val="auto"/>
            </w:rPr>
          </w:pPr>
          <w:r>
            <w:rPr>
              <w:rFonts w:ascii="宋体" w:hAnsi="宋体" w:eastAsia="宋体"/>
              <w:color w:val="auto"/>
              <w:sz w:val="21"/>
            </w:rPr>
            <w:t>目录</w:t>
          </w:r>
        </w:p>
        <w:p w14:paraId="5A028117">
          <w:pPr>
            <w:pStyle w:val="12"/>
            <w:tabs>
              <w:tab w:val="right" w:leader="dot" w:pos="8306"/>
            </w:tabs>
            <w:rPr>
              <w:color w:val="auto"/>
            </w:rPr>
          </w:pPr>
          <w:r>
            <w:rPr>
              <w:color w:val="auto"/>
            </w:rPr>
            <w:fldChar w:fldCharType="begin"/>
          </w:r>
          <w:r>
            <w:rPr>
              <w:color w:val="auto"/>
            </w:rPr>
            <w:instrText xml:space="preserve">TOC \o "1-1" \h \u </w:instrText>
          </w:r>
          <w:r>
            <w:rPr>
              <w:color w:val="auto"/>
            </w:rPr>
            <w:fldChar w:fldCharType="separate"/>
          </w:r>
          <w:r>
            <w:rPr>
              <w:color w:val="auto"/>
            </w:rPr>
            <w:fldChar w:fldCharType="begin"/>
          </w:r>
          <w:r>
            <w:rPr>
              <w:color w:val="auto"/>
            </w:rPr>
            <w:instrText xml:space="preserve"> HYPERLINK \l _Toc25351 </w:instrText>
          </w:r>
          <w:r>
            <w:rPr>
              <w:color w:val="auto"/>
            </w:rPr>
            <w:fldChar w:fldCharType="separate"/>
          </w:r>
          <w:r>
            <w:rPr>
              <w:rFonts w:hint="eastAsia"/>
              <w:color w:val="auto"/>
              <w:lang w:val="en-US" w:eastAsia="zh-CN"/>
            </w:rPr>
            <w:t>第一章  招标公告</w:t>
          </w:r>
          <w:r>
            <w:rPr>
              <w:color w:val="auto"/>
            </w:rPr>
            <w:tab/>
          </w:r>
          <w:r>
            <w:rPr>
              <w:color w:val="auto"/>
            </w:rPr>
            <w:fldChar w:fldCharType="begin"/>
          </w:r>
          <w:r>
            <w:rPr>
              <w:color w:val="auto"/>
            </w:rPr>
            <w:instrText xml:space="preserve"> PAGEREF _Toc25351 \h </w:instrText>
          </w:r>
          <w:r>
            <w:rPr>
              <w:color w:val="auto"/>
            </w:rPr>
            <w:fldChar w:fldCharType="separate"/>
          </w:r>
          <w:r>
            <w:rPr>
              <w:color w:val="auto"/>
            </w:rPr>
            <w:t>3</w:t>
          </w:r>
          <w:r>
            <w:rPr>
              <w:color w:val="auto"/>
            </w:rPr>
            <w:fldChar w:fldCharType="end"/>
          </w:r>
          <w:r>
            <w:rPr>
              <w:color w:val="auto"/>
            </w:rPr>
            <w:fldChar w:fldCharType="end"/>
          </w:r>
        </w:p>
        <w:p w14:paraId="105B11E3">
          <w:pPr>
            <w:pStyle w:val="12"/>
            <w:tabs>
              <w:tab w:val="right" w:leader="dot" w:pos="8306"/>
            </w:tabs>
            <w:rPr>
              <w:color w:val="auto"/>
            </w:rPr>
          </w:pPr>
          <w:r>
            <w:rPr>
              <w:color w:val="auto"/>
            </w:rPr>
            <w:fldChar w:fldCharType="begin"/>
          </w:r>
          <w:r>
            <w:rPr>
              <w:color w:val="auto"/>
            </w:rPr>
            <w:instrText xml:space="preserve"> HYPERLINK \l _Toc17210 </w:instrText>
          </w:r>
          <w:r>
            <w:rPr>
              <w:color w:val="auto"/>
            </w:rPr>
            <w:fldChar w:fldCharType="separate"/>
          </w:r>
          <w:r>
            <w:rPr>
              <w:rFonts w:hint="eastAsia"/>
              <w:color w:val="auto"/>
            </w:rPr>
            <w:t>第二章  投标人须知</w:t>
          </w:r>
          <w:r>
            <w:rPr>
              <w:color w:val="auto"/>
            </w:rPr>
            <w:tab/>
          </w:r>
          <w:r>
            <w:rPr>
              <w:color w:val="auto"/>
            </w:rPr>
            <w:fldChar w:fldCharType="begin"/>
          </w:r>
          <w:r>
            <w:rPr>
              <w:color w:val="auto"/>
            </w:rPr>
            <w:instrText xml:space="preserve"> PAGEREF _Toc17210 \h </w:instrText>
          </w:r>
          <w:r>
            <w:rPr>
              <w:color w:val="auto"/>
            </w:rPr>
            <w:fldChar w:fldCharType="separate"/>
          </w:r>
          <w:r>
            <w:rPr>
              <w:color w:val="auto"/>
            </w:rPr>
            <w:t>6</w:t>
          </w:r>
          <w:r>
            <w:rPr>
              <w:color w:val="auto"/>
            </w:rPr>
            <w:fldChar w:fldCharType="end"/>
          </w:r>
          <w:r>
            <w:rPr>
              <w:color w:val="auto"/>
            </w:rPr>
            <w:fldChar w:fldCharType="end"/>
          </w:r>
        </w:p>
        <w:p w14:paraId="0D43F8D2">
          <w:pPr>
            <w:pStyle w:val="12"/>
            <w:tabs>
              <w:tab w:val="right" w:leader="dot" w:pos="8306"/>
            </w:tabs>
            <w:rPr>
              <w:color w:val="auto"/>
            </w:rPr>
          </w:pPr>
          <w:r>
            <w:rPr>
              <w:color w:val="auto"/>
            </w:rPr>
            <w:fldChar w:fldCharType="begin"/>
          </w:r>
          <w:r>
            <w:rPr>
              <w:color w:val="auto"/>
            </w:rPr>
            <w:instrText xml:space="preserve"> HYPERLINK \l _Toc23818 </w:instrText>
          </w:r>
          <w:r>
            <w:rPr>
              <w:color w:val="auto"/>
            </w:rPr>
            <w:fldChar w:fldCharType="separate"/>
          </w:r>
          <w:r>
            <w:rPr>
              <w:rFonts w:hint="eastAsia"/>
              <w:color w:val="auto"/>
              <w:lang w:val="zh-CN" w:eastAsia="zh-CN"/>
            </w:rPr>
            <w:t>第三章</w:t>
          </w:r>
          <w:r>
            <w:rPr>
              <w:rFonts w:hint="eastAsia"/>
              <w:color w:val="auto"/>
              <w:lang w:val="zh-CN"/>
            </w:rPr>
            <w:t xml:space="preserve">  </w:t>
          </w:r>
          <w:r>
            <w:rPr>
              <w:rFonts w:hint="eastAsia"/>
              <w:color w:val="auto"/>
              <w:lang w:val="en-US" w:eastAsia="zh-CN"/>
            </w:rPr>
            <w:t>采购需求</w:t>
          </w:r>
          <w:r>
            <w:rPr>
              <w:color w:val="auto"/>
            </w:rPr>
            <w:tab/>
          </w:r>
          <w:r>
            <w:rPr>
              <w:color w:val="auto"/>
            </w:rPr>
            <w:fldChar w:fldCharType="begin"/>
          </w:r>
          <w:r>
            <w:rPr>
              <w:color w:val="auto"/>
            </w:rPr>
            <w:instrText xml:space="preserve"> PAGEREF _Toc23818 \h </w:instrText>
          </w:r>
          <w:r>
            <w:rPr>
              <w:color w:val="auto"/>
            </w:rPr>
            <w:fldChar w:fldCharType="separate"/>
          </w:r>
          <w:r>
            <w:rPr>
              <w:color w:val="auto"/>
            </w:rPr>
            <w:t>17</w:t>
          </w:r>
          <w:r>
            <w:rPr>
              <w:color w:val="auto"/>
            </w:rPr>
            <w:fldChar w:fldCharType="end"/>
          </w:r>
          <w:r>
            <w:rPr>
              <w:color w:val="auto"/>
            </w:rPr>
            <w:fldChar w:fldCharType="end"/>
          </w:r>
        </w:p>
        <w:p w14:paraId="3FF3A4A1">
          <w:pPr>
            <w:pStyle w:val="12"/>
            <w:tabs>
              <w:tab w:val="right" w:leader="dot" w:pos="8306"/>
            </w:tabs>
            <w:rPr>
              <w:color w:val="auto"/>
            </w:rPr>
          </w:pPr>
          <w:r>
            <w:rPr>
              <w:color w:val="auto"/>
            </w:rPr>
            <w:fldChar w:fldCharType="begin"/>
          </w:r>
          <w:r>
            <w:rPr>
              <w:color w:val="auto"/>
            </w:rPr>
            <w:instrText xml:space="preserve"> HYPERLINK \l _Toc6156 </w:instrText>
          </w:r>
          <w:r>
            <w:rPr>
              <w:color w:val="auto"/>
            </w:rPr>
            <w:fldChar w:fldCharType="separate"/>
          </w:r>
          <w:r>
            <w:rPr>
              <w:rFonts w:hint="eastAsia"/>
              <w:color w:val="auto"/>
              <w:szCs w:val="30"/>
              <w:lang w:val="en-US" w:eastAsia="zh-CN"/>
            </w:rPr>
            <w:t>第四章</w:t>
          </w:r>
          <w:r>
            <w:rPr>
              <w:rFonts w:hint="eastAsia"/>
              <w:color w:val="auto"/>
              <w:szCs w:val="30"/>
              <w:lang w:val="zh-CN"/>
            </w:rPr>
            <w:t xml:space="preserve"> </w:t>
          </w:r>
          <w:r>
            <w:rPr>
              <w:rFonts w:hint="eastAsia"/>
              <w:color w:val="auto"/>
              <w:szCs w:val="30"/>
              <w:lang w:val="zh-CN" w:eastAsia="zh-CN"/>
            </w:rPr>
            <w:t xml:space="preserve"> 评标方法、步骤及标准</w:t>
          </w:r>
          <w:r>
            <w:rPr>
              <w:color w:val="auto"/>
            </w:rPr>
            <w:tab/>
          </w:r>
          <w:r>
            <w:rPr>
              <w:color w:val="auto"/>
            </w:rPr>
            <w:fldChar w:fldCharType="begin"/>
          </w:r>
          <w:r>
            <w:rPr>
              <w:color w:val="auto"/>
            </w:rPr>
            <w:instrText xml:space="preserve"> PAGEREF _Toc6156 \h </w:instrText>
          </w:r>
          <w:r>
            <w:rPr>
              <w:color w:val="auto"/>
            </w:rPr>
            <w:fldChar w:fldCharType="separate"/>
          </w:r>
          <w:r>
            <w:rPr>
              <w:color w:val="auto"/>
            </w:rPr>
            <w:t>21</w:t>
          </w:r>
          <w:r>
            <w:rPr>
              <w:color w:val="auto"/>
            </w:rPr>
            <w:fldChar w:fldCharType="end"/>
          </w:r>
          <w:r>
            <w:rPr>
              <w:color w:val="auto"/>
            </w:rPr>
            <w:fldChar w:fldCharType="end"/>
          </w:r>
        </w:p>
        <w:p w14:paraId="1CE00117">
          <w:pPr>
            <w:pStyle w:val="12"/>
            <w:tabs>
              <w:tab w:val="right" w:leader="dot" w:pos="8306"/>
            </w:tabs>
            <w:rPr>
              <w:color w:val="auto"/>
            </w:rPr>
          </w:pPr>
          <w:r>
            <w:rPr>
              <w:color w:val="auto"/>
            </w:rPr>
            <w:fldChar w:fldCharType="begin"/>
          </w:r>
          <w:r>
            <w:rPr>
              <w:color w:val="auto"/>
            </w:rPr>
            <w:instrText xml:space="preserve"> HYPERLINK \l _Toc26276 </w:instrText>
          </w:r>
          <w:r>
            <w:rPr>
              <w:color w:val="auto"/>
            </w:rPr>
            <w:fldChar w:fldCharType="separate"/>
          </w:r>
          <w:r>
            <w:rPr>
              <w:rFonts w:hint="eastAsia"/>
              <w:color w:val="auto"/>
              <w:lang w:val="zh-CN" w:eastAsia="zh-CN"/>
            </w:rPr>
            <w:t xml:space="preserve">第五章  </w:t>
          </w:r>
          <w:r>
            <w:rPr>
              <w:rFonts w:hint="eastAsia"/>
              <w:color w:val="auto"/>
            </w:rPr>
            <w:t>合同格式</w:t>
          </w:r>
          <w:r>
            <w:rPr>
              <w:color w:val="auto"/>
            </w:rPr>
            <w:tab/>
          </w:r>
          <w:r>
            <w:rPr>
              <w:color w:val="auto"/>
            </w:rPr>
            <w:fldChar w:fldCharType="begin"/>
          </w:r>
          <w:r>
            <w:rPr>
              <w:color w:val="auto"/>
            </w:rPr>
            <w:instrText xml:space="preserve"> PAGEREF _Toc26276 \h </w:instrText>
          </w:r>
          <w:r>
            <w:rPr>
              <w:color w:val="auto"/>
            </w:rPr>
            <w:fldChar w:fldCharType="separate"/>
          </w:r>
          <w:r>
            <w:rPr>
              <w:color w:val="auto"/>
            </w:rPr>
            <w:t>28</w:t>
          </w:r>
          <w:r>
            <w:rPr>
              <w:color w:val="auto"/>
            </w:rPr>
            <w:fldChar w:fldCharType="end"/>
          </w:r>
          <w:r>
            <w:rPr>
              <w:color w:val="auto"/>
            </w:rPr>
            <w:fldChar w:fldCharType="end"/>
          </w:r>
        </w:p>
        <w:p w14:paraId="5B0B0566">
          <w:pPr>
            <w:pStyle w:val="12"/>
            <w:tabs>
              <w:tab w:val="right" w:leader="dot" w:pos="8306"/>
            </w:tabs>
            <w:rPr>
              <w:color w:val="auto"/>
            </w:rPr>
          </w:pPr>
          <w:r>
            <w:rPr>
              <w:color w:val="auto"/>
            </w:rPr>
            <w:fldChar w:fldCharType="begin"/>
          </w:r>
          <w:r>
            <w:rPr>
              <w:color w:val="auto"/>
            </w:rPr>
            <w:instrText xml:space="preserve"> HYPERLINK \l _Toc28985 </w:instrText>
          </w:r>
          <w:r>
            <w:rPr>
              <w:color w:val="auto"/>
            </w:rPr>
            <w:fldChar w:fldCharType="separate"/>
          </w:r>
          <w:r>
            <w:rPr>
              <w:rFonts w:hint="eastAsia"/>
              <w:color w:val="auto"/>
            </w:rPr>
            <w:t>第六章  投标文件格式</w:t>
          </w:r>
          <w:r>
            <w:rPr>
              <w:color w:val="auto"/>
            </w:rPr>
            <w:tab/>
          </w:r>
          <w:r>
            <w:rPr>
              <w:color w:val="auto"/>
            </w:rPr>
            <w:fldChar w:fldCharType="begin"/>
          </w:r>
          <w:r>
            <w:rPr>
              <w:color w:val="auto"/>
            </w:rPr>
            <w:instrText xml:space="preserve"> PAGEREF _Toc28985 \h </w:instrText>
          </w:r>
          <w:r>
            <w:rPr>
              <w:color w:val="auto"/>
            </w:rPr>
            <w:fldChar w:fldCharType="separate"/>
          </w:r>
          <w:r>
            <w:rPr>
              <w:color w:val="auto"/>
            </w:rPr>
            <w:t>32</w:t>
          </w:r>
          <w:r>
            <w:rPr>
              <w:color w:val="auto"/>
            </w:rPr>
            <w:fldChar w:fldCharType="end"/>
          </w:r>
          <w:r>
            <w:rPr>
              <w:color w:val="auto"/>
            </w:rPr>
            <w:fldChar w:fldCharType="end"/>
          </w:r>
        </w:p>
        <w:p w14:paraId="619C1B57">
          <w:pPr>
            <w:rPr>
              <w:rFonts w:ascii="Times New Roman" w:hAnsi="Times New Roman" w:eastAsia="宋体" w:cs="Times New Roman"/>
              <w:color w:val="auto"/>
              <w:kern w:val="2"/>
              <w:sz w:val="21"/>
              <w:szCs w:val="22"/>
              <w:lang w:val="en-US" w:eastAsia="zh-CN" w:bidi="ar-SA"/>
            </w:rPr>
          </w:pPr>
          <w:r>
            <w:rPr>
              <w:color w:val="auto"/>
            </w:rPr>
            <w:fldChar w:fldCharType="end"/>
          </w:r>
        </w:p>
      </w:sdtContent>
    </w:sdt>
    <w:p w14:paraId="3416C4B8">
      <w:pPr>
        <w:rPr>
          <w:color w:val="auto"/>
        </w:rPr>
      </w:pPr>
      <w:r>
        <w:rPr>
          <w:color w:val="auto"/>
        </w:rPr>
        <w:br w:type="page"/>
      </w:r>
    </w:p>
    <w:p w14:paraId="3DC25DF9">
      <w:pPr>
        <w:pStyle w:val="2"/>
        <w:bidi w:val="0"/>
        <w:rPr>
          <w:rFonts w:hint="eastAsia"/>
          <w:color w:val="auto"/>
          <w:lang w:val="en-US" w:eastAsia="zh-CN"/>
        </w:rPr>
      </w:pPr>
      <w:bookmarkStart w:id="2" w:name="_Toc25376"/>
      <w:bookmarkStart w:id="3" w:name="_Toc25351"/>
      <w:r>
        <w:rPr>
          <w:rFonts w:hint="eastAsia"/>
          <w:color w:val="auto"/>
          <w:lang w:val="en-US" w:eastAsia="zh-CN"/>
        </w:rPr>
        <w:t>第一章  招标公告</w:t>
      </w:r>
      <w:bookmarkEnd w:id="2"/>
      <w:bookmarkEnd w:id="3"/>
    </w:p>
    <w:p w14:paraId="49C9836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项目</w:t>
      </w:r>
      <w:r>
        <w:rPr>
          <w:rFonts w:hint="eastAsia" w:ascii="宋体" w:hAnsi="宋体" w:eastAsia="宋体" w:cs="宋体"/>
          <w:color w:val="auto"/>
          <w:sz w:val="21"/>
          <w:szCs w:val="21"/>
          <w:lang w:val="en-US" w:eastAsia="zh-CN"/>
        </w:rPr>
        <w:t>概况</w:t>
      </w:r>
      <w:r>
        <w:rPr>
          <w:rFonts w:hint="eastAsia" w:ascii="宋体" w:hAnsi="宋体" w:eastAsia="宋体" w:cs="宋体"/>
          <w:color w:val="auto"/>
          <w:sz w:val="21"/>
          <w:szCs w:val="21"/>
          <w:lang w:val="zh-CN"/>
        </w:rPr>
        <w:t>：</w:t>
      </w:r>
      <w:r>
        <w:rPr>
          <w:rFonts w:hint="eastAsia" w:ascii="宋体" w:hAnsi="宋体" w:cs="宋体"/>
          <w:color w:val="auto"/>
          <w:sz w:val="21"/>
          <w:szCs w:val="21"/>
          <w:u w:val="single"/>
          <w:lang w:val="zh-CN"/>
        </w:rPr>
        <w:t>大冶市东风路街道观山社区粮库以北建设美食城安装800KW变压器开户设备</w:t>
      </w:r>
      <w:r>
        <w:rPr>
          <w:rFonts w:hint="eastAsia" w:ascii="宋体" w:hAnsi="宋体" w:eastAsia="宋体" w:cs="宋体"/>
          <w:color w:val="auto"/>
          <w:sz w:val="21"/>
          <w:szCs w:val="21"/>
          <w:lang w:val="zh-CN" w:eastAsia="zh-CN"/>
        </w:rPr>
        <w:t xml:space="preserve"> </w:t>
      </w:r>
      <w:r>
        <w:rPr>
          <w:rFonts w:hint="eastAsia" w:ascii="宋体" w:hAnsi="宋体" w:eastAsia="宋体" w:cs="宋体"/>
          <w:color w:val="auto"/>
          <w:sz w:val="21"/>
          <w:szCs w:val="21"/>
          <w:lang w:val="zh-CN"/>
        </w:rPr>
        <w:t>，建设资金来自</w:t>
      </w:r>
      <w:r>
        <w:rPr>
          <w:rFonts w:hint="eastAsia" w:ascii="宋体" w:hAnsi="宋体" w:cs="宋体"/>
          <w:color w:val="auto"/>
          <w:sz w:val="21"/>
          <w:szCs w:val="21"/>
          <w:u w:val="single"/>
          <w:lang w:val="en-US" w:eastAsia="zh-CN"/>
        </w:rPr>
        <w:t>自筹资金</w:t>
      </w:r>
      <w:r>
        <w:rPr>
          <w:rFonts w:hint="eastAsia" w:ascii="宋体" w:hAnsi="宋体" w:eastAsia="宋体" w:cs="宋体"/>
          <w:color w:val="auto"/>
          <w:sz w:val="21"/>
          <w:szCs w:val="21"/>
          <w:lang w:val="zh-CN"/>
        </w:rPr>
        <w:t>，招标人为</w:t>
      </w:r>
      <w:r>
        <w:rPr>
          <w:rFonts w:hint="eastAsia" w:ascii="宋体" w:hAnsi="宋体" w:cs="宋体"/>
          <w:color w:val="auto"/>
          <w:sz w:val="21"/>
          <w:szCs w:val="21"/>
          <w:u w:val="single"/>
          <w:lang w:val="zh-CN" w:eastAsia="zh-CN"/>
        </w:rPr>
        <w:t>大冶市东风路街道观山社区居民委员会</w:t>
      </w:r>
      <w:r>
        <w:rPr>
          <w:rFonts w:hint="eastAsia" w:ascii="宋体" w:hAnsi="宋体" w:eastAsia="宋体" w:cs="宋体"/>
          <w:color w:val="auto"/>
          <w:sz w:val="21"/>
          <w:szCs w:val="21"/>
          <w:lang w:val="zh-CN"/>
        </w:rPr>
        <w:t>，招标代理机构为</w:t>
      </w:r>
      <w:r>
        <w:rPr>
          <w:rFonts w:hint="eastAsia" w:ascii="宋体" w:hAnsi="宋体" w:cs="宋体"/>
          <w:color w:val="auto"/>
          <w:sz w:val="21"/>
          <w:szCs w:val="21"/>
          <w:u w:val="single"/>
          <w:lang w:val="zh-CN" w:eastAsia="zh-CN"/>
        </w:rPr>
        <w:t>黄石市兴发工程咨询有限公司</w:t>
      </w:r>
      <w:r>
        <w:rPr>
          <w:rFonts w:hint="eastAsia" w:ascii="宋体" w:hAnsi="宋体" w:eastAsia="宋体" w:cs="宋体"/>
          <w:color w:val="auto"/>
          <w:sz w:val="21"/>
          <w:szCs w:val="21"/>
          <w:lang w:val="zh-CN"/>
        </w:rPr>
        <w:t>。项目已具备招标条件，现对该项目的</w:t>
      </w:r>
      <w:r>
        <w:rPr>
          <w:rFonts w:hint="eastAsia" w:ascii="宋体" w:hAnsi="宋体" w:eastAsia="宋体" w:cs="宋体"/>
          <w:color w:val="auto"/>
          <w:sz w:val="21"/>
          <w:szCs w:val="21"/>
          <w:lang w:val="en-US" w:eastAsia="zh-CN"/>
        </w:rPr>
        <w:t>采购</w:t>
      </w:r>
      <w:r>
        <w:rPr>
          <w:rFonts w:hint="eastAsia" w:ascii="宋体" w:hAnsi="宋体" w:eastAsia="宋体" w:cs="宋体"/>
          <w:color w:val="auto"/>
          <w:sz w:val="21"/>
          <w:szCs w:val="21"/>
          <w:lang w:val="zh-CN"/>
        </w:rPr>
        <w:t>进行公开招标。</w:t>
      </w:r>
    </w:p>
    <w:p w14:paraId="699FDBE9">
      <w:pPr>
        <w:pStyle w:val="5"/>
        <w:bidi w:val="0"/>
        <w:rPr>
          <w:rFonts w:hint="eastAsia"/>
          <w:color w:val="auto"/>
        </w:rPr>
      </w:pPr>
      <w:r>
        <w:rPr>
          <w:rFonts w:hint="eastAsia"/>
          <w:color w:val="auto"/>
        </w:rPr>
        <w:t>一、项目基本情况</w:t>
      </w:r>
    </w:p>
    <w:p w14:paraId="0AECA2A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1、项目编</w:t>
      </w:r>
      <w:r>
        <w:rPr>
          <w:rFonts w:hint="eastAsia" w:ascii="宋体" w:hAnsi="宋体" w:eastAsia="宋体" w:cs="宋体"/>
          <w:color w:val="auto"/>
          <w:sz w:val="21"/>
          <w:szCs w:val="21"/>
          <w:highlight w:val="none"/>
          <w:lang w:val="zh-CN"/>
        </w:rPr>
        <w:t>号：</w:t>
      </w:r>
      <w:r>
        <w:rPr>
          <w:rFonts w:hint="eastAsia" w:ascii="宋体" w:hAnsi="宋体" w:cs="宋体"/>
          <w:color w:val="auto"/>
          <w:sz w:val="21"/>
          <w:szCs w:val="21"/>
          <w:highlight w:val="none"/>
          <w:lang w:val="zh-CN"/>
        </w:rPr>
        <w:t>冶农采[2026]0003号</w:t>
      </w:r>
    </w:p>
    <w:p w14:paraId="36EAABA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rPr>
        <w:t>2、项目名称：</w:t>
      </w:r>
      <w:r>
        <w:rPr>
          <w:rFonts w:hint="eastAsia" w:ascii="宋体" w:hAnsi="宋体" w:cs="宋体"/>
          <w:color w:val="auto"/>
          <w:sz w:val="21"/>
          <w:szCs w:val="21"/>
          <w:lang w:val="zh-CN"/>
        </w:rPr>
        <w:t>大冶市东风路街道观山社区粮库以北建设美食城安装800KW变压器开户设备</w:t>
      </w:r>
    </w:p>
    <w:p w14:paraId="2D611E5A">
      <w:pPr>
        <w:keepNext w:val="0"/>
        <w:keepLines w:val="0"/>
        <w:pageBreakBefore w:val="0"/>
        <w:widowControl w:val="0"/>
        <w:tabs>
          <w:tab w:val="left" w:pos="6497"/>
        </w:tabs>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lang w:eastAsia="zh-CN"/>
        </w:rPr>
      </w:pPr>
      <w:r>
        <w:rPr>
          <w:rFonts w:hint="eastAsia" w:ascii="宋体" w:hAnsi="宋体" w:cs="宋体"/>
          <w:color w:val="auto"/>
          <w:sz w:val="21"/>
          <w:szCs w:val="21"/>
          <w:lang w:val="en-US" w:eastAsia="zh-CN"/>
        </w:rPr>
        <w:t>3</w:t>
      </w:r>
      <w:r>
        <w:rPr>
          <w:rFonts w:hint="eastAsia" w:ascii="宋体" w:hAnsi="宋体" w:eastAsia="宋体" w:cs="宋体"/>
          <w:color w:val="auto"/>
          <w:sz w:val="21"/>
          <w:szCs w:val="21"/>
        </w:rPr>
        <w:t>、采购方式：公开招标</w:t>
      </w:r>
      <w:r>
        <w:rPr>
          <w:rFonts w:hint="eastAsia" w:ascii="宋体" w:hAnsi="宋体" w:cs="宋体"/>
          <w:color w:val="auto"/>
          <w:sz w:val="21"/>
          <w:szCs w:val="21"/>
          <w:lang w:eastAsia="zh-CN"/>
        </w:rPr>
        <w:tab/>
      </w:r>
    </w:p>
    <w:p w14:paraId="4028749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4</w:t>
      </w:r>
      <w:r>
        <w:rPr>
          <w:rFonts w:hint="eastAsia" w:ascii="宋体" w:hAnsi="宋体" w:eastAsia="宋体" w:cs="宋体"/>
          <w:color w:val="auto"/>
          <w:sz w:val="21"/>
          <w:szCs w:val="21"/>
        </w:rPr>
        <w:t>、采购预算：</w:t>
      </w:r>
      <w:r>
        <w:rPr>
          <w:rFonts w:hint="eastAsia" w:ascii="宋体" w:hAnsi="宋体" w:cs="宋体"/>
          <w:color w:val="auto"/>
          <w:sz w:val="21"/>
          <w:szCs w:val="21"/>
          <w:lang w:val="zh-CN"/>
        </w:rPr>
        <w:t>¥</w:t>
      </w:r>
      <w:r>
        <w:rPr>
          <w:rFonts w:hint="eastAsia" w:ascii="宋体" w:hAnsi="宋体" w:cs="宋体"/>
          <w:color w:val="auto"/>
          <w:sz w:val="21"/>
          <w:szCs w:val="21"/>
          <w:lang w:eastAsia="zh-CN"/>
        </w:rPr>
        <w:t>547293.50</w:t>
      </w:r>
      <w:r>
        <w:rPr>
          <w:rFonts w:hint="eastAsia" w:ascii="宋体" w:hAnsi="宋体" w:eastAsia="宋体" w:cs="宋体"/>
          <w:color w:val="auto"/>
          <w:sz w:val="21"/>
          <w:szCs w:val="21"/>
          <w:lang w:eastAsia="zh-CN"/>
        </w:rPr>
        <w:t>元</w:t>
      </w:r>
    </w:p>
    <w:p w14:paraId="3FAA4F1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最高限价：</w:t>
      </w:r>
      <w:r>
        <w:rPr>
          <w:rFonts w:hint="eastAsia" w:ascii="宋体" w:hAnsi="宋体" w:cs="宋体"/>
          <w:color w:val="auto"/>
          <w:sz w:val="21"/>
          <w:szCs w:val="21"/>
          <w:lang w:val="zh-CN"/>
        </w:rPr>
        <w:t>¥</w:t>
      </w:r>
      <w:r>
        <w:rPr>
          <w:rFonts w:hint="eastAsia" w:ascii="宋体" w:hAnsi="宋体" w:cs="宋体"/>
          <w:color w:val="auto"/>
          <w:sz w:val="21"/>
          <w:szCs w:val="21"/>
          <w:lang w:eastAsia="zh-CN"/>
        </w:rPr>
        <w:t>547293.50</w:t>
      </w:r>
      <w:r>
        <w:rPr>
          <w:rFonts w:hint="eastAsia" w:ascii="宋体" w:hAnsi="宋体" w:eastAsia="宋体" w:cs="宋体"/>
          <w:color w:val="auto"/>
          <w:sz w:val="21"/>
          <w:szCs w:val="21"/>
          <w:lang w:eastAsia="zh-CN"/>
        </w:rPr>
        <w:t>元</w:t>
      </w:r>
    </w:p>
    <w:p w14:paraId="77F4068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yellow"/>
          <w:lang w:val="en-US" w:eastAsia="zh-CN"/>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合同履行期限</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自合同签订之日起</w:t>
      </w:r>
      <w:r>
        <w:rPr>
          <w:rFonts w:hint="eastAsia" w:ascii="宋体" w:hAnsi="宋体" w:cs="宋体"/>
          <w:color w:val="auto"/>
          <w:sz w:val="21"/>
          <w:szCs w:val="21"/>
          <w:highlight w:val="none"/>
          <w:lang w:val="en-US" w:eastAsia="zh-CN"/>
        </w:rPr>
        <w:t>15</w:t>
      </w:r>
      <w:r>
        <w:rPr>
          <w:rFonts w:hint="eastAsia" w:ascii="宋体" w:hAnsi="宋体" w:eastAsia="宋体" w:cs="宋体"/>
          <w:color w:val="auto"/>
          <w:sz w:val="21"/>
          <w:szCs w:val="21"/>
          <w:highlight w:val="none"/>
          <w:lang w:val="en-US" w:eastAsia="zh-CN"/>
        </w:rPr>
        <w:t>个</w:t>
      </w:r>
      <w:r>
        <w:rPr>
          <w:rFonts w:hint="eastAsia" w:ascii="宋体" w:hAnsi="宋体" w:cs="宋体"/>
          <w:color w:val="auto"/>
          <w:sz w:val="21"/>
          <w:szCs w:val="21"/>
          <w:highlight w:val="none"/>
          <w:lang w:val="en-US" w:eastAsia="zh-CN"/>
        </w:rPr>
        <w:t>日历天</w:t>
      </w:r>
      <w:r>
        <w:rPr>
          <w:rFonts w:hint="eastAsia" w:ascii="宋体" w:hAnsi="宋体" w:eastAsia="宋体" w:cs="宋体"/>
          <w:color w:val="auto"/>
          <w:sz w:val="21"/>
          <w:szCs w:val="21"/>
          <w:highlight w:val="none"/>
          <w:lang w:val="en-US" w:eastAsia="zh-CN"/>
        </w:rPr>
        <w:t>内完成货物的安装及交付</w:t>
      </w:r>
    </w:p>
    <w:p w14:paraId="270E038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lang w:val="en-US" w:eastAsia="zh-CN"/>
        </w:rPr>
      </w:pPr>
      <w:r>
        <w:rPr>
          <w:rFonts w:hint="eastAsia" w:ascii="宋体" w:hAnsi="宋体" w:cs="宋体"/>
          <w:color w:val="auto"/>
          <w:sz w:val="21"/>
          <w:szCs w:val="21"/>
          <w:highlight w:val="none"/>
          <w:lang w:val="en-US" w:eastAsia="zh-CN"/>
        </w:rPr>
        <w:t>8、采购需求：</w:t>
      </w:r>
      <w:r>
        <w:rPr>
          <w:rFonts w:hint="eastAsia" w:asciiTheme="minorEastAsia" w:hAnsiTheme="minorEastAsia" w:eastAsiaTheme="minorEastAsia" w:cstheme="minorEastAsia"/>
          <w:color w:val="auto"/>
          <w:sz w:val="21"/>
          <w:szCs w:val="21"/>
          <w:lang w:val="en-US" w:eastAsia="zh-CN"/>
        </w:rPr>
        <w:t>具体内容详见第三章采购需求</w:t>
      </w:r>
    </w:p>
    <w:p w14:paraId="278BF82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u w:val="none"/>
        </w:rPr>
      </w:pPr>
      <w:r>
        <w:rPr>
          <w:rFonts w:hint="eastAsia" w:ascii="宋体" w:hAnsi="宋体" w:cs="宋体"/>
          <w:color w:val="auto"/>
          <w:sz w:val="21"/>
          <w:szCs w:val="21"/>
          <w:lang w:val="en-US" w:eastAsia="zh-CN"/>
        </w:rPr>
        <w:t>9</w:t>
      </w:r>
      <w:r>
        <w:rPr>
          <w:rFonts w:hint="eastAsia" w:ascii="宋体" w:hAnsi="宋体" w:eastAsia="宋体" w:cs="宋体"/>
          <w:color w:val="auto"/>
          <w:sz w:val="21"/>
          <w:szCs w:val="21"/>
        </w:rPr>
        <w:t>、本项目（是/否）接受联合体投标：</w:t>
      </w:r>
      <w:r>
        <w:rPr>
          <w:rFonts w:hint="eastAsia" w:ascii="宋体" w:hAnsi="宋体" w:eastAsia="宋体" w:cs="宋体"/>
          <w:color w:val="auto"/>
          <w:sz w:val="21"/>
          <w:szCs w:val="21"/>
          <w:u w:val="none"/>
        </w:rPr>
        <w:t xml:space="preserve">否   </w:t>
      </w:r>
    </w:p>
    <w:p w14:paraId="47E1089F">
      <w:pPr>
        <w:pStyle w:val="5"/>
        <w:keepNext w:val="0"/>
        <w:keepLines w:val="0"/>
        <w:pageBreakBefore w:val="0"/>
        <w:widowControl w:val="0"/>
        <w:kinsoku/>
        <w:wordWrap/>
        <w:overflowPunct/>
        <w:topLinePunct w:val="0"/>
        <w:autoSpaceDE/>
        <w:autoSpaceDN/>
        <w:bidi w:val="0"/>
        <w:adjustRightInd/>
        <w:snapToGrid/>
        <w:spacing w:before="0" w:beforeLines="0"/>
        <w:textAlignment w:val="auto"/>
        <w:rPr>
          <w:rFonts w:hint="eastAsia"/>
          <w:color w:val="auto"/>
        </w:rPr>
      </w:pPr>
      <w:r>
        <w:rPr>
          <w:rFonts w:hint="eastAsia"/>
          <w:color w:val="auto"/>
        </w:rPr>
        <w:t xml:space="preserve">二、投标人资格要求 </w:t>
      </w:r>
    </w:p>
    <w:p w14:paraId="48DBA912">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1、满足《中华人民共和国政府采购法》第二十二条规定，即：</w:t>
      </w:r>
    </w:p>
    <w:p w14:paraId="4165432A">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（1）具有独立承担民事责任的能力；</w:t>
      </w:r>
    </w:p>
    <w:p w14:paraId="19649D9C">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（2）具有良好的商业信誉和健全的财务会计制度；</w:t>
      </w:r>
    </w:p>
    <w:p w14:paraId="7242124C">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（3）具有履行合同所必需的设备和专业技术能力；</w:t>
      </w:r>
    </w:p>
    <w:p w14:paraId="7BFF214E">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（4）有依法缴纳税收和社会保障资金的良好记录；</w:t>
      </w:r>
    </w:p>
    <w:p w14:paraId="6400D3F5">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（5）参加政府采购活动前三年内，在经营活动中没有重大违法记录；</w:t>
      </w:r>
    </w:p>
    <w:p w14:paraId="1E11860A">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（6）法律、行政法规规定的其他条件。</w:t>
      </w:r>
    </w:p>
    <w:p w14:paraId="6DA0633E">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2</w:t>
      </w:r>
      <w:r>
        <w:rPr>
          <w:rFonts w:hint="eastAsia" w:ascii="宋体" w:hAnsi="宋体" w:eastAsia="宋体" w:cs="宋体"/>
          <w:color w:val="auto"/>
          <w:sz w:val="21"/>
          <w:szCs w:val="21"/>
        </w:rPr>
        <w:t>、未被列入失信被执行人、重大税收违法失信主体，未被列入政府采购严重违法失信行为记录名单；</w:t>
      </w:r>
    </w:p>
    <w:p w14:paraId="074A4468">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、特定资格要求：</w:t>
      </w:r>
    </w:p>
    <w:p w14:paraId="687BB720">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供应商具备建设行政主管部门核发的电力工程施工总承包或输变电工程专业承包叁级（含）以上资质，同时具备承装(修、试)电力设施承装类、承修类、承试类许可四级（含）以上等级，具备有效的安全生产许可证。拟派的项目经理须具备建设行政主管部门核发的机电工程专业贰级（含）以上注册建造师资格（不含临时证），具备有效的安全生产考核合格证书（B证），且未担任其他在建工程项目的项目经理。技术负责人具有相关专业中级或以上职称，施工员、质检（质量）员、材料员、资料员、安全员具备岗位证书，安全员具备安全生产考核合格证书（C证）。</w:t>
      </w:r>
    </w:p>
    <w:p w14:paraId="358B244B">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4、</w:t>
      </w:r>
      <w:r>
        <w:rPr>
          <w:rFonts w:hint="eastAsia" w:ascii="宋体" w:hAnsi="宋体" w:eastAsia="宋体" w:cs="宋体"/>
          <w:color w:val="auto"/>
          <w:sz w:val="21"/>
          <w:szCs w:val="21"/>
        </w:rPr>
        <w:t>本项目不接受联合体投标，不允许分包、转包。</w:t>
      </w:r>
    </w:p>
    <w:p w14:paraId="41EF658A">
      <w:pPr>
        <w:pStyle w:val="5"/>
        <w:bidi w:val="0"/>
        <w:rPr>
          <w:rFonts w:hint="eastAsia"/>
          <w:color w:val="auto"/>
        </w:rPr>
      </w:pPr>
      <w:r>
        <w:rPr>
          <w:rFonts w:hint="eastAsia"/>
          <w:color w:val="auto"/>
        </w:rPr>
        <w:t>三、</w:t>
      </w:r>
      <w:r>
        <w:rPr>
          <w:rFonts w:hint="eastAsia"/>
          <w:color w:val="auto"/>
          <w:lang w:val="en-US" w:eastAsia="zh-CN"/>
        </w:rPr>
        <w:t>获取招标文件</w:t>
      </w:r>
    </w:p>
    <w:p w14:paraId="109CCA42">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1、时间：</w:t>
      </w:r>
      <w:r>
        <w:rPr>
          <w:rFonts w:hint="eastAsia" w:ascii="宋体" w:hAnsi="宋体" w:cs="宋体"/>
          <w:color w:val="auto"/>
          <w:sz w:val="21"/>
          <w:szCs w:val="21"/>
          <w:lang w:val="en-US" w:eastAsia="zh-CN"/>
        </w:rPr>
        <w:t>2026</w:t>
      </w:r>
      <w:r>
        <w:rPr>
          <w:rFonts w:hint="eastAsia" w:ascii="宋体" w:hAnsi="宋体" w:eastAsia="宋体" w:cs="宋体"/>
          <w:color w:val="auto"/>
          <w:sz w:val="21"/>
          <w:szCs w:val="21"/>
          <w:lang w:val="en-US" w:eastAsia="zh-CN"/>
        </w:rPr>
        <w:t>年</w:t>
      </w:r>
      <w:r>
        <w:rPr>
          <w:rFonts w:hint="eastAsia" w:ascii="宋体" w:hAnsi="宋体" w:cs="宋体"/>
          <w:color w:val="auto"/>
          <w:sz w:val="21"/>
          <w:szCs w:val="21"/>
          <w:lang w:val="en-US" w:eastAsia="zh-CN"/>
        </w:rPr>
        <w:t>02</w:t>
      </w:r>
      <w:r>
        <w:rPr>
          <w:rFonts w:hint="eastAsia" w:ascii="宋体" w:hAnsi="宋体" w:eastAsia="宋体" w:cs="宋体"/>
          <w:color w:val="auto"/>
          <w:sz w:val="21"/>
          <w:szCs w:val="21"/>
          <w:lang w:val="en-US" w:eastAsia="zh-CN"/>
        </w:rPr>
        <w:t>月</w:t>
      </w:r>
      <w:r>
        <w:rPr>
          <w:rFonts w:hint="eastAsia" w:ascii="宋体" w:hAnsi="宋体" w:cs="宋体"/>
          <w:color w:val="auto"/>
          <w:sz w:val="21"/>
          <w:szCs w:val="21"/>
          <w:lang w:val="en-US" w:eastAsia="zh-CN"/>
        </w:rPr>
        <w:t>27</w:t>
      </w:r>
      <w:r>
        <w:rPr>
          <w:rFonts w:hint="eastAsia" w:ascii="宋体" w:hAnsi="宋体" w:eastAsia="宋体" w:cs="宋体"/>
          <w:color w:val="auto"/>
          <w:sz w:val="21"/>
          <w:szCs w:val="21"/>
          <w:lang w:val="en-US" w:eastAsia="zh-CN"/>
        </w:rPr>
        <w:t>日至</w:t>
      </w:r>
      <w:r>
        <w:rPr>
          <w:rFonts w:hint="eastAsia" w:ascii="宋体" w:hAnsi="宋体" w:cs="宋体"/>
          <w:color w:val="auto"/>
          <w:sz w:val="21"/>
          <w:szCs w:val="21"/>
          <w:lang w:val="en-US" w:eastAsia="zh-CN"/>
        </w:rPr>
        <w:t>2026</w:t>
      </w:r>
      <w:r>
        <w:rPr>
          <w:rFonts w:hint="eastAsia" w:ascii="宋体" w:hAnsi="宋体" w:eastAsia="宋体" w:cs="宋体"/>
          <w:color w:val="auto"/>
          <w:sz w:val="21"/>
          <w:szCs w:val="21"/>
          <w:lang w:val="en-US" w:eastAsia="zh-CN"/>
        </w:rPr>
        <w:t>年</w:t>
      </w:r>
      <w:r>
        <w:rPr>
          <w:rFonts w:hint="eastAsia" w:ascii="宋体" w:hAnsi="宋体" w:cs="宋体"/>
          <w:color w:val="auto"/>
          <w:sz w:val="21"/>
          <w:szCs w:val="21"/>
          <w:lang w:val="en-US" w:eastAsia="zh-CN"/>
        </w:rPr>
        <w:t>3</w:t>
      </w:r>
      <w:r>
        <w:rPr>
          <w:rFonts w:hint="eastAsia" w:ascii="宋体" w:hAnsi="宋体" w:eastAsia="宋体" w:cs="宋体"/>
          <w:color w:val="auto"/>
          <w:sz w:val="21"/>
          <w:szCs w:val="21"/>
          <w:lang w:val="en-US" w:eastAsia="zh-CN"/>
        </w:rPr>
        <w:t>月</w:t>
      </w:r>
      <w:r>
        <w:rPr>
          <w:rFonts w:hint="eastAsia" w:ascii="宋体" w:hAnsi="宋体" w:cs="宋体"/>
          <w:color w:val="auto"/>
          <w:sz w:val="21"/>
          <w:szCs w:val="21"/>
          <w:lang w:val="en-US" w:eastAsia="zh-CN"/>
        </w:rPr>
        <w:t>18</w:t>
      </w:r>
      <w:r>
        <w:rPr>
          <w:rFonts w:hint="eastAsia" w:ascii="宋体" w:hAnsi="宋体" w:eastAsia="宋体" w:cs="宋体"/>
          <w:color w:val="auto"/>
          <w:sz w:val="21"/>
          <w:szCs w:val="21"/>
          <w:lang w:val="en-US" w:eastAsia="zh-CN"/>
        </w:rPr>
        <w:t>日</w:t>
      </w:r>
    </w:p>
    <w:p w14:paraId="18856275">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2</w:t>
      </w:r>
      <w:r>
        <w:rPr>
          <w:rFonts w:hint="eastAsia" w:ascii="宋体" w:hAnsi="宋体" w:eastAsia="宋体" w:cs="宋体"/>
          <w:color w:val="auto"/>
          <w:sz w:val="21"/>
          <w:szCs w:val="21"/>
          <w:lang w:val="en-US" w:eastAsia="zh-CN"/>
        </w:rPr>
        <w:t>、方式</w:t>
      </w:r>
      <w:r>
        <w:rPr>
          <w:rFonts w:hint="eastAsia" w:ascii="宋体" w:hAnsi="宋体" w:cs="宋体"/>
          <w:color w:val="auto"/>
          <w:sz w:val="21"/>
          <w:szCs w:val="21"/>
          <w:lang w:val="en-US" w:eastAsia="zh-CN"/>
        </w:rPr>
        <w:t>：凡有意参加投标者，请通过互联网使用登录云上大冶-聚焦三农板块（http://dayeyun.cjyun.org/z/133229/），下载招标文件。</w:t>
      </w:r>
    </w:p>
    <w:p w14:paraId="15093766">
      <w:pPr>
        <w:keepNext w:val="0"/>
        <w:keepLines w:val="0"/>
        <w:pageBreakBefore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color w:val="auto"/>
          <w:sz w:val="21"/>
          <w:szCs w:val="21"/>
        </w:rPr>
      </w:pPr>
      <w:r>
        <w:rPr>
          <w:rFonts w:hint="eastAsia" w:ascii="宋体" w:hAnsi="宋体" w:eastAsia="宋体" w:cs="宋体"/>
          <w:b/>
          <w:bCs/>
          <w:color w:val="auto"/>
          <w:sz w:val="21"/>
          <w:szCs w:val="21"/>
          <w:lang w:val="en-US" w:eastAsia="zh-CN"/>
        </w:rPr>
        <w:t>四、投标文件的递交截止时间、开标时间</w:t>
      </w:r>
    </w:p>
    <w:p w14:paraId="569399EE">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auto"/>
          <w:sz w:val="21"/>
          <w:szCs w:val="21"/>
          <w:lang w:val="en-US" w:eastAsia="zh-CN"/>
        </w:rPr>
      </w:pPr>
      <w:r>
        <w:rPr>
          <w:rFonts w:hint="eastAsia" w:ascii="宋体" w:hAnsi="宋体" w:eastAsia="宋体" w:cs="宋体"/>
          <w:color w:val="auto"/>
          <w:sz w:val="21"/>
          <w:szCs w:val="21"/>
          <w:lang w:val="en-US" w:eastAsia="zh-CN"/>
        </w:rPr>
        <w:t>1、递交投标文件的截止时间为</w:t>
      </w:r>
      <w:r>
        <w:rPr>
          <w:rFonts w:hint="eastAsia" w:ascii="宋体" w:hAnsi="宋体" w:cs="宋体"/>
          <w:color w:val="auto"/>
          <w:sz w:val="21"/>
          <w:szCs w:val="21"/>
          <w:lang w:val="en-US" w:eastAsia="zh-CN"/>
        </w:rPr>
        <w:t>2026</w:t>
      </w:r>
      <w:r>
        <w:rPr>
          <w:rFonts w:hint="eastAsia" w:ascii="宋体" w:hAnsi="宋体" w:eastAsia="宋体" w:cs="宋体"/>
          <w:color w:val="auto"/>
          <w:sz w:val="21"/>
          <w:szCs w:val="21"/>
          <w:lang w:val="en-US" w:eastAsia="zh-CN"/>
        </w:rPr>
        <w:t>年</w:t>
      </w:r>
      <w:r>
        <w:rPr>
          <w:rFonts w:hint="eastAsia" w:ascii="宋体" w:hAnsi="宋体" w:cs="宋体"/>
          <w:color w:val="auto"/>
          <w:sz w:val="21"/>
          <w:szCs w:val="21"/>
          <w:lang w:val="en-US" w:eastAsia="zh-CN"/>
        </w:rPr>
        <w:t>3</w:t>
      </w:r>
      <w:r>
        <w:rPr>
          <w:rFonts w:hint="eastAsia" w:ascii="宋体" w:hAnsi="宋体" w:eastAsia="宋体" w:cs="宋体"/>
          <w:color w:val="auto"/>
          <w:sz w:val="21"/>
          <w:szCs w:val="21"/>
          <w:lang w:val="en-US" w:eastAsia="zh-CN"/>
        </w:rPr>
        <w:t>月</w:t>
      </w:r>
      <w:r>
        <w:rPr>
          <w:rFonts w:hint="eastAsia" w:ascii="宋体" w:hAnsi="宋体" w:cs="宋体"/>
          <w:color w:val="auto"/>
          <w:sz w:val="21"/>
          <w:szCs w:val="21"/>
          <w:lang w:val="en-US" w:eastAsia="zh-CN"/>
        </w:rPr>
        <w:t>19</w:t>
      </w:r>
      <w:r>
        <w:rPr>
          <w:rFonts w:hint="eastAsia" w:ascii="宋体" w:hAnsi="宋体" w:eastAsia="宋体" w:cs="宋体"/>
          <w:color w:val="auto"/>
          <w:sz w:val="21"/>
          <w:szCs w:val="21"/>
          <w:lang w:val="en-US" w:eastAsia="zh-CN"/>
        </w:rPr>
        <w:t>日</w:t>
      </w:r>
      <w:r>
        <w:rPr>
          <w:rFonts w:hint="eastAsia" w:ascii="宋体" w:hAnsi="宋体" w:cs="宋体"/>
          <w:color w:val="auto"/>
          <w:sz w:val="21"/>
          <w:szCs w:val="21"/>
          <w:lang w:val="en-US" w:eastAsia="zh-CN"/>
        </w:rPr>
        <w:t>9</w:t>
      </w:r>
      <w:r>
        <w:rPr>
          <w:rFonts w:hint="eastAsia" w:ascii="宋体" w:hAnsi="宋体" w:eastAsia="宋体" w:cs="宋体"/>
          <w:color w:val="auto"/>
          <w:sz w:val="21"/>
          <w:szCs w:val="21"/>
          <w:lang w:val="en-US" w:eastAsia="zh-CN"/>
        </w:rPr>
        <w:t>时</w:t>
      </w:r>
      <w:r>
        <w:rPr>
          <w:rFonts w:hint="eastAsia" w:ascii="宋体" w:hAnsi="宋体" w:cs="宋体"/>
          <w:color w:val="auto"/>
          <w:sz w:val="21"/>
          <w:szCs w:val="21"/>
          <w:lang w:val="en-US" w:eastAsia="zh-CN"/>
        </w:rPr>
        <w:t>30</w:t>
      </w:r>
      <w:r>
        <w:rPr>
          <w:rFonts w:hint="eastAsia" w:ascii="宋体" w:hAnsi="宋体" w:eastAsia="宋体" w:cs="宋体"/>
          <w:color w:val="auto"/>
          <w:sz w:val="21"/>
          <w:szCs w:val="21"/>
          <w:lang w:val="en-US" w:eastAsia="zh-CN"/>
        </w:rPr>
        <w:t>分</w:t>
      </w:r>
      <w:r>
        <w:rPr>
          <w:rFonts w:hint="eastAsia" w:ascii="宋体" w:hAnsi="宋体" w:eastAsia="宋体" w:cs="宋体"/>
          <w:color w:val="auto"/>
          <w:sz w:val="21"/>
          <w:szCs w:val="21"/>
          <w:lang w:val="en-US" w:eastAsia="zh-CN"/>
        </w:rPr>
        <w:t>，投标文件现场递交地点为大冶市农村综合产权交易中心（湖北省大冶市七里界国际金融中心二楼）开标室</w:t>
      </w:r>
      <w:r>
        <w:rPr>
          <w:rFonts w:hint="eastAsia" w:ascii="宋体" w:hAnsi="宋体" w:cs="宋体"/>
          <w:color w:val="auto"/>
          <w:sz w:val="21"/>
          <w:szCs w:val="21"/>
          <w:lang w:val="en-US" w:eastAsia="zh-CN"/>
        </w:rPr>
        <w:t>。</w:t>
      </w:r>
    </w:p>
    <w:p w14:paraId="3EC2E25C">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2、</w:t>
      </w:r>
      <w:r>
        <w:rPr>
          <w:rFonts w:hint="eastAsia" w:ascii="宋体" w:hAnsi="宋体" w:eastAsia="宋体" w:cs="宋体"/>
          <w:color w:val="auto"/>
          <w:sz w:val="21"/>
          <w:szCs w:val="21"/>
          <w:lang w:val="en-US" w:eastAsia="zh-CN"/>
        </w:rPr>
        <w:t>逾期送达或者未按招标文件要求密封的投标文件，招标人将予以拒收。投标截止时间前未递交投标文件的，视为撤回投标文件。</w:t>
      </w:r>
    </w:p>
    <w:p w14:paraId="55874E17">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3、</w:t>
      </w:r>
      <w:r>
        <w:rPr>
          <w:rFonts w:hint="eastAsia" w:ascii="宋体" w:hAnsi="宋体" w:eastAsia="宋体" w:cs="宋体"/>
          <w:color w:val="auto"/>
          <w:sz w:val="21"/>
          <w:szCs w:val="21"/>
          <w:lang w:val="en-US" w:eastAsia="zh-CN"/>
        </w:rPr>
        <w:t>递交投标文件以及参加开标会的投标人代表，必须为投标人法定代表人或委托代理人，法定代表人须携带本人身份证原件，委托代理人须携带身份证原件、法定代表人授权委托书。委托代理人必须为本公司正式员工，同时需提供所在公司缴纳的近三个月以上的社保证明及劳动合同。</w:t>
      </w:r>
    </w:p>
    <w:p w14:paraId="126ED3C5">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4、</w:t>
      </w:r>
      <w:r>
        <w:rPr>
          <w:rFonts w:hint="eastAsia" w:ascii="宋体" w:hAnsi="宋体" w:eastAsia="宋体" w:cs="宋体"/>
          <w:color w:val="auto"/>
          <w:sz w:val="21"/>
          <w:szCs w:val="21"/>
          <w:lang w:val="en-US" w:eastAsia="zh-CN"/>
        </w:rPr>
        <w:t>投标人在</w:t>
      </w:r>
      <w:r>
        <w:rPr>
          <w:rFonts w:hint="eastAsia" w:ascii="宋体" w:hAnsi="宋体" w:cs="宋体"/>
          <w:color w:val="auto"/>
          <w:sz w:val="21"/>
          <w:szCs w:val="21"/>
          <w:lang w:val="en-US" w:eastAsia="zh-CN"/>
        </w:rPr>
        <w:t>开标一览表</w:t>
      </w:r>
      <w:r>
        <w:rPr>
          <w:rFonts w:hint="eastAsia" w:ascii="宋体" w:hAnsi="宋体" w:eastAsia="宋体" w:cs="宋体"/>
          <w:color w:val="auto"/>
          <w:sz w:val="21"/>
          <w:szCs w:val="21"/>
          <w:lang w:val="en-US" w:eastAsia="zh-CN"/>
        </w:rPr>
        <w:t>中的报价、商务标中的报价必须一致，否则作无效投标处理</w:t>
      </w:r>
    </w:p>
    <w:p w14:paraId="491F6FC9">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Style w:val="21"/>
          <w:rFonts w:hint="eastAsia"/>
          <w:color w:val="auto"/>
          <w:lang w:val="en-US" w:eastAsia="zh-CN"/>
        </w:rPr>
      </w:pPr>
      <w:r>
        <w:rPr>
          <w:rStyle w:val="21"/>
          <w:rFonts w:hint="eastAsia"/>
          <w:color w:val="auto"/>
          <w:lang w:val="en-US" w:eastAsia="zh-CN"/>
        </w:rPr>
        <w:t xml:space="preserve">五、公告期限 </w:t>
      </w:r>
    </w:p>
    <w:p w14:paraId="74C51281">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自本公告发布之日起 5 个工作日。 </w:t>
      </w:r>
    </w:p>
    <w:p w14:paraId="0DAE510B">
      <w:pPr>
        <w:pStyle w:val="5"/>
        <w:bidi w:val="0"/>
        <w:rPr>
          <w:rFonts w:hint="eastAsia"/>
          <w:color w:val="auto"/>
        </w:rPr>
      </w:pPr>
      <w:r>
        <w:rPr>
          <w:rFonts w:hint="eastAsia"/>
          <w:color w:val="auto"/>
          <w:lang w:val="en-US" w:eastAsia="zh-CN"/>
        </w:rPr>
        <w:t>六、其他注意事</w:t>
      </w:r>
      <w:r>
        <w:rPr>
          <w:rFonts w:hint="eastAsia"/>
          <w:color w:val="auto"/>
        </w:rPr>
        <w:t>项：</w:t>
      </w:r>
    </w:p>
    <w:p w14:paraId="42C15F8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1、本次招标公告在云上大冶聚焦三农模块发布。</w:t>
      </w:r>
    </w:p>
    <w:p w14:paraId="2AFEDC8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2、若开标时间、地点以及其它相关内容发生变更，招标代理机构将在以上网站发布变更公告，请各投标人随时关注相关信息。 </w:t>
      </w:r>
    </w:p>
    <w:p w14:paraId="3D3C354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3、质疑：</w:t>
      </w:r>
      <w:r>
        <w:rPr>
          <w:rFonts w:hint="eastAsia" w:ascii="宋体" w:hAnsi="宋体" w:cs="宋体"/>
          <w:color w:val="auto"/>
          <w:sz w:val="21"/>
          <w:szCs w:val="21"/>
          <w:lang w:val="en-US" w:eastAsia="zh-CN"/>
        </w:rPr>
        <w:t>投标人</w:t>
      </w:r>
      <w:r>
        <w:rPr>
          <w:rFonts w:hint="eastAsia" w:ascii="宋体" w:hAnsi="宋体" w:eastAsia="宋体" w:cs="宋体"/>
          <w:color w:val="auto"/>
          <w:sz w:val="21"/>
          <w:szCs w:val="21"/>
          <w:lang w:val="en-US" w:eastAsia="zh-CN"/>
        </w:rPr>
        <w:t>认为招标文件、开标过程和中标结果使自己的权益受到损害的，可以在知道或者应知其权益受到损害之日起7个工作日内，以书面形式向</w:t>
      </w:r>
      <w:r>
        <w:rPr>
          <w:rFonts w:hint="eastAsia" w:ascii="宋体" w:hAnsi="宋体" w:cs="宋体"/>
          <w:color w:val="auto"/>
          <w:sz w:val="21"/>
          <w:szCs w:val="21"/>
          <w:lang w:val="en-US" w:eastAsia="zh-CN"/>
        </w:rPr>
        <w:t>招标人</w:t>
      </w:r>
      <w:r>
        <w:rPr>
          <w:rFonts w:hint="eastAsia" w:ascii="宋体" w:hAnsi="宋体" w:eastAsia="宋体" w:cs="宋体"/>
          <w:color w:val="auto"/>
          <w:sz w:val="21"/>
          <w:szCs w:val="21"/>
          <w:lang w:val="en-US" w:eastAsia="zh-CN"/>
        </w:rPr>
        <w:t>或采购代理机构一次性提出针对同一采购程序环节的书面质疑，质疑提出时间以提供书面质疑函记载为准。</w:t>
      </w:r>
    </w:p>
    <w:p w14:paraId="0C977F24">
      <w:pPr>
        <w:keepNext w:val="0"/>
        <w:keepLines w:val="0"/>
        <w:pageBreakBefore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 xml:space="preserve"> </w:t>
      </w:r>
      <w:r>
        <w:rPr>
          <w:rFonts w:hint="eastAsia" w:ascii="宋体" w:hAnsi="宋体" w:eastAsia="宋体" w:cs="宋体"/>
          <w:b/>
          <w:color w:val="auto"/>
          <w:sz w:val="21"/>
          <w:szCs w:val="21"/>
          <w:lang w:val="en-US" w:eastAsia="zh-CN"/>
        </w:rPr>
        <w:t>七</w:t>
      </w:r>
      <w:r>
        <w:rPr>
          <w:rFonts w:hint="eastAsia" w:ascii="宋体" w:hAnsi="宋体" w:eastAsia="宋体" w:cs="宋体"/>
          <w:b/>
          <w:color w:val="auto"/>
          <w:sz w:val="21"/>
          <w:szCs w:val="21"/>
        </w:rPr>
        <w:t>、联系方式：</w:t>
      </w:r>
    </w:p>
    <w:p w14:paraId="0E95C072">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招标人</w:t>
      </w:r>
      <w:r>
        <w:rPr>
          <w:rFonts w:hint="eastAsia" w:ascii="宋体" w:hAnsi="宋体" w:eastAsia="宋体" w:cs="宋体"/>
          <w:color w:val="auto"/>
          <w:sz w:val="21"/>
          <w:szCs w:val="21"/>
          <w:lang w:val="en-US" w:eastAsia="zh-CN"/>
        </w:rPr>
        <w:t>：</w:t>
      </w:r>
      <w:r>
        <w:rPr>
          <w:rFonts w:hint="eastAsia" w:ascii="宋体" w:hAnsi="宋体" w:cs="宋体"/>
          <w:color w:val="auto"/>
          <w:sz w:val="21"/>
          <w:szCs w:val="21"/>
          <w:lang w:val="en-US" w:eastAsia="zh-CN"/>
        </w:rPr>
        <w:t>大冶市东风路街道观山社区居民委员会</w:t>
      </w:r>
      <w:r>
        <w:rPr>
          <w:rFonts w:hint="eastAsia" w:ascii="宋体" w:hAnsi="宋体" w:eastAsia="宋体" w:cs="宋体"/>
          <w:color w:val="auto"/>
          <w:sz w:val="21"/>
          <w:szCs w:val="21"/>
          <w:lang w:val="en-US" w:eastAsia="zh-CN"/>
        </w:rPr>
        <w:t xml:space="preserve"> </w:t>
      </w:r>
    </w:p>
    <w:p w14:paraId="6535F2F8">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地  址：</w:t>
      </w:r>
      <w:r>
        <w:rPr>
          <w:rFonts w:hint="eastAsia" w:ascii="宋体" w:hAnsi="宋体" w:cs="宋体"/>
          <w:color w:val="auto"/>
          <w:sz w:val="21"/>
          <w:szCs w:val="21"/>
          <w:lang w:val="en-US" w:eastAsia="zh-CN"/>
        </w:rPr>
        <w:t xml:space="preserve">大冶市东风路街道城西路 </w:t>
      </w:r>
    </w:p>
    <w:p w14:paraId="424E0F51">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联系人：</w:t>
      </w:r>
      <w:r>
        <w:rPr>
          <w:rFonts w:hint="eastAsia" w:asciiTheme="minorEastAsia" w:hAnsiTheme="minorEastAsia" w:eastAsiaTheme="minorEastAsia" w:cstheme="minorEastAsia"/>
          <w:color w:val="auto"/>
          <w:sz w:val="21"/>
          <w:szCs w:val="21"/>
          <w:lang w:val="en-US" w:eastAsia="zh-CN"/>
        </w:rPr>
        <w:t>刘先生</w:t>
      </w:r>
    </w:p>
    <w:p w14:paraId="421F16BA">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auto"/>
          <w:sz w:val="21"/>
          <w:szCs w:val="21"/>
          <w:lang w:val="en-US" w:eastAsia="zh-CN"/>
        </w:rPr>
      </w:pPr>
      <w:r>
        <w:rPr>
          <w:rFonts w:hint="eastAsia" w:ascii="宋体" w:hAnsi="宋体" w:eastAsia="宋体" w:cs="宋体"/>
          <w:color w:val="auto"/>
          <w:sz w:val="21"/>
          <w:szCs w:val="21"/>
          <w:highlight w:val="none"/>
          <w:lang w:val="en-US" w:eastAsia="zh-CN"/>
        </w:rPr>
        <w:t>联系电话：</w:t>
      </w:r>
      <w:r>
        <w:rPr>
          <w:rFonts w:hint="eastAsia" w:ascii="宋体" w:hAnsi="宋体" w:cs="宋体"/>
          <w:color w:val="auto"/>
          <w:sz w:val="21"/>
          <w:szCs w:val="21"/>
          <w:highlight w:val="none"/>
          <w:lang w:val="en-US" w:eastAsia="zh-CN"/>
        </w:rPr>
        <w:t>13581299640</w:t>
      </w:r>
      <w:r>
        <w:rPr>
          <w:rFonts w:hint="eastAsia" w:ascii="宋体" w:hAnsi="宋体" w:cs="宋体"/>
          <w:color w:val="auto"/>
          <w:sz w:val="21"/>
          <w:szCs w:val="21"/>
          <w:lang w:val="en-US" w:eastAsia="zh-CN"/>
        </w:rPr>
        <w:t xml:space="preserve"> </w:t>
      </w:r>
    </w:p>
    <w:p w14:paraId="560DD16E">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auto"/>
          <w:sz w:val="21"/>
          <w:szCs w:val="21"/>
          <w:lang w:val="en-US" w:eastAsia="zh-CN"/>
        </w:rPr>
      </w:pPr>
      <w:r>
        <w:rPr>
          <w:rFonts w:hint="eastAsia" w:ascii="宋体" w:hAnsi="宋体" w:eastAsia="宋体" w:cs="宋体"/>
          <w:color w:val="auto"/>
          <w:sz w:val="21"/>
          <w:szCs w:val="21"/>
          <w:lang w:val="en-US" w:eastAsia="zh-CN"/>
        </w:rPr>
        <w:t>招标代理机构：</w:t>
      </w:r>
      <w:r>
        <w:rPr>
          <w:rFonts w:hint="eastAsia" w:ascii="宋体" w:hAnsi="宋体" w:cs="宋体"/>
          <w:color w:val="auto"/>
          <w:sz w:val="21"/>
          <w:szCs w:val="21"/>
          <w:lang w:val="en-US" w:eastAsia="zh-CN"/>
        </w:rPr>
        <w:t>黄石市兴发工程咨询有限公司</w:t>
      </w:r>
    </w:p>
    <w:p w14:paraId="7D848696">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地  址：</w:t>
      </w:r>
      <w:r>
        <w:rPr>
          <w:rFonts w:hint="eastAsia" w:ascii="宋体" w:hAnsi="宋体" w:cs="宋体"/>
          <w:color w:val="auto"/>
          <w:sz w:val="21"/>
          <w:szCs w:val="21"/>
          <w:lang w:val="zh-CN" w:eastAsia="zh-CN"/>
        </w:rPr>
        <w:t>大冶市新冶大道17号</w:t>
      </w:r>
      <w:r>
        <w:rPr>
          <w:rFonts w:hint="eastAsia" w:ascii="宋体" w:hAnsi="宋体" w:eastAsia="宋体" w:cs="宋体"/>
          <w:color w:val="auto"/>
          <w:sz w:val="21"/>
          <w:szCs w:val="21"/>
          <w:lang w:val="en-US" w:eastAsia="zh-CN"/>
        </w:rPr>
        <w:t>    </w:t>
      </w:r>
    </w:p>
    <w:p w14:paraId="215AD6B1">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auto"/>
          <w:sz w:val="21"/>
          <w:szCs w:val="21"/>
          <w:lang w:val="en-US" w:eastAsia="zh-CN"/>
        </w:rPr>
      </w:pPr>
      <w:r>
        <w:rPr>
          <w:rFonts w:hint="eastAsia" w:ascii="宋体" w:hAnsi="宋体" w:eastAsia="宋体" w:cs="宋体"/>
          <w:color w:val="auto"/>
          <w:sz w:val="21"/>
          <w:szCs w:val="21"/>
          <w:lang w:val="en-US" w:eastAsia="zh-CN"/>
        </w:rPr>
        <w:t>联系人：</w:t>
      </w:r>
      <w:r>
        <w:rPr>
          <w:rFonts w:hint="eastAsia" w:ascii="宋体" w:hAnsi="宋体" w:cs="宋体"/>
          <w:color w:val="auto"/>
          <w:sz w:val="21"/>
          <w:szCs w:val="21"/>
          <w:lang w:val="en-US" w:eastAsia="zh-CN"/>
        </w:rPr>
        <w:t>石工</w:t>
      </w:r>
    </w:p>
    <w:p w14:paraId="007D876C">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auto"/>
          <w:sz w:val="21"/>
          <w:szCs w:val="21"/>
          <w:lang w:val="en-US" w:eastAsia="zh-CN"/>
        </w:rPr>
      </w:pPr>
      <w:r>
        <w:rPr>
          <w:rFonts w:hint="eastAsia" w:ascii="宋体" w:hAnsi="宋体" w:eastAsia="宋体" w:cs="宋体"/>
          <w:color w:val="auto"/>
          <w:sz w:val="21"/>
          <w:szCs w:val="21"/>
          <w:lang w:val="en-US" w:eastAsia="zh-CN"/>
        </w:rPr>
        <w:t>联系电话：</w:t>
      </w:r>
      <w:r>
        <w:rPr>
          <w:rFonts w:hint="eastAsia" w:ascii="宋体" w:hAnsi="宋体" w:cs="宋体"/>
          <w:color w:val="auto"/>
          <w:sz w:val="21"/>
          <w:szCs w:val="21"/>
          <w:lang w:val="en-US" w:eastAsia="zh-CN"/>
        </w:rPr>
        <w:t>13986594222</w:t>
      </w:r>
    </w:p>
    <w:p w14:paraId="32FBECC9">
      <w:pPr>
        <w:keepNext w:val="0"/>
        <w:keepLines w:val="0"/>
        <w:pageBreakBefore w:val="0"/>
        <w:kinsoku/>
        <w:wordWrap/>
        <w:overflowPunct/>
        <w:topLinePunct w:val="0"/>
        <w:autoSpaceDE/>
        <w:autoSpaceDN/>
        <w:bidi w:val="0"/>
        <w:adjustRightInd/>
        <w:snapToGrid/>
        <w:spacing w:line="480" w:lineRule="auto"/>
        <w:ind w:firstLine="420" w:firstLineChars="200"/>
        <w:jc w:val="right"/>
        <w:textAlignment w:val="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黄石市兴发工程咨询有限公司</w:t>
      </w:r>
    </w:p>
    <w:p w14:paraId="19881422">
      <w:pPr>
        <w:pStyle w:val="18"/>
        <w:jc w:val="right"/>
        <w:rPr>
          <w:rFonts w:hint="default" w:ascii="宋体" w:hAnsi="宋体" w:cs="宋体"/>
          <w:color w:val="auto"/>
          <w:sz w:val="21"/>
          <w:szCs w:val="21"/>
          <w:lang w:val="en-US" w:eastAsia="zh-CN"/>
        </w:rPr>
      </w:pPr>
      <w:r>
        <w:rPr>
          <w:rFonts w:hint="eastAsia" w:hAnsi="宋体" w:cs="宋体"/>
          <w:color w:val="auto"/>
          <w:sz w:val="21"/>
          <w:szCs w:val="21"/>
          <w:lang w:val="en-US" w:eastAsia="zh-CN"/>
        </w:rPr>
        <w:t>2026年02月26日</w:t>
      </w:r>
    </w:p>
    <w:p w14:paraId="2A16D95B">
      <w:pPr>
        <w:pStyle w:val="20"/>
        <w:rPr>
          <w:rFonts w:hint="eastAsia"/>
          <w:color w:val="auto"/>
          <w:lang w:val="en-US" w:eastAsia="zh-CN"/>
        </w:rPr>
      </w:pPr>
    </w:p>
    <w:p w14:paraId="1A019D3C">
      <w:pPr>
        <w:pStyle w:val="20"/>
        <w:rPr>
          <w:rFonts w:hint="eastAsia" w:ascii="宋体" w:hAnsi="宋体" w:cs="宋体"/>
          <w:color w:val="auto"/>
          <w:sz w:val="21"/>
          <w:szCs w:val="21"/>
          <w:lang w:val="en-US" w:eastAsia="zh-CN"/>
        </w:rPr>
      </w:pPr>
    </w:p>
    <w:p w14:paraId="6027F814">
      <w:pPr>
        <w:pStyle w:val="20"/>
        <w:rPr>
          <w:rFonts w:hint="eastAsia" w:ascii="宋体" w:hAnsi="宋体" w:cs="宋体"/>
          <w:color w:val="auto"/>
          <w:sz w:val="21"/>
          <w:szCs w:val="21"/>
          <w:lang w:val="en-US" w:eastAsia="zh-CN"/>
        </w:rPr>
      </w:pPr>
    </w:p>
    <w:p w14:paraId="2B333112">
      <w:pPr>
        <w:rPr>
          <w:rFonts w:hint="eastAsia"/>
          <w:color w:val="auto"/>
        </w:rPr>
      </w:pPr>
      <w:bookmarkStart w:id="4" w:name="_Toc30603"/>
      <w:bookmarkStart w:id="5" w:name="_Toc8333"/>
      <w:r>
        <w:rPr>
          <w:rFonts w:hint="eastAsia"/>
          <w:color w:val="auto"/>
        </w:rPr>
        <w:br w:type="page"/>
      </w:r>
    </w:p>
    <w:p w14:paraId="3CDA1F1A">
      <w:pPr>
        <w:pStyle w:val="2"/>
        <w:bidi w:val="0"/>
        <w:rPr>
          <w:rFonts w:hint="eastAsia"/>
          <w:color w:val="auto"/>
        </w:rPr>
      </w:pPr>
      <w:bookmarkStart w:id="6" w:name="_Toc26578"/>
      <w:bookmarkStart w:id="7" w:name="_Toc17210"/>
      <w:r>
        <w:rPr>
          <w:rFonts w:hint="eastAsia"/>
          <w:color w:val="auto"/>
        </w:rPr>
        <w:t>第二章  投标人须知</w:t>
      </w:r>
      <w:bookmarkEnd w:id="4"/>
      <w:bookmarkEnd w:id="5"/>
      <w:bookmarkEnd w:id="6"/>
      <w:bookmarkEnd w:id="7"/>
    </w:p>
    <w:p w14:paraId="58AF6922">
      <w:pPr>
        <w:pStyle w:val="3"/>
        <w:bidi w:val="0"/>
        <w:rPr>
          <w:rFonts w:hint="eastAsia"/>
          <w:color w:val="auto"/>
        </w:rPr>
      </w:pPr>
      <w:bookmarkStart w:id="8" w:name="_Toc16991"/>
      <w:bookmarkStart w:id="9" w:name="_Toc27486"/>
      <w:r>
        <w:rPr>
          <w:rFonts w:hint="eastAsia"/>
          <w:color w:val="auto"/>
        </w:rPr>
        <w:t>一、前附表</w:t>
      </w:r>
      <w:bookmarkEnd w:id="8"/>
      <w:bookmarkEnd w:id="9"/>
    </w:p>
    <w:tbl>
      <w:tblPr>
        <w:tblStyle w:val="15"/>
        <w:tblW w:w="10078" w:type="dxa"/>
        <w:tblInd w:w="-305"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631"/>
        <w:gridCol w:w="7447"/>
      </w:tblGrid>
      <w:tr w14:paraId="6C4B16E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tblHeader/>
        </w:trPr>
        <w:tc>
          <w:tcPr>
            <w:tcW w:w="2631" w:type="dxa"/>
            <w:tcBorders>
              <w:top w:val="single" w:color="auto" w:sz="2" w:space="0"/>
              <w:left w:val="single" w:color="auto" w:sz="2" w:space="0"/>
              <w:bottom w:val="single" w:color="auto" w:sz="2" w:space="0"/>
              <w:right w:val="single" w:color="auto" w:sz="2" w:space="0"/>
            </w:tcBorders>
            <w:vAlign w:val="center"/>
          </w:tcPr>
          <w:p w14:paraId="09AD4FC0">
            <w:pPr>
              <w:keepNext w:val="0"/>
              <w:keepLines w:val="0"/>
              <w:pageBreakBefore w:val="0"/>
              <w:kinsoku/>
              <w:wordWrap/>
              <w:overflowPunct/>
              <w:topLinePunct w:val="0"/>
              <w:autoSpaceDE w:val="0"/>
              <w:autoSpaceDN w:val="0"/>
              <w:bidi w:val="0"/>
              <w:adjustRightInd/>
              <w:snapToGrid/>
              <w:spacing w:line="500" w:lineRule="exact"/>
              <w:jc w:val="center"/>
              <w:textAlignment w:val="auto"/>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条款名称</w:t>
            </w:r>
          </w:p>
        </w:tc>
        <w:tc>
          <w:tcPr>
            <w:tcW w:w="7447" w:type="dxa"/>
            <w:tcBorders>
              <w:top w:val="single" w:color="auto" w:sz="2" w:space="0"/>
              <w:left w:val="single" w:color="auto" w:sz="2" w:space="0"/>
              <w:bottom w:val="single" w:color="auto" w:sz="2" w:space="0"/>
              <w:right w:val="single" w:color="auto" w:sz="2" w:space="0"/>
            </w:tcBorders>
            <w:vAlign w:val="center"/>
          </w:tcPr>
          <w:p w14:paraId="61880146">
            <w:pPr>
              <w:keepNext w:val="0"/>
              <w:keepLines w:val="0"/>
              <w:pageBreakBefore w:val="0"/>
              <w:kinsoku/>
              <w:wordWrap/>
              <w:overflowPunct/>
              <w:topLinePunct w:val="0"/>
              <w:autoSpaceDE w:val="0"/>
              <w:autoSpaceDN w:val="0"/>
              <w:bidi w:val="0"/>
              <w:adjustRightInd/>
              <w:snapToGrid/>
              <w:spacing w:line="500" w:lineRule="exact"/>
              <w:ind w:firstLine="34"/>
              <w:jc w:val="center"/>
              <w:textAlignment w:val="auto"/>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内      容</w:t>
            </w:r>
          </w:p>
        </w:tc>
      </w:tr>
      <w:tr w14:paraId="71A373D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91" w:hRule="atLeast"/>
        </w:trPr>
        <w:tc>
          <w:tcPr>
            <w:tcW w:w="2631" w:type="dxa"/>
            <w:tcBorders>
              <w:top w:val="single" w:color="auto" w:sz="2" w:space="0"/>
              <w:left w:val="single" w:color="auto" w:sz="2" w:space="0"/>
              <w:bottom w:val="single" w:color="auto" w:sz="2" w:space="0"/>
              <w:right w:val="single" w:color="auto" w:sz="2" w:space="0"/>
            </w:tcBorders>
            <w:vAlign w:val="center"/>
          </w:tcPr>
          <w:p w14:paraId="161F35E9">
            <w:pPr>
              <w:keepNext w:val="0"/>
              <w:keepLines w:val="0"/>
              <w:pageBreakBefore w:val="0"/>
              <w:kinsoku/>
              <w:wordWrap/>
              <w:overflowPunct/>
              <w:topLinePunct w:val="0"/>
              <w:bidi w:val="0"/>
              <w:adjustRightInd/>
              <w:snapToGrid/>
              <w:spacing w:line="500" w:lineRule="exact"/>
              <w:jc w:val="center"/>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招标人</w:t>
            </w:r>
          </w:p>
        </w:tc>
        <w:tc>
          <w:tcPr>
            <w:tcW w:w="7447" w:type="dxa"/>
            <w:tcBorders>
              <w:top w:val="single" w:color="auto" w:sz="2" w:space="0"/>
              <w:left w:val="single" w:color="auto" w:sz="2" w:space="0"/>
              <w:bottom w:val="single" w:color="auto" w:sz="2" w:space="0"/>
              <w:right w:val="single" w:color="auto" w:sz="2" w:space="0"/>
            </w:tcBorders>
            <w:vAlign w:val="center"/>
          </w:tcPr>
          <w:p w14:paraId="709F4967">
            <w:pPr>
              <w:keepNext w:val="0"/>
              <w:keepLines w:val="0"/>
              <w:pageBreakBefore w:val="0"/>
              <w:kinsoku/>
              <w:wordWrap/>
              <w:overflowPunct/>
              <w:topLinePunct w:val="0"/>
              <w:bidi w:val="0"/>
              <w:adjustRightInd/>
              <w:snapToGrid/>
              <w:spacing w:line="500" w:lineRule="exact"/>
              <w:jc w:val="left"/>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 xml:space="preserve">招标人：大冶市东风路街道观山社区居民委员会 </w:t>
            </w:r>
          </w:p>
          <w:p w14:paraId="6EC5D09D">
            <w:pPr>
              <w:keepNext w:val="0"/>
              <w:keepLines w:val="0"/>
              <w:pageBreakBefore w:val="0"/>
              <w:kinsoku/>
              <w:wordWrap/>
              <w:overflowPunct/>
              <w:topLinePunct w:val="0"/>
              <w:bidi w:val="0"/>
              <w:adjustRightInd/>
              <w:snapToGrid/>
              <w:spacing w:line="500" w:lineRule="exact"/>
              <w:jc w:val="left"/>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 xml:space="preserve">地  址：大冶市东风路街道城西路 </w:t>
            </w:r>
          </w:p>
          <w:p w14:paraId="63D173FF">
            <w:pPr>
              <w:keepNext w:val="0"/>
              <w:keepLines w:val="0"/>
              <w:pageBreakBefore w:val="0"/>
              <w:kinsoku/>
              <w:wordWrap/>
              <w:overflowPunct/>
              <w:topLinePunct w:val="0"/>
              <w:bidi w:val="0"/>
              <w:adjustRightInd/>
              <w:snapToGrid/>
              <w:spacing w:line="500" w:lineRule="exact"/>
              <w:jc w:val="left"/>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联系人：刘先生</w:t>
            </w:r>
          </w:p>
          <w:p w14:paraId="4B53DAE9">
            <w:pPr>
              <w:keepNext w:val="0"/>
              <w:keepLines w:val="0"/>
              <w:pageBreakBefore w:val="0"/>
              <w:kinsoku/>
              <w:wordWrap/>
              <w:overflowPunct/>
              <w:topLinePunct w:val="0"/>
              <w:bidi w:val="0"/>
              <w:adjustRightInd/>
              <w:snapToGrid/>
              <w:spacing w:line="500" w:lineRule="exact"/>
              <w:jc w:val="left"/>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val="en-US" w:eastAsia="zh-CN"/>
              </w:rPr>
              <w:t>联系电话：13581299640</w:t>
            </w:r>
          </w:p>
        </w:tc>
      </w:tr>
      <w:tr w14:paraId="257932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602" w:hRule="atLeast"/>
        </w:trPr>
        <w:tc>
          <w:tcPr>
            <w:tcW w:w="2631" w:type="dxa"/>
            <w:tcBorders>
              <w:top w:val="single" w:color="auto" w:sz="2" w:space="0"/>
              <w:left w:val="single" w:color="auto" w:sz="2" w:space="0"/>
              <w:bottom w:val="single" w:color="auto" w:sz="2" w:space="0"/>
              <w:right w:val="single" w:color="auto" w:sz="2" w:space="0"/>
            </w:tcBorders>
            <w:vAlign w:val="center"/>
          </w:tcPr>
          <w:p w14:paraId="27438793">
            <w:pPr>
              <w:keepNext w:val="0"/>
              <w:keepLines w:val="0"/>
              <w:pageBreakBefore w:val="0"/>
              <w:kinsoku/>
              <w:wordWrap/>
              <w:overflowPunct/>
              <w:topLinePunct w:val="0"/>
              <w:bidi w:val="0"/>
              <w:adjustRightInd/>
              <w:snapToGrid/>
              <w:spacing w:line="500" w:lineRule="exact"/>
              <w:jc w:val="center"/>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招标代理机构</w:t>
            </w:r>
          </w:p>
        </w:tc>
        <w:tc>
          <w:tcPr>
            <w:tcW w:w="7447" w:type="dxa"/>
            <w:tcBorders>
              <w:top w:val="single" w:color="auto" w:sz="2" w:space="0"/>
              <w:left w:val="single" w:color="auto" w:sz="2" w:space="0"/>
              <w:bottom w:val="single" w:color="auto" w:sz="2" w:space="0"/>
              <w:right w:val="single" w:color="auto" w:sz="2" w:space="0"/>
            </w:tcBorders>
            <w:vAlign w:val="center"/>
          </w:tcPr>
          <w:p w14:paraId="14699F0B">
            <w:pPr>
              <w:keepNext w:val="0"/>
              <w:keepLines w:val="0"/>
              <w:pageBreakBefore w:val="0"/>
              <w:kinsoku/>
              <w:wordWrap/>
              <w:overflowPunct/>
              <w:topLinePunct w:val="0"/>
              <w:bidi w:val="0"/>
              <w:adjustRightInd/>
              <w:snapToGrid/>
              <w:spacing w:line="500" w:lineRule="exact"/>
              <w:jc w:val="left"/>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招标代理机构：黄石市兴发工程咨询有限公司</w:t>
            </w:r>
          </w:p>
          <w:p w14:paraId="67115061">
            <w:pPr>
              <w:keepNext w:val="0"/>
              <w:keepLines w:val="0"/>
              <w:pageBreakBefore w:val="0"/>
              <w:kinsoku/>
              <w:wordWrap/>
              <w:overflowPunct/>
              <w:topLinePunct w:val="0"/>
              <w:bidi w:val="0"/>
              <w:adjustRightInd/>
              <w:snapToGrid/>
              <w:spacing w:line="500" w:lineRule="exact"/>
              <w:jc w:val="left"/>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地址：</w:t>
            </w:r>
            <w:r>
              <w:rPr>
                <w:rFonts w:hint="eastAsia" w:asciiTheme="minorEastAsia" w:hAnsiTheme="minorEastAsia" w:eastAsiaTheme="minorEastAsia" w:cstheme="minorEastAsia"/>
                <w:color w:val="auto"/>
                <w:sz w:val="21"/>
                <w:szCs w:val="21"/>
                <w:lang w:val="zh-CN" w:eastAsia="zh-CN"/>
              </w:rPr>
              <w:t>大冶市新冶大道17号</w:t>
            </w:r>
          </w:p>
          <w:p w14:paraId="1EA95808">
            <w:pPr>
              <w:keepNext w:val="0"/>
              <w:keepLines w:val="0"/>
              <w:pageBreakBefore w:val="0"/>
              <w:kinsoku/>
              <w:wordWrap/>
              <w:overflowPunct/>
              <w:topLinePunct w:val="0"/>
              <w:bidi w:val="0"/>
              <w:adjustRightInd/>
              <w:snapToGrid/>
              <w:spacing w:line="500" w:lineRule="exact"/>
              <w:jc w:val="left"/>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联系人：石工</w:t>
            </w:r>
          </w:p>
          <w:p w14:paraId="0ABA2922">
            <w:pPr>
              <w:keepNext w:val="0"/>
              <w:keepLines w:val="0"/>
              <w:pageBreakBefore w:val="0"/>
              <w:kinsoku/>
              <w:wordWrap/>
              <w:overflowPunct/>
              <w:topLinePunct w:val="0"/>
              <w:bidi w:val="0"/>
              <w:adjustRightInd/>
              <w:snapToGrid/>
              <w:spacing w:line="500" w:lineRule="exact"/>
              <w:jc w:val="left"/>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联系电话：13986594222</w:t>
            </w:r>
          </w:p>
        </w:tc>
      </w:tr>
      <w:tr w14:paraId="786D0BB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atLeast"/>
        </w:trPr>
        <w:tc>
          <w:tcPr>
            <w:tcW w:w="2631" w:type="dxa"/>
            <w:tcBorders>
              <w:top w:val="single" w:color="auto" w:sz="2" w:space="0"/>
              <w:left w:val="single" w:color="auto" w:sz="2" w:space="0"/>
              <w:bottom w:val="single" w:color="auto" w:sz="2" w:space="0"/>
              <w:right w:val="single" w:color="auto" w:sz="2" w:space="0"/>
            </w:tcBorders>
            <w:vAlign w:val="center"/>
          </w:tcPr>
          <w:p w14:paraId="2E635FEE">
            <w:pPr>
              <w:keepNext w:val="0"/>
              <w:keepLines w:val="0"/>
              <w:pageBreakBefore w:val="0"/>
              <w:kinsoku/>
              <w:wordWrap/>
              <w:overflowPunct/>
              <w:topLinePunct w:val="0"/>
              <w:autoSpaceDE w:val="0"/>
              <w:autoSpaceDN w:val="0"/>
              <w:bidi w:val="0"/>
              <w:adjustRightInd/>
              <w:snapToGrid/>
              <w:spacing w:line="500" w:lineRule="exact"/>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项目名称</w:t>
            </w:r>
          </w:p>
        </w:tc>
        <w:tc>
          <w:tcPr>
            <w:tcW w:w="7447" w:type="dxa"/>
            <w:tcBorders>
              <w:top w:val="single" w:color="auto" w:sz="2" w:space="0"/>
              <w:left w:val="single" w:color="auto" w:sz="2" w:space="0"/>
              <w:bottom w:val="single" w:color="auto" w:sz="2" w:space="0"/>
              <w:right w:val="single" w:color="auto" w:sz="2" w:space="0"/>
            </w:tcBorders>
            <w:vAlign w:val="center"/>
          </w:tcPr>
          <w:p w14:paraId="25D5D036">
            <w:pPr>
              <w:keepNext w:val="0"/>
              <w:keepLines w:val="0"/>
              <w:pageBreakBefore w:val="0"/>
              <w:kinsoku/>
              <w:wordWrap/>
              <w:overflowPunct/>
              <w:topLinePunct w:val="0"/>
              <w:bidi w:val="0"/>
              <w:adjustRightInd/>
              <w:snapToGrid/>
              <w:spacing w:line="500" w:lineRule="exact"/>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大冶市东风路街道观山社区粮库以北建设美食城安装800KW变压器开户设备</w:t>
            </w:r>
          </w:p>
        </w:tc>
      </w:tr>
      <w:tr w14:paraId="4F66643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atLeast"/>
        </w:trPr>
        <w:tc>
          <w:tcPr>
            <w:tcW w:w="2631" w:type="dxa"/>
            <w:tcBorders>
              <w:top w:val="single" w:color="auto" w:sz="2" w:space="0"/>
              <w:left w:val="single" w:color="auto" w:sz="2" w:space="0"/>
              <w:bottom w:val="single" w:color="auto" w:sz="2" w:space="0"/>
              <w:right w:val="single" w:color="auto" w:sz="2" w:space="0"/>
            </w:tcBorders>
            <w:vAlign w:val="center"/>
          </w:tcPr>
          <w:p w14:paraId="2DD45E35">
            <w:pPr>
              <w:keepNext w:val="0"/>
              <w:keepLines w:val="0"/>
              <w:pageBreakBefore w:val="0"/>
              <w:kinsoku/>
              <w:wordWrap/>
              <w:overflowPunct/>
              <w:topLinePunct w:val="0"/>
              <w:autoSpaceDE w:val="0"/>
              <w:autoSpaceDN w:val="0"/>
              <w:bidi w:val="0"/>
              <w:adjustRightInd/>
              <w:snapToGrid/>
              <w:spacing w:line="500" w:lineRule="exact"/>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项目地点</w:t>
            </w:r>
          </w:p>
        </w:tc>
        <w:tc>
          <w:tcPr>
            <w:tcW w:w="7447" w:type="dxa"/>
            <w:tcBorders>
              <w:top w:val="single" w:color="auto" w:sz="2" w:space="0"/>
              <w:left w:val="single" w:color="auto" w:sz="2" w:space="0"/>
              <w:bottom w:val="single" w:color="auto" w:sz="2" w:space="0"/>
              <w:right w:val="single" w:color="auto" w:sz="2" w:space="0"/>
            </w:tcBorders>
            <w:vAlign w:val="center"/>
          </w:tcPr>
          <w:p w14:paraId="73E764A7">
            <w:pPr>
              <w:keepNext w:val="0"/>
              <w:keepLines w:val="0"/>
              <w:pageBreakBefore w:val="0"/>
              <w:kinsoku/>
              <w:wordWrap/>
              <w:overflowPunct/>
              <w:topLinePunct w:val="0"/>
              <w:bidi w:val="0"/>
              <w:adjustRightInd/>
              <w:snapToGrid/>
              <w:spacing w:line="500" w:lineRule="exact"/>
              <w:jc w:val="left"/>
              <w:textAlignment w:val="auto"/>
              <w:rPr>
                <w:rFonts w:hint="eastAsia" w:asciiTheme="minorEastAsia" w:hAnsiTheme="minorEastAsia" w:eastAsiaTheme="minorEastAsia" w:cstheme="minorEastAsia"/>
                <w:color w:val="auto"/>
                <w:sz w:val="21"/>
                <w:szCs w:val="21"/>
                <w:lang w:val="en-US"/>
              </w:rPr>
            </w:pPr>
            <w:r>
              <w:rPr>
                <w:rFonts w:hint="eastAsia" w:asciiTheme="minorEastAsia" w:hAnsiTheme="minorEastAsia" w:eastAsiaTheme="minorEastAsia" w:cstheme="minorEastAsia"/>
                <w:color w:val="auto"/>
                <w:sz w:val="21"/>
                <w:szCs w:val="21"/>
                <w:lang w:eastAsia="zh-CN"/>
              </w:rPr>
              <w:t>大冶市东风路街道观山社区居民委员会</w:t>
            </w:r>
          </w:p>
        </w:tc>
      </w:tr>
      <w:tr w14:paraId="6C8A912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atLeast"/>
        </w:trPr>
        <w:tc>
          <w:tcPr>
            <w:tcW w:w="2631" w:type="dxa"/>
            <w:tcBorders>
              <w:top w:val="single" w:color="auto" w:sz="2" w:space="0"/>
              <w:left w:val="single" w:color="auto" w:sz="2" w:space="0"/>
              <w:bottom w:val="single" w:color="auto" w:sz="2" w:space="0"/>
              <w:right w:val="single" w:color="auto" w:sz="2" w:space="0"/>
            </w:tcBorders>
            <w:vAlign w:val="center"/>
          </w:tcPr>
          <w:p w14:paraId="7C20C508">
            <w:pPr>
              <w:keepNext w:val="0"/>
              <w:keepLines w:val="0"/>
              <w:pageBreakBefore w:val="0"/>
              <w:kinsoku/>
              <w:wordWrap/>
              <w:overflowPunct/>
              <w:topLinePunct w:val="0"/>
              <w:autoSpaceDE w:val="0"/>
              <w:autoSpaceDN w:val="0"/>
              <w:bidi w:val="0"/>
              <w:adjustRightInd/>
              <w:snapToGrid/>
              <w:spacing w:line="500" w:lineRule="exact"/>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项目内容</w:t>
            </w:r>
          </w:p>
        </w:tc>
        <w:tc>
          <w:tcPr>
            <w:tcW w:w="7447" w:type="dxa"/>
            <w:tcBorders>
              <w:top w:val="single" w:color="auto" w:sz="2" w:space="0"/>
              <w:left w:val="single" w:color="auto" w:sz="2" w:space="0"/>
              <w:bottom w:val="single" w:color="auto" w:sz="2" w:space="0"/>
              <w:right w:val="single" w:color="auto" w:sz="2" w:space="0"/>
            </w:tcBorders>
            <w:vAlign w:val="center"/>
          </w:tcPr>
          <w:p w14:paraId="11A08300">
            <w:pPr>
              <w:keepNext w:val="0"/>
              <w:keepLines w:val="0"/>
              <w:pageBreakBefore w:val="0"/>
              <w:kinsoku/>
              <w:wordWrap/>
              <w:overflowPunct/>
              <w:topLinePunct w:val="0"/>
              <w:bidi w:val="0"/>
              <w:adjustRightInd/>
              <w:snapToGrid/>
              <w:spacing w:line="500" w:lineRule="exact"/>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具体内容详见第三章采购需求</w:t>
            </w:r>
          </w:p>
        </w:tc>
      </w:tr>
      <w:tr w14:paraId="7CD021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atLeast"/>
        </w:trPr>
        <w:tc>
          <w:tcPr>
            <w:tcW w:w="2631" w:type="dxa"/>
            <w:tcBorders>
              <w:top w:val="single" w:color="auto" w:sz="2" w:space="0"/>
              <w:left w:val="single" w:color="auto" w:sz="2" w:space="0"/>
              <w:bottom w:val="single" w:color="auto" w:sz="2" w:space="0"/>
              <w:right w:val="single" w:color="auto" w:sz="2" w:space="0"/>
            </w:tcBorders>
            <w:vAlign w:val="center"/>
          </w:tcPr>
          <w:p w14:paraId="1E534B45">
            <w:pPr>
              <w:keepNext w:val="0"/>
              <w:keepLines w:val="0"/>
              <w:pageBreakBefore w:val="0"/>
              <w:kinsoku/>
              <w:wordWrap/>
              <w:overflowPunct/>
              <w:topLinePunct w:val="0"/>
              <w:autoSpaceDE w:val="0"/>
              <w:autoSpaceDN w:val="0"/>
              <w:bidi w:val="0"/>
              <w:adjustRightInd/>
              <w:snapToGrid/>
              <w:spacing w:line="500" w:lineRule="exact"/>
              <w:jc w:val="center"/>
              <w:textAlignment w:val="auto"/>
              <w:rPr>
                <w:rFonts w:hint="eastAsia" w:asciiTheme="minorEastAsia" w:hAnsiTheme="minorEastAsia" w:eastAsiaTheme="minorEastAsia" w:cstheme="minorEastAsia"/>
                <w:color w:val="auto"/>
                <w:sz w:val="21"/>
                <w:szCs w:val="21"/>
              </w:rPr>
            </w:pPr>
            <w:r>
              <w:rPr>
                <w:rFonts w:hint="eastAsia" w:cs="仿宋"/>
                <w:color w:val="auto"/>
                <w:kern w:val="2"/>
                <w:szCs w:val="24"/>
                <w:lang w:val="zh-CN"/>
              </w:rPr>
              <w:t>项目属性</w:t>
            </w:r>
          </w:p>
        </w:tc>
        <w:tc>
          <w:tcPr>
            <w:tcW w:w="7447" w:type="dxa"/>
            <w:tcBorders>
              <w:top w:val="single" w:color="auto" w:sz="2" w:space="0"/>
              <w:left w:val="single" w:color="auto" w:sz="2" w:space="0"/>
              <w:bottom w:val="single" w:color="auto" w:sz="2" w:space="0"/>
              <w:right w:val="single" w:color="auto" w:sz="2" w:space="0"/>
            </w:tcBorders>
            <w:vAlign w:val="center"/>
          </w:tcPr>
          <w:p w14:paraId="70B8AFCD">
            <w:pPr>
              <w:keepNext w:val="0"/>
              <w:keepLines w:val="0"/>
              <w:pageBreakBefore w:val="0"/>
              <w:kinsoku/>
              <w:wordWrap/>
              <w:overflowPunct/>
              <w:topLinePunct w:val="0"/>
              <w:bidi w:val="0"/>
              <w:adjustRightInd/>
              <w:snapToGrid/>
              <w:spacing w:line="500" w:lineRule="exact"/>
              <w:jc w:val="left"/>
              <w:textAlignment w:val="auto"/>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货物</w:t>
            </w:r>
          </w:p>
        </w:tc>
      </w:tr>
      <w:tr w14:paraId="573AAFD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2631" w:type="dxa"/>
            <w:tcBorders>
              <w:top w:val="single" w:color="auto" w:sz="2" w:space="0"/>
              <w:left w:val="single" w:color="auto" w:sz="2" w:space="0"/>
              <w:bottom w:val="single" w:color="auto" w:sz="2" w:space="0"/>
              <w:right w:val="single" w:color="auto" w:sz="2" w:space="0"/>
            </w:tcBorders>
            <w:vAlign w:val="center"/>
          </w:tcPr>
          <w:p w14:paraId="47C6CD1E">
            <w:pPr>
              <w:keepNext w:val="0"/>
              <w:keepLines w:val="0"/>
              <w:pageBreakBefore w:val="0"/>
              <w:kinsoku/>
              <w:wordWrap/>
              <w:overflowPunct/>
              <w:topLinePunct w:val="0"/>
              <w:autoSpaceDE w:val="0"/>
              <w:autoSpaceDN w:val="0"/>
              <w:bidi w:val="0"/>
              <w:adjustRightInd/>
              <w:snapToGrid/>
              <w:spacing w:line="50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项目预算</w:t>
            </w:r>
          </w:p>
        </w:tc>
        <w:tc>
          <w:tcPr>
            <w:tcW w:w="7447" w:type="dxa"/>
            <w:tcBorders>
              <w:top w:val="single" w:color="auto" w:sz="2" w:space="0"/>
              <w:left w:val="single" w:color="auto" w:sz="2" w:space="0"/>
              <w:bottom w:val="single" w:color="auto" w:sz="2" w:space="0"/>
              <w:right w:val="single" w:color="auto" w:sz="2" w:space="0"/>
            </w:tcBorders>
            <w:vAlign w:val="center"/>
          </w:tcPr>
          <w:p w14:paraId="47185E91">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asciiTheme="minorEastAsia" w:hAnsiTheme="minorEastAsia" w:eastAsiaTheme="minorEastAsia" w:cstheme="minorEastAsia"/>
                <w:color w:val="auto"/>
                <w:sz w:val="21"/>
                <w:szCs w:val="21"/>
                <w:highlight w:val="none"/>
                <w:lang w:val="en-US"/>
              </w:rPr>
            </w:pPr>
            <w:r>
              <w:rPr>
                <w:rFonts w:hint="eastAsia" w:ascii="宋体" w:hAnsi="宋体" w:cs="宋体"/>
                <w:color w:val="auto"/>
                <w:sz w:val="21"/>
                <w:szCs w:val="21"/>
                <w:lang w:eastAsia="zh-CN"/>
              </w:rPr>
              <w:t>547293.50</w:t>
            </w:r>
            <w:r>
              <w:rPr>
                <w:rFonts w:hint="eastAsia" w:asciiTheme="minorEastAsia" w:hAnsiTheme="minorEastAsia" w:eastAsiaTheme="minorEastAsia" w:cstheme="minorEastAsia"/>
                <w:color w:val="auto"/>
                <w:sz w:val="21"/>
                <w:szCs w:val="21"/>
                <w:highlight w:val="none"/>
                <w:lang w:val="en-US" w:eastAsia="zh-CN"/>
              </w:rPr>
              <w:t>元</w:t>
            </w:r>
          </w:p>
        </w:tc>
      </w:tr>
      <w:tr w14:paraId="2A83EA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atLeast"/>
        </w:trPr>
        <w:tc>
          <w:tcPr>
            <w:tcW w:w="2631" w:type="dxa"/>
            <w:tcBorders>
              <w:top w:val="single" w:color="auto" w:sz="2" w:space="0"/>
              <w:left w:val="single" w:color="auto" w:sz="2" w:space="0"/>
              <w:bottom w:val="single" w:color="auto" w:sz="2" w:space="0"/>
              <w:right w:val="single" w:color="auto" w:sz="2" w:space="0"/>
            </w:tcBorders>
            <w:vAlign w:val="center"/>
          </w:tcPr>
          <w:p w14:paraId="1010B581">
            <w:pPr>
              <w:keepNext w:val="0"/>
              <w:keepLines w:val="0"/>
              <w:pageBreakBefore w:val="0"/>
              <w:kinsoku/>
              <w:wordWrap/>
              <w:overflowPunct/>
              <w:topLinePunct w:val="0"/>
              <w:bidi w:val="0"/>
              <w:adjustRightInd/>
              <w:snapToGrid/>
              <w:spacing w:line="500" w:lineRule="exact"/>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资金来源</w:t>
            </w:r>
          </w:p>
        </w:tc>
        <w:tc>
          <w:tcPr>
            <w:tcW w:w="7447" w:type="dxa"/>
            <w:tcBorders>
              <w:top w:val="single" w:color="auto" w:sz="2" w:space="0"/>
              <w:left w:val="single" w:color="auto" w:sz="2" w:space="0"/>
              <w:bottom w:val="single" w:color="auto" w:sz="2" w:space="0"/>
              <w:right w:val="single" w:color="auto" w:sz="2" w:space="0"/>
            </w:tcBorders>
            <w:vAlign w:val="center"/>
          </w:tcPr>
          <w:p w14:paraId="64AA740B">
            <w:pPr>
              <w:keepNext w:val="0"/>
              <w:keepLines w:val="0"/>
              <w:pageBreakBefore w:val="0"/>
              <w:kinsoku/>
              <w:wordWrap/>
              <w:overflowPunct/>
              <w:topLinePunct w:val="0"/>
              <w:bidi w:val="0"/>
              <w:adjustRightInd/>
              <w:snapToGrid/>
              <w:spacing w:line="500" w:lineRule="exact"/>
              <w:jc w:val="both"/>
              <w:textAlignment w:val="auto"/>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 xml:space="preserve">自筹资金 </w:t>
            </w:r>
          </w:p>
        </w:tc>
      </w:tr>
      <w:tr w14:paraId="63294AF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atLeast"/>
        </w:trPr>
        <w:tc>
          <w:tcPr>
            <w:tcW w:w="2631" w:type="dxa"/>
            <w:tcBorders>
              <w:top w:val="single" w:color="auto" w:sz="2" w:space="0"/>
              <w:left w:val="single" w:color="auto" w:sz="2" w:space="0"/>
              <w:bottom w:val="single" w:color="auto" w:sz="2" w:space="0"/>
              <w:right w:val="single" w:color="auto" w:sz="2" w:space="0"/>
            </w:tcBorders>
            <w:vAlign w:val="center"/>
          </w:tcPr>
          <w:p w14:paraId="4D26A6A8">
            <w:pPr>
              <w:keepNext w:val="0"/>
              <w:keepLines w:val="0"/>
              <w:pageBreakBefore w:val="0"/>
              <w:kinsoku/>
              <w:wordWrap/>
              <w:overflowPunct/>
              <w:topLinePunct w:val="0"/>
              <w:autoSpaceDE w:val="0"/>
              <w:autoSpaceDN w:val="0"/>
              <w:bidi w:val="0"/>
              <w:adjustRightInd/>
              <w:snapToGrid/>
              <w:spacing w:line="500" w:lineRule="exact"/>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资金落实情况</w:t>
            </w:r>
          </w:p>
        </w:tc>
        <w:tc>
          <w:tcPr>
            <w:tcW w:w="7447" w:type="dxa"/>
            <w:tcBorders>
              <w:top w:val="single" w:color="auto" w:sz="2" w:space="0"/>
              <w:left w:val="single" w:color="auto" w:sz="2" w:space="0"/>
              <w:bottom w:val="single" w:color="auto" w:sz="2" w:space="0"/>
              <w:right w:val="single" w:color="auto" w:sz="2" w:space="0"/>
            </w:tcBorders>
            <w:vAlign w:val="center"/>
          </w:tcPr>
          <w:p w14:paraId="12174FCC">
            <w:pPr>
              <w:keepNext w:val="0"/>
              <w:keepLines w:val="0"/>
              <w:pageBreakBefore w:val="0"/>
              <w:kinsoku/>
              <w:wordWrap/>
              <w:overflowPunct/>
              <w:topLinePunct w:val="0"/>
              <w:autoSpaceDE w:val="0"/>
              <w:autoSpaceDN w:val="0"/>
              <w:bidi w:val="0"/>
              <w:adjustRightInd/>
              <w:snapToGrid/>
              <w:spacing w:line="500" w:lineRule="exact"/>
              <w:ind w:firstLine="34"/>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已落实</w:t>
            </w:r>
          </w:p>
        </w:tc>
      </w:tr>
      <w:tr w14:paraId="4E95DC6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atLeast"/>
        </w:trPr>
        <w:tc>
          <w:tcPr>
            <w:tcW w:w="2631" w:type="dxa"/>
            <w:tcBorders>
              <w:top w:val="single" w:color="auto" w:sz="2" w:space="0"/>
              <w:left w:val="single" w:color="auto" w:sz="2" w:space="0"/>
              <w:bottom w:val="single" w:color="auto" w:sz="2" w:space="0"/>
              <w:right w:val="single" w:color="auto" w:sz="2" w:space="0"/>
            </w:tcBorders>
            <w:vAlign w:val="center"/>
          </w:tcPr>
          <w:p w14:paraId="29A971F0">
            <w:pPr>
              <w:keepNext w:val="0"/>
              <w:keepLines w:val="0"/>
              <w:pageBreakBefore w:val="0"/>
              <w:kinsoku/>
              <w:wordWrap/>
              <w:overflowPunct/>
              <w:topLinePunct w:val="0"/>
              <w:bidi w:val="0"/>
              <w:adjustRightInd/>
              <w:snapToGrid/>
              <w:spacing w:line="500" w:lineRule="exact"/>
              <w:ind w:firstLine="34"/>
              <w:jc w:val="center"/>
              <w:textAlignment w:val="auto"/>
              <w:rPr>
                <w:rFonts w:hint="eastAsia" w:asciiTheme="minorEastAsia" w:hAnsiTheme="minorEastAsia" w:eastAsiaTheme="minorEastAsia" w:cstheme="minorEastAsia"/>
                <w:color w:val="auto"/>
                <w:sz w:val="21"/>
                <w:szCs w:val="21"/>
                <w:highlight w:val="yellow"/>
              </w:rPr>
            </w:pPr>
            <w:r>
              <w:rPr>
                <w:rFonts w:hint="eastAsia" w:ascii="宋体" w:hAnsi="宋体" w:cs="宋体"/>
                <w:color w:val="auto"/>
                <w:sz w:val="21"/>
                <w:szCs w:val="21"/>
                <w:highlight w:val="none"/>
                <w:lang w:val="en-US" w:eastAsia="zh-CN"/>
              </w:rPr>
              <w:t>合同履行期限</w:t>
            </w:r>
          </w:p>
        </w:tc>
        <w:tc>
          <w:tcPr>
            <w:tcW w:w="7447" w:type="dxa"/>
            <w:tcBorders>
              <w:top w:val="single" w:color="auto" w:sz="2" w:space="0"/>
              <w:left w:val="single" w:color="auto" w:sz="2" w:space="0"/>
              <w:bottom w:val="single" w:color="auto" w:sz="2" w:space="0"/>
              <w:right w:val="single" w:color="auto" w:sz="2" w:space="0"/>
            </w:tcBorders>
            <w:vAlign w:val="center"/>
          </w:tcPr>
          <w:p w14:paraId="2CEEAA7A">
            <w:pPr>
              <w:keepNext w:val="0"/>
              <w:keepLines w:val="0"/>
              <w:pageBreakBefore w:val="0"/>
              <w:widowControl/>
              <w:suppressLineNumbers w:val="0"/>
              <w:kinsoku/>
              <w:wordWrap/>
              <w:overflowPunct/>
              <w:topLinePunct w:val="0"/>
              <w:bidi w:val="0"/>
              <w:adjustRightInd/>
              <w:snapToGrid/>
              <w:spacing w:line="500" w:lineRule="exact"/>
              <w:jc w:val="left"/>
              <w:textAlignment w:val="auto"/>
              <w:rPr>
                <w:rFonts w:hint="eastAsia" w:asciiTheme="minorEastAsia" w:hAnsiTheme="minorEastAsia" w:eastAsiaTheme="minorEastAsia" w:cstheme="minorEastAsia"/>
                <w:bCs/>
                <w:color w:val="auto"/>
                <w:sz w:val="21"/>
                <w:szCs w:val="21"/>
              </w:rPr>
            </w:pPr>
            <w:r>
              <w:rPr>
                <w:rFonts w:hint="eastAsia" w:ascii="宋体" w:hAnsi="宋体" w:eastAsia="宋体" w:cs="宋体"/>
                <w:color w:val="auto"/>
                <w:sz w:val="21"/>
                <w:szCs w:val="21"/>
                <w:highlight w:val="none"/>
                <w:lang w:val="en-US" w:eastAsia="zh-CN"/>
              </w:rPr>
              <w:t>自合同签订之日起</w:t>
            </w:r>
            <w:r>
              <w:rPr>
                <w:rFonts w:hint="eastAsia" w:ascii="宋体" w:hAnsi="宋体" w:cs="宋体"/>
                <w:color w:val="auto"/>
                <w:sz w:val="21"/>
                <w:szCs w:val="21"/>
                <w:highlight w:val="none"/>
                <w:lang w:val="en-US" w:eastAsia="zh-CN"/>
              </w:rPr>
              <w:t>15</w:t>
            </w:r>
            <w:r>
              <w:rPr>
                <w:rFonts w:hint="eastAsia" w:ascii="宋体" w:hAnsi="宋体" w:eastAsia="宋体" w:cs="宋体"/>
                <w:color w:val="auto"/>
                <w:sz w:val="21"/>
                <w:szCs w:val="21"/>
                <w:highlight w:val="none"/>
                <w:lang w:val="en-US" w:eastAsia="zh-CN"/>
              </w:rPr>
              <w:t>个</w:t>
            </w:r>
            <w:r>
              <w:rPr>
                <w:rFonts w:hint="eastAsia" w:ascii="宋体" w:hAnsi="宋体" w:cs="宋体"/>
                <w:color w:val="auto"/>
                <w:sz w:val="21"/>
                <w:szCs w:val="21"/>
                <w:highlight w:val="none"/>
                <w:lang w:val="en-US" w:eastAsia="zh-CN"/>
              </w:rPr>
              <w:t>日历天</w:t>
            </w:r>
            <w:r>
              <w:rPr>
                <w:rFonts w:hint="eastAsia" w:ascii="宋体" w:hAnsi="宋体" w:eastAsia="宋体" w:cs="宋体"/>
                <w:color w:val="auto"/>
                <w:sz w:val="21"/>
                <w:szCs w:val="21"/>
                <w:highlight w:val="none"/>
                <w:lang w:val="en-US" w:eastAsia="zh-CN"/>
              </w:rPr>
              <w:t>内完成货物的安装及交付</w:t>
            </w:r>
          </w:p>
        </w:tc>
      </w:tr>
      <w:tr w14:paraId="04421BE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atLeast"/>
        </w:trPr>
        <w:tc>
          <w:tcPr>
            <w:tcW w:w="2631" w:type="dxa"/>
            <w:tcBorders>
              <w:top w:val="single" w:color="auto" w:sz="2" w:space="0"/>
              <w:left w:val="single" w:color="auto" w:sz="2" w:space="0"/>
              <w:bottom w:val="single" w:color="auto" w:sz="2" w:space="0"/>
              <w:right w:val="single" w:color="auto" w:sz="2" w:space="0"/>
            </w:tcBorders>
            <w:vAlign w:val="center"/>
          </w:tcPr>
          <w:p w14:paraId="28279066">
            <w:pPr>
              <w:keepNext w:val="0"/>
              <w:keepLines w:val="0"/>
              <w:pageBreakBefore w:val="0"/>
              <w:kinsoku/>
              <w:wordWrap/>
              <w:overflowPunct/>
              <w:topLinePunct w:val="0"/>
              <w:bidi w:val="0"/>
              <w:adjustRightInd/>
              <w:snapToGrid/>
              <w:spacing w:line="500" w:lineRule="exact"/>
              <w:ind w:firstLine="34"/>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付款方式</w:t>
            </w:r>
          </w:p>
        </w:tc>
        <w:tc>
          <w:tcPr>
            <w:tcW w:w="7447" w:type="dxa"/>
            <w:tcBorders>
              <w:top w:val="single" w:color="auto" w:sz="2" w:space="0"/>
              <w:left w:val="single" w:color="auto" w:sz="2" w:space="0"/>
              <w:bottom w:val="single" w:color="auto" w:sz="2" w:space="0"/>
              <w:right w:val="single" w:color="auto" w:sz="2" w:space="0"/>
            </w:tcBorders>
            <w:vAlign w:val="center"/>
          </w:tcPr>
          <w:p w14:paraId="4F2BBFF1">
            <w:pPr>
              <w:keepNext w:val="0"/>
              <w:keepLines w:val="0"/>
              <w:pageBreakBefore w:val="0"/>
              <w:kinsoku/>
              <w:wordWrap/>
              <w:overflowPunct/>
              <w:topLinePunct w:val="0"/>
              <w:bidi w:val="0"/>
              <w:adjustRightInd/>
              <w:snapToGrid/>
              <w:spacing w:line="500" w:lineRule="exact"/>
              <w:textAlignment w:val="auto"/>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zh-CN" w:eastAsia="zh-CN"/>
              </w:rPr>
              <w:t>货物按要求送到指定地点，安装调试并经采购人验收合格后付至审计价的95%，余款5%一年后付清。</w:t>
            </w:r>
          </w:p>
        </w:tc>
      </w:tr>
      <w:tr w14:paraId="31AE515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46" w:hRule="atLeast"/>
        </w:trPr>
        <w:tc>
          <w:tcPr>
            <w:tcW w:w="2631" w:type="dxa"/>
            <w:tcBorders>
              <w:top w:val="single" w:color="auto" w:sz="2" w:space="0"/>
              <w:left w:val="single" w:color="auto" w:sz="2" w:space="0"/>
              <w:bottom w:val="single" w:color="auto" w:sz="2" w:space="0"/>
              <w:right w:val="single" w:color="auto" w:sz="2" w:space="0"/>
            </w:tcBorders>
            <w:vAlign w:val="center"/>
          </w:tcPr>
          <w:p w14:paraId="3311C475">
            <w:pPr>
              <w:keepNext w:val="0"/>
              <w:keepLines w:val="0"/>
              <w:pageBreakBefore w:val="0"/>
              <w:kinsoku/>
              <w:wordWrap/>
              <w:overflowPunct/>
              <w:topLinePunct w:val="0"/>
              <w:autoSpaceDE w:val="0"/>
              <w:autoSpaceDN w:val="0"/>
              <w:bidi w:val="0"/>
              <w:adjustRightInd/>
              <w:snapToGrid/>
              <w:spacing w:line="500" w:lineRule="exact"/>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投标人资格条件</w:t>
            </w:r>
          </w:p>
        </w:tc>
        <w:tc>
          <w:tcPr>
            <w:tcW w:w="7447" w:type="dxa"/>
            <w:tcBorders>
              <w:top w:val="single" w:color="auto" w:sz="2" w:space="0"/>
              <w:left w:val="single" w:color="auto" w:sz="2" w:space="0"/>
              <w:bottom w:val="single" w:color="auto" w:sz="2" w:space="0"/>
              <w:right w:val="single" w:color="auto" w:sz="2" w:space="0"/>
            </w:tcBorders>
            <w:vAlign w:val="center"/>
          </w:tcPr>
          <w:p w14:paraId="46DDD9AE">
            <w:pPr>
              <w:keepNext w:val="0"/>
              <w:keepLines w:val="0"/>
              <w:pageBreakBefore w:val="0"/>
              <w:widowControl/>
              <w:suppressLineNumbers w:val="0"/>
              <w:kinsoku/>
              <w:wordWrap/>
              <w:overflowPunct/>
              <w:topLinePunct w:val="0"/>
              <w:bidi w:val="0"/>
              <w:adjustRightInd/>
              <w:snapToGrid/>
              <w:spacing w:line="500" w:lineRule="exact"/>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详见招标文件</w:t>
            </w:r>
          </w:p>
        </w:tc>
      </w:tr>
      <w:tr w14:paraId="7A4A1D9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69" w:hRule="atLeast"/>
        </w:trPr>
        <w:tc>
          <w:tcPr>
            <w:tcW w:w="2631" w:type="dxa"/>
            <w:tcBorders>
              <w:top w:val="single" w:color="auto" w:sz="2" w:space="0"/>
              <w:left w:val="single" w:color="auto" w:sz="2" w:space="0"/>
              <w:bottom w:val="single" w:color="auto" w:sz="2" w:space="0"/>
              <w:right w:val="single" w:color="auto" w:sz="2" w:space="0"/>
            </w:tcBorders>
            <w:vAlign w:val="center"/>
          </w:tcPr>
          <w:p w14:paraId="72519DE3">
            <w:pPr>
              <w:keepNext w:val="0"/>
              <w:keepLines w:val="0"/>
              <w:pageBreakBefore w:val="0"/>
              <w:kinsoku/>
              <w:wordWrap/>
              <w:overflowPunct/>
              <w:topLinePunct w:val="0"/>
              <w:autoSpaceDE w:val="0"/>
              <w:autoSpaceDN w:val="0"/>
              <w:bidi w:val="0"/>
              <w:adjustRightInd/>
              <w:snapToGrid/>
              <w:spacing w:line="500" w:lineRule="exact"/>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资格审查方式</w:t>
            </w:r>
          </w:p>
        </w:tc>
        <w:tc>
          <w:tcPr>
            <w:tcW w:w="7447" w:type="dxa"/>
            <w:tcBorders>
              <w:top w:val="single" w:color="auto" w:sz="2" w:space="0"/>
              <w:left w:val="single" w:color="auto" w:sz="2" w:space="0"/>
              <w:bottom w:val="single" w:color="auto" w:sz="2" w:space="0"/>
              <w:right w:val="single" w:color="auto" w:sz="2" w:space="0"/>
            </w:tcBorders>
            <w:vAlign w:val="center"/>
          </w:tcPr>
          <w:p w14:paraId="4F1EB1BF">
            <w:pPr>
              <w:keepNext w:val="0"/>
              <w:keepLines w:val="0"/>
              <w:pageBreakBefore w:val="0"/>
              <w:tabs>
                <w:tab w:val="left" w:pos="1440"/>
              </w:tabs>
              <w:kinsoku/>
              <w:wordWrap/>
              <w:overflowPunct/>
              <w:topLinePunct w:val="0"/>
              <w:bidi w:val="0"/>
              <w:adjustRightInd/>
              <w:snapToGrid/>
              <w:spacing w:line="500" w:lineRule="exact"/>
              <w:ind w:firstLine="34"/>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资格后审</w:t>
            </w:r>
          </w:p>
        </w:tc>
      </w:tr>
      <w:tr w14:paraId="7149C73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07" w:hRule="atLeast"/>
        </w:trPr>
        <w:tc>
          <w:tcPr>
            <w:tcW w:w="2631" w:type="dxa"/>
            <w:tcBorders>
              <w:top w:val="single" w:color="auto" w:sz="2" w:space="0"/>
              <w:left w:val="single" w:color="auto" w:sz="2" w:space="0"/>
              <w:bottom w:val="single" w:color="auto" w:sz="2" w:space="0"/>
              <w:right w:val="single" w:color="auto" w:sz="2" w:space="0"/>
            </w:tcBorders>
            <w:vAlign w:val="center"/>
          </w:tcPr>
          <w:p w14:paraId="2DA08377">
            <w:pPr>
              <w:keepNext w:val="0"/>
              <w:keepLines w:val="0"/>
              <w:pageBreakBefore w:val="0"/>
              <w:kinsoku/>
              <w:wordWrap/>
              <w:overflowPunct/>
              <w:topLinePunct w:val="0"/>
              <w:autoSpaceDE w:val="0"/>
              <w:autoSpaceDN w:val="0"/>
              <w:bidi w:val="0"/>
              <w:adjustRightInd/>
              <w:snapToGrid/>
              <w:spacing w:line="500" w:lineRule="exact"/>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是否接受联合体投标</w:t>
            </w:r>
          </w:p>
        </w:tc>
        <w:tc>
          <w:tcPr>
            <w:tcW w:w="7447" w:type="dxa"/>
            <w:tcBorders>
              <w:top w:val="single" w:color="auto" w:sz="2" w:space="0"/>
              <w:left w:val="single" w:color="auto" w:sz="2" w:space="0"/>
              <w:bottom w:val="single" w:color="auto" w:sz="2" w:space="0"/>
              <w:right w:val="single" w:color="auto" w:sz="2" w:space="0"/>
            </w:tcBorders>
            <w:vAlign w:val="center"/>
          </w:tcPr>
          <w:p w14:paraId="78E9F3EA">
            <w:pPr>
              <w:pStyle w:val="22"/>
              <w:keepNext w:val="0"/>
              <w:keepLines w:val="0"/>
              <w:pageBreakBefore w:val="0"/>
              <w:kinsoku/>
              <w:wordWrap/>
              <w:overflowPunct/>
              <w:topLinePunct w:val="0"/>
              <w:bidi w:val="0"/>
              <w:adjustRightInd/>
              <w:snapToGrid/>
              <w:spacing w:line="500" w:lineRule="exact"/>
              <w:ind w:firstLine="34"/>
              <w:textAlignment w:val="auto"/>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不接受</w:t>
            </w:r>
          </w:p>
        </w:tc>
      </w:tr>
      <w:tr w14:paraId="1BBAC2F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072" w:hRule="atLeast"/>
        </w:trPr>
        <w:tc>
          <w:tcPr>
            <w:tcW w:w="2631" w:type="dxa"/>
            <w:tcBorders>
              <w:top w:val="single" w:color="auto" w:sz="2" w:space="0"/>
              <w:left w:val="single" w:color="auto" w:sz="2" w:space="0"/>
              <w:bottom w:val="single" w:color="auto" w:sz="2" w:space="0"/>
              <w:right w:val="single" w:color="auto" w:sz="2" w:space="0"/>
            </w:tcBorders>
            <w:vAlign w:val="center"/>
          </w:tcPr>
          <w:p w14:paraId="5BD822CB">
            <w:pPr>
              <w:keepNext w:val="0"/>
              <w:keepLines w:val="0"/>
              <w:pageBreakBefore w:val="0"/>
              <w:kinsoku/>
              <w:wordWrap/>
              <w:overflowPunct/>
              <w:topLinePunct w:val="0"/>
              <w:autoSpaceDE w:val="0"/>
              <w:autoSpaceDN w:val="0"/>
              <w:bidi w:val="0"/>
              <w:adjustRightInd/>
              <w:snapToGrid/>
              <w:spacing w:line="500" w:lineRule="exact"/>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投标人不得存在的</w:t>
            </w:r>
          </w:p>
          <w:p w14:paraId="357797C6">
            <w:pPr>
              <w:keepNext w:val="0"/>
              <w:keepLines w:val="0"/>
              <w:pageBreakBefore w:val="0"/>
              <w:kinsoku/>
              <w:wordWrap/>
              <w:overflowPunct/>
              <w:topLinePunct w:val="0"/>
              <w:autoSpaceDE w:val="0"/>
              <w:autoSpaceDN w:val="0"/>
              <w:bidi w:val="0"/>
              <w:adjustRightInd/>
              <w:snapToGrid/>
              <w:spacing w:line="500" w:lineRule="exact"/>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情形</w:t>
            </w:r>
          </w:p>
        </w:tc>
        <w:tc>
          <w:tcPr>
            <w:tcW w:w="7447" w:type="dxa"/>
            <w:tcBorders>
              <w:top w:val="single" w:color="auto" w:sz="2" w:space="0"/>
              <w:left w:val="single" w:color="auto" w:sz="2" w:space="0"/>
              <w:bottom w:val="single" w:color="auto" w:sz="2" w:space="0"/>
              <w:right w:val="single" w:color="auto" w:sz="2" w:space="0"/>
            </w:tcBorders>
            <w:vAlign w:val="center"/>
          </w:tcPr>
          <w:p w14:paraId="29B6EEDD">
            <w:pPr>
              <w:pStyle w:val="22"/>
              <w:keepNext w:val="0"/>
              <w:keepLines w:val="0"/>
              <w:pageBreakBefore w:val="0"/>
              <w:tabs>
                <w:tab w:val="left" w:pos="900"/>
              </w:tabs>
              <w:kinsoku/>
              <w:wordWrap/>
              <w:overflowPunct/>
              <w:topLinePunct w:val="0"/>
              <w:bidi w:val="0"/>
              <w:adjustRightInd/>
              <w:snapToGrid/>
              <w:spacing w:line="500" w:lineRule="exact"/>
              <w:ind w:firstLine="34"/>
              <w:jc w:val="both"/>
              <w:textAlignment w:val="auto"/>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1、为</w:t>
            </w:r>
            <w:r>
              <w:rPr>
                <w:rFonts w:hint="eastAsia" w:asciiTheme="minorEastAsia" w:hAnsiTheme="minorEastAsia" w:eastAsiaTheme="minorEastAsia" w:cstheme="minorEastAsia"/>
                <w:color w:val="auto"/>
                <w:kern w:val="2"/>
                <w:sz w:val="21"/>
                <w:szCs w:val="21"/>
                <w:lang w:eastAsia="zh-CN"/>
              </w:rPr>
              <w:t>招标人</w:t>
            </w:r>
            <w:r>
              <w:rPr>
                <w:rFonts w:hint="eastAsia" w:asciiTheme="minorEastAsia" w:hAnsiTheme="minorEastAsia" w:eastAsiaTheme="minorEastAsia" w:cstheme="minorEastAsia"/>
                <w:color w:val="auto"/>
                <w:kern w:val="2"/>
                <w:sz w:val="21"/>
                <w:szCs w:val="21"/>
              </w:rPr>
              <w:t xml:space="preserve">不具有独立法人资格的附属机构（单位）； </w:t>
            </w:r>
          </w:p>
          <w:p w14:paraId="45043348">
            <w:pPr>
              <w:pStyle w:val="22"/>
              <w:keepNext w:val="0"/>
              <w:keepLines w:val="0"/>
              <w:pageBreakBefore w:val="0"/>
              <w:tabs>
                <w:tab w:val="left" w:pos="900"/>
              </w:tabs>
              <w:kinsoku/>
              <w:wordWrap/>
              <w:overflowPunct/>
              <w:topLinePunct w:val="0"/>
              <w:bidi w:val="0"/>
              <w:adjustRightInd/>
              <w:snapToGrid/>
              <w:spacing w:line="500" w:lineRule="exact"/>
              <w:ind w:firstLine="34"/>
              <w:jc w:val="both"/>
              <w:textAlignment w:val="auto"/>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 xml:space="preserve">2、为本招标项目的代建人或招标代理机构的； </w:t>
            </w:r>
          </w:p>
          <w:p w14:paraId="33F8A7DE">
            <w:pPr>
              <w:pStyle w:val="22"/>
              <w:keepNext w:val="0"/>
              <w:keepLines w:val="0"/>
              <w:pageBreakBefore w:val="0"/>
              <w:tabs>
                <w:tab w:val="left" w:pos="900"/>
              </w:tabs>
              <w:kinsoku/>
              <w:wordWrap/>
              <w:overflowPunct/>
              <w:topLinePunct w:val="0"/>
              <w:bidi w:val="0"/>
              <w:adjustRightInd/>
              <w:snapToGrid/>
              <w:spacing w:line="500" w:lineRule="exact"/>
              <w:ind w:firstLine="34"/>
              <w:jc w:val="both"/>
              <w:textAlignment w:val="auto"/>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3、与本招标项目的代建人或招标代理机构同为一个法定代表人的；</w:t>
            </w:r>
          </w:p>
          <w:p w14:paraId="599FF5FF">
            <w:pPr>
              <w:pStyle w:val="22"/>
              <w:keepNext w:val="0"/>
              <w:keepLines w:val="0"/>
              <w:pageBreakBefore w:val="0"/>
              <w:tabs>
                <w:tab w:val="left" w:pos="900"/>
              </w:tabs>
              <w:kinsoku/>
              <w:wordWrap/>
              <w:overflowPunct/>
              <w:topLinePunct w:val="0"/>
              <w:bidi w:val="0"/>
              <w:adjustRightInd/>
              <w:snapToGrid/>
              <w:spacing w:line="500" w:lineRule="exact"/>
              <w:ind w:firstLine="34"/>
              <w:jc w:val="both"/>
              <w:textAlignment w:val="auto"/>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4、与本招标项目的代建人或招标代理机构相互控股或参股的；</w:t>
            </w:r>
          </w:p>
          <w:p w14:paraId="213E38C4">
            <w:pPr>
              <w:pStyle w:val="22"/>
              <w:keepNext w:val="0"/>
              <w:keepLines w:val="0"/>
              <w:pageBreakBefore w:val="0"/>
              <w:tabs>
                <w:tab w:val="left" w:pos="900"/>
              </w:tabs>
              <w:kinsoku/>
              <w:wordWrap/>
              <w:overflowPunct/>
              <w:topLinePunct w:val="0"/>
              <w:bidi w:val="0"/>
              <w:adjustRightInd/>
              <w:snapToGrid/>
              <w:spacing w:line="500" w:lineRule="exact"/>
              <w:ind w:firstLine="34"/>
              <w:jc w:val="both"/>
              <w:textAlignment w:val="auto"/>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5、与本招标项目的代建人或招标代理机构相互任职或工作的；</w:t>
            </w:r>
          </w:p>
          <w:p w14:paraId="29989FE3">
            <w:pPr>
              <w:pStyle w:val="22"/>
              <w:keepNext w:val="0"/>
              <w:keepLines w:val="0"/>
              <w:pageBreakBefore w:val="0"/>
              <w:tabs>
                <w:tab w:val="left" w:pos="900"/>
              </w:tabs>
              <w:kinsoku/>
              <w:wordWrap/>
              <w:overflowPunct/>
              <w:topLinePunct w:val="0"/>
              <w:bidi w:val="0"/>
              <w:adjustRightInd/>
              <w:snapToGrid/>
              <w:spacing w:line="500" w:lineRule="exact"/>
              <w:ind w:firstLine="34"/>
              <w:jc w:val="both"/>
              <w:textAlignment w:val="auto"/>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 xml:space="preserve">6、被责令停业的； </w:t>
            </w:r>
          </w:p>
          <w:p w14:paraId="2618CC96">
            <w:pPr>
              <w:pStyle w:val="22"/>
              <w:keepNext w:val="0"/>
              <w:keepLines w:val="0"/>
              <w:pageBreakBefore w:val="0"/>
              <w:tabs>
                <w:tab w:val="left" w:pos="900"/>
              </w:tabs>
              <w:kinsoku/>
              <w:wordWrap/>
              <w:overflowPunct/>
              <w:topLinePunct w:val="0"/>
              <w:bidi w:val="0"/>
              <w:adjustRightInd/>
              <w:snapToGrid/>
              <w:spacing w:line="500" w:lineRule="exact"/>
              <w:ind w:firstLine="34"/>
              <w:jc w:val="both"/>
              <w:textAlignment w:val="auto"/>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7、被暂停或取消投标资格的；</w:t>
            </w:r>
          </w:p>
          <w:p w14:paraId="60B23752">
            <w:pPr>
              <w:pStyle w:val="22"/>
              <w:keepNext w:val="0"/>
              <w:keepLines w:val="0"/>
              <w:pageBreakBefore w:val="0"/>
              <w:tabs>
                <w:tab w:val="left" w:pos="900"/>
              </w:tabs>
              <w:kinsoku/>
              <w:wordWrap/>
              <w:overflowPunct/>
              <w:topLinePunct w:val="0"/>
              <w:bidi w:val="0"/>
              <w:adjustRightInd/>
              <w:snapToGrid/>
              <w:spacing w:line="500" w:lineRule="exact"/>
              <w:ind w:firstLine="34"/>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2"/>
                <w:sz w:val="21"/>
                <w:szCs w:val="21"/>
              </w:rPr>
              <w:t xml:space="preserve">8、财产被接管或冻结的。 </w:t>
            </w:r>
          </w:p>
        </w:tc>
      </w:tr>
      <w:tr w14:paraId="2DD976A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2631" w:type="dxa"/>
            <w:tcBorders>
              <w:top w:val="single" w:color="auto" w:sz="2" w:space="0"/>
              <w:left w:val="single" w:color="auto" w:sz="2" w:space="0"/>
              <w:bottom w:val="single" w:color="auto" w:sz="2" w:space="0"/>
              <w:right w:val="single" w:color="auto" w:sz="2" w:space="0"/>
            </w:tcBorders>
            <w:vAlign w:val="center"/>
          </w:tcPr>
          <w:p w14:paraId="3A9522FD">
            <w:pPr>
              <w:keepNext w:val="0"/>
              <w:keepLines w:val="0"/>
              <w:pageBreakBefore w:val="0"/>
              <w:kinsoku/>
              <w:wordWrap/>
              <w:overflowPunct/>
              <w:topLinePunct w:val="0"/>
              <w:autoSpaceDE w:val="0"/>
              <w:autoSpaceDN w:val="0"/>
              <w:bidi w:val="0"/>
              <w:adjustRightInd/>
              <w:snapToGrid/>
              <w:spacing w:line="500" w:lineRule="exact"/>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踏勘现场及投标</w:t>
            </w:r>
          </w:p>
          <w:p w14:paraId="3450988D">
            <w:pPr>
              <w:keepNext w:val="0"/>
              <w:keepLines w:val="0"/>
              <w:pageBreakBefore w:val="0"/>
              <w:kinsoku/>
              <w:wordWrap/>
              <w:overflowPunct/>
              <w:topLinePunct w:val="0"/>
              <w:autoSpaceDE w:val="0"/>
              <w:autoSpaceDN w:val="0"/>
              <w:bidi w:val="0"/>
              <w:adjustRightInd/>
              <w:snapToGrid/>
              <w:spacing w:line="500" w:lineRule="exact"/>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预备会</w:t>
            </w:r>
          </w:p>
        </w:tc>
        <w:tc>
          <w:tcPr>
            <w:tcW w:w="7447" w:type="dxa"/>
            <w:tcBorders>
              <w:top w:val="single" w:color="auto" w:sz="2" w:space="0"/>
              <w:left w:val="single" w:color="auto" w:sz="2" w:space="0"/>
              <w:bottom w:val="single" w:color="auto" w:sz="2" w:space="0"/>
              <w:right w:val="single" w:color="auto" w:sz="2" w:space="0"/>
            </w:tcBorders>
            <w:vAlign w:val="center"/>
          </w:tcPr>
          <w:p w14:paraId="3F86AC52">
            <w:pPr>
              <w:keepNext w:val="0"/>
              <w:keepLines w:val="0"/>
              <w:pageBreakBefore w:val="0"/>
              <w:widowControl/>
              <w:suppressLineNumbers w:val="0"/>
              <w:kinsoku/>
              <w:wordWrap/>
              <w:overflowPunct/>
              <w:topLinePunct w:val="0"/>
              <w:bidi w:val="0"/>
              <w:adjustRightInd/>
              <w:snapToGrid/>
              <w:spacing w:line="500" w:lineRule="exact"/>
              <w:jc w:val="left"/>
              <w:textAlignment w:val="auto"/>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0"/>
                <w:sz w:val="21"/>
                <w:szCs w:val="21"/>
                <w:lang w:val="en-US" w:eastAsia="zh-CN" w:bidi="ar"/>
              </w:rPr>
              <w:t>不组织，投标人自行踏勘,费用自理</w:t>
            </w:r>
          </w:p>
        </w:tc>
      </w:tr>
      <w:tr w14:paraId="1ACD4BD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94" w:hRule="atLeast"/>
        </w:trPr>
        <w:tc>
          <w:tcPr>
            <w:tcW w:w="2631" w:type="dxa"/>
            <w:tcBorders>
              <w:top w:val="single" w:color="auto" w:sz="2" w:space="0"/>
              <w:left w:val="single" w:color="auto" w:sz="2" w:space="0"/>
              <w:bottom w:val="single" w:color="auto" w:sz="2" w:space="0"/>
              <w:right w:val="single" w:color="auto" w:sz="2" w:space="0"/>
            </w:tcBorders>
            <w:vAlign w:val="center"/>
          </w:tcPr>
          <w:p w14:paraId="3D59B8AF">
            <w:pPr>
              <w:keepNext w:val="0"/>
              <w:keepLines w:val="0"/>
              <w:pageBreakBefore w:val="0"/>
              <w:kinsoku/>
              <w:wordWrap/>
              <w:overflowPunct/>
              <w:topLinePunct w:val="0"/>
              <w:autoSpaceDE w:val="0"/>
              <w:autoSpaceDN w:val="0"/>
              <w:bidi w:val="0"/>
              <w:adjustRightInd/>
              <w:snapToGrid/>
              <w:spacing w:line="500" w:lineRule="exact"/>
              <w:jc w:val="center"/>
              <w:textAlignment w:val="auto"/>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color w:val="auto"/>
                <w:sz w:val="21"/>
                <w:szCs w:val="21"/>
                <w:lang w:val="en-US" w:eastAsia="zh-CN"/>
              </w:rPr>
              <w:t>报价形式</w:t>
            </w:r>
          </w:p>
        </w:tc>
        <w:tc>
          <w:tcPr>
            <w:tcW w:w="7447" w:type="dxa"/>
            <w:tcBorders>
              <w:top w:val="single" w:color="auto" w:sz="2" w:space="0"/>
              <w:left w:val="single" w:color="auto" w:sz="2" w:space="0"/>
              <w:bottom w:val="single" w:color="auto" w:sz="2" w:space="0"/>
              <w:right w:val="single" w:color="auto" w:sz="2" w:space="0"/>
            </w:tcBorders>
            <w:vAlign w:val="center"/>
          </w:tcPr>
          <w:p w14:paraId="370A4E62">
            <w:pPr>
              <w:keepNext w:val="0"/>
              <w:keepLines w:val="0"/>
              <w:pageBreakBefore w:val="0"/>
              <w:kinsoku/>
              <w:wordWrap/>
              <w:overflowPunct/>
              <w:topLinePunct w:val="0"/>
              <w:bidi w:val="0"/>
              <w:adjustRightInd/>
              <w:snapToGrid/>
              <w:spacing w:line="312" w:lineRule="auto"/>
              <w:jc w:val="left"/>
              <w:textAlignment w:val="auto"/>
              <w:rPr>
                <w:rFonts w:hint="default" w:asciiTheme="minorEastAsia" w:hAnsiTheme="minorEastAsia" w:eastAsiaTheme="minorEastAsia" w:cstheme="minorEastAsia"/>
                <w:b/>
                <w:bCs/>
                <w:color w:val="auto"/>
                <w:sz w:val="21"/>
                <w:szCs w:val="21"/>
                <w:lang w:val="en-US"/>
              </w:rPr>
            </w:pPr>
            <w:r>
              <w:rPr>
                <w:rFonts w:hint="eastAsia" w:ascii="宋体" w:hAnsi="宋体" w:cs="宋体"/>
                <w:b w:val="0"/>
                <w:bCs/>
                <w:color w:val="auto"/>
                <w:sz w:val="21"/>
                <w:szCs w:val="21"/>
                <w:lang w:val="en-US" w:eastAsia="zh-CN"/>
              </w:rPr>
              <w:t>人民币报价</w:t>
            </w:r>
            <w:r>
              <w:rPr>
                <w:rFonts w:hint="eastAsia" w:ascii="宋体" w:hAnsi="宋体" w:eastAsia="宋体" w:cs="宋体"/>
                <w:b w:val="0"/>
                <w:bCs/>
                <w:color w:val="auto"/>
                <w:sz w:val="21"/>
                <w:szCs w:val="21"/>
                <w:lang w:val="en-US" w:eastAsia="zh-CN"/>
              </w:rPr>
              <w:t>,各</w:t>
            </w:r>
            <w:r>
              <w:rPr>
                <w:rFonts w:hint="eastAsia" w:ascii="宋体" w:hAnsi="宋体" w:cs="宋体"/>
                <w:b w:val="0"/>
                <w:bCs/>
                <w:color w:val="auto"/>
                <w:sz w:val="21"/>
                <w:szCs w:val="21"/>
                <w:lang w:val="en-US" w:eastAsia="zh-CN"/>
              </w:rPr>
              <w:t>投标人</w:t>
            </w:r>
            <w:r>
              <w:rPr>
                <w:rFonts w:hint="eastAsia" w:ascii="宋体" w:hAnsi="宋体" w:eastAsia="宋体" w:cs="宋体"/>
                <w:b w:val="0"/>
                <w:bCs/>
                <w:color w:val="auto"/>
                <w:sz w:val="21"/>
                <w:szCs w:val="21"/>
                <w:lang w:val="en-US" w:eastAsia="zh-CN"/>
              </w:rPr>
              <w:t>自主报价，高于最高限价的</w:t>
            </w:r>
            <w:r>
              <w:rPr>
                <w:rFonts w:hint="eastAsia" w:ascii="宋体" w:hAnsi="宋体" w:cs="宋体"/>
                <w:b w:val="0"/>
                <w:bCs/>
                <w:color w:val="auto"/>
                <w:sz w:val="21"/>
                <w:szCs w:val="21"/>
                <w:lang w:val="en-US" w:eastAsia="zh-CN"/>
              </w:rPr>
              <w:t>投标</w:t>
            </w:r>
            <w:r>
              <w:rPr>
                <w:rFonts w:hint="eastAsia" w:ascii="宋体" w:hAnsi="宋体" w:eastAsia="宋体" w:cs="宋体"/>
                <w:b w:val="0"/>
                <w:bCs/>
                <w:color w:val="auto"/>
                <w:sz w:val="21"/>
                <w:szCs w:val="21"/>
                <w:lang w:val="en-US" w:eastAsia="zh-CN"/>
              </w:rPr>
              <w:t>响应文件作无效处理</w:t>
            </w:r>
            <w:r>
              <w:rPr>
                <w:rFonts w:hint="eastAsia" w:ascii="宋体" w:hAnsi="宋体" w:eastAsia="宋体" w:cs="宋体"/>
                <w:b/>
                <w:color w:val="auto"/>
                <w:sz w:val="21"/>
                <w:szCs w:val="21"/>
                <w:lang w:val="en-US" w:eastAsia="zh-CN"/>
              </w:rPr>
              <w:t>。</w:t>
            </w:r>
          </w:p>
        </w:tc>
      </w:tr>
      <w:tr w14:paraId="3CF78E9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0" w:hRule="atLeast"/>
        </w:trPr>
        <w:tc>
          <w:tcPr>
            <w:tcW w:w="2631" w:type="dxa"/>
            <w:tcBorders>
              <w:top w:val="single" w:color="auto" w:sz="2" w:space="0"/>
              <w:left w:val="single" w:color="auto" w:sz="2" w:space="0"/>
              <w:bottom w:val="single" w:color="auto" w:sz="2" w:space="0"/>
              <w:right w:val="single" w:color="auto" w:sz="2" w:space="0"/>
            </w:tcBorders>
            <w:vAlign w:val="center"/>
          </w:tcPr>
          <w:p w14:paraId="5DB4F730">
            <w:pPr>
              <w:keepNext w:val="0"/>
              <w:keepLines w:val="0"/>
              <w:pageBreakBefore w:val="0"/>
              <w:kinsoku/>
              <w:wordWrap/>
              <w:overflowPunct/>
              <w:topLinePunct w:val="0"/>
              <w:autoSpaceDE w:val="0"/>
              <w:autoSpaceDN w:val="0"/>
              <w:bidi w:val="0"/>
              <w:adjustRightInd/>
              <w:snapToGrid/>
              <w:spacing w:line="500" w:lineRule="exact"/>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投标有效期</w:t>
            </w:r>
          </w:p>
        </w:tc>
        <w:tc>
          <w:tcPr>
            <w:tcW w:w="7447" w:type="dxa"/>
            <w:tcBorders>
              <w:top w:val="single" w:color="auto" w:sz="2" w:space="0"/>
              <w:left w:val="single" w:color="auto" w:sz="2" w:space="0"/>
              <w:bottom w:val="single" w:color="auto" w:sz="2" w:space="0"/>
              <w:right w:val="single" w:color="auto" w:sz="2" w:space="0"/>
            </w:tcBorders>
            <w:vAlign w:val="center"/>
          </w:tcPr>
          <w:p w14:paraId="371B7948">
            <w:pPr>
              <w:keepNext w:val="0"/>
              <w:keepLines w:val="0"/>
              <w:pageBreakBefore w:val="0"/>
              <w:kinsoku/>
              <w:wordWrap/>
              <w:overflowPunct/>
              <w:topLinePunct w:val="0"/>
              <w:autoSpaceDE w:val="0"/>
              <w:autoSpaceDN w:val="0"/>
              <w:bidi w:val="0"/>
              <w:adjustRightInd/>
              <w:snapToGrid/>
              <w:spacing w:line="500" w:lineRule="exact"/>
              <w:ind w:firstLine="34"/>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u w:val="single"/>
                <w:lang w:val="en-US" w:eastAsia="zh-CN"/>
              </w:rPr>
              <w:t>90</w:t>
            </w:r>
            <w:r>
              <w:rPr>
                <w:rFonts w:hint="eastAsia" w:asciiTheme="minorEastAsia" w:hAnsiTheme="minorEastAsia" w:eastAsiaTheme="minorEastAsia" w:cstheme="minorEastAsia"/>
                <w:color w:val="auto"/>
                <w:sz w:val="21"/>
                <w:szCs w:val="21"/>
              </w:rPr>
              <w:t>个日历天</w:t>
            </w:r>
          </w:p>
        </w:tc>
      </w:tr>
      <w:tr w14:paraId="4B2276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2631" w:type="dxa"/>
            <w:tcBorders>
              <w:top w:val="single" w:color="auto" w:sz="2" w:space="0"/>
              <w:left w:val="single" w:color="auto" w:sz="2" w:space="0"/>
              <w:bottom w:val="single" w:color="auto" w:sz="2" w:space="0"/>
              <w:right w:val="single" w:color="auto" w:sz="2" w:space="0"/>
            </w:tcBorders>
            <w:vAlign w:val="center"/>
          </w:tcPr>
          <w:p w14:paraId="58E2C486">
            <w:pPr>
              <w:keepNext w:val="0"/>
              <w:keepLines w:val="0"/>
              <w:pageBreakBefore w:val="0"/>
              <w:kinsoku/>
              <w:wordWrap/>
              <w:overflowPunct/>
              <w:topLinePunct w:val="0"/>
              <w:autoSpaceDE w:val="0"/>
              <w:autoSpaceDN w:val="0"/>
              <w:bidi w:val="0"/>
              <w:adjustRightInd/>
              <w:snapToGrid/>
              <w:spacing w:line="500" w:lineRule="exact"/>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投标保证金的缴纳金额、缴纳方式及到账截止时间</w:t>
            </w:r>
          </w:p>
        </w:tc>
        <w:tc>
          <w:tcPr>
            <w:tcW w:w="7447" w:type="dxa"/>
            <w:tcBorders>
              <w:top w:val="single" w:color="auto" w:sz="2" w:space="0"/>
              <w:left w:val="single" w:color="auto" w:sz="2" w:space="0"/>
              <w:bottom w:val="single" w:color="auto" w:sz="2" w:space="0"/>
              <w:right w:val="single" w:color="auto" w:sz="2" w:space="0"/>
            </w:tcBorders>
            <w:vAlign w:val="center"/>
          </w:tcPr>
          <w:p w14:paraId="6A5D858A">
            <w:pPr>
              <w:keepNext w:val="0"/>
              <w:keepLines w:val="0"/>
              <w:pageBreakBefore w:val="0"/>
              <w:widowControl/>
              <w:kinsoku/>
              <w:wordWrap/>
              <w:overflowPunct/>
              <w:topLinePunct w:val="0"/>
              <w:bidi w:val="0"/>
              <w:adjustRightInd/>
              <w:snapToGrid/>
              <w:spacing w:line="500" w:lineRule="exact"/>
              <w:jc w:val="left"/>
              <w:textAlignment w:val="auto"/>
              <w:rPr>
                <w:rFonts w:hint="eastAsia" w:asciiTheme="minorEastAsia" w:hAnsiTheme="minorEastAsia" w:eastAsiaTheme="minorEastAsia" w:cstheme="minorEastAsia"/>
                <w:color w:val="auto"/>
                <w:sz w:val="21"/>
                <w:szCs w:val="21"/>
              </w:rPr>
            </w:pPr>
          </w:p>
          <w:p w14:paraId="2232C0BD">
            <w:pPr>
              <w:keepNext w:val="0"/>
              <w:keepLines w:val="0"/>
              <w:pageBreakBefore w:val="0"/>
              <w:widowControl/>
              <w:kinsoku/>
              <w:wordWrap/>
              <w:overflowPunct/>
              <w:topLinePunct w:val="0"/>
              <w:bidi w:val="0"/>
              <w:adjustRightInd/>
              <w:snapToGrid/>
              <w:spacing w:line="500" w:lineRule="exact"/>
              <w:jc w:val="left"/>
              <w:textAlignment w:val="auto"/>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color w:val="auto"/>
                <w:sz w:val="21"/>
                <w:szCs w:val="21"/>
              </w:rPr>
              <w:t>本项目不收取投标保证金</w:t>
            </w:r>
          </w:p>
          <w:p w14:paraId="632686BB">
            <w:pPr>
              <w:keepNext w:val="0"/>
              <w:keepLines w:val="0"/>
              <w:pageBreakBefore w:val="0"/>
              <w:kinsoku/>
              <w:wordWrap/>
              <w:overflowPunct/>
              <w:topLinePunct w:val="0"/>
              <w:bidi w:val="0"/>
              <w:adjustRightInd/>
              <w:snapToGrid/>
              <w:spacing w:line="500" w:lineRule="exact"/>
              <w:textAlignment w:val="auto"/>
              <w:rPr>
                <w:rFonts w:hint="eastAsia" w:asciiTheme="minorEastAsia" w:hAnsiTheme="minorEastAsia" w:eastAsiaTheme="minorEastAsia" w:cstheme="minorEastAsia"/>
                <w:b/>
                <w:bCs/>
                <w:color w:val="auto"/>
                <w:sz w:val="21"/>
                <w:szCs w:val="21"/>
              </w:rPr>
            </w:pPr>
          </w:p>
        </w:tc>
      </w:tr>
      <w:tr w14:paraId="1E4F58D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2631" w:type="dxa"/>
            <w:tcBorders>
              <w:top w:val="single" w:color="auto" w:sz="2" w:space="0"/>
              <w:left w:val="single" w:color="auto" w:sz="2" w:space="0"/>
              <w:bottom w:val="single" w:color="auto" w:sz="2" w:space="0"/>
              <w:right w:val="single" w:color="auto" w:sz="2" w:space="0"/>
            </w:tcBorders>
            <w:vAlign w:val="center"/>
          </w:tcPr>
          <w:p w14:paraId="0F6C75E9">
            <w:pPr>
              <w:keepNext w:val="0"/>
              <w:keepLines w:val="0"/>
              <w:pageBreakBefore w:val="0"/>
              <w:kinsoku/>
              <w:wordWrap/>
              <w:overflowPunct/>
              <w:topLinePunct w:val="0"/>
              <w:bidi w:val="0"/>
              <w:adjustRightInd/>
              <w:snapToGrid/>
              <w:spacing w:line="500" w:lineRule="exact"/>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是否允许递交</w:t>
            </w:r>
          </w:p>
          <w:p w14:paraId="0D9C7A23">
            <w:pPr>
              <w:keepNext w:val="0"/>
              <w:keepLines w:val="0"/>
              <w:pageBreakBefore w:val="0"/>
              <w:kinsoku/>
              <w:wordWrap/>
              <w:overflowPunct/>
              <w:topLinePunct w:val="0"/>
              <w:bidi w:val="0"/>
              <w:adjustRightInd/>
              <w:snapToGrid/>
              <w:spacing w:line="500" w:lineRule="exact"/>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备选投标方案</w:t>
            </w:r>
          </w:p>
        </w:tc>
        <w:tc>
          <w:tcPr>
            <w:tcW w:w="7447" w:type="dxa"/>
            <w:tcBorders>
              <w:top w:val="single" w:color="auto" w:sz="2" w:space="0"/>
              <w:left w:val="single" w:color="auto" w:sz="2" w:space="0"/>
              <w:bottom w:val="single" w:color="auto" w:sz="2" w:space="0"/>
              <w:right w:val="single" w:color="auto" w:sz="2" w:space="0"/>
            </w:tcBorders>
            <w:vAlign w:val="center"/>
          </w:tcPr>
          <w:p w14:paraId="0A36BBCA">
            <w:pPr>
              <w:keepNext w:val="0"/>
              <w:keepLines w:val="0"/>
              <w:pageBreakBefore w:val="0"/>
              <w:kinsoku/>
              <w:wordWrap/>
              <w:overflowPunct/>
              <w:topLinePunct w:val="0"/>
              <w:bidi w:val="0"/>
              <w:adjustRightInd/>
              <w:snapToGrid/>
              <w:spacing w:line="500" w:lineRule="exact"/>
              <w:ind w:firstLine="34"/>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不允许</w:t>
            </w:r>
          </w:p>
        </w:tc>
      </w:tr>
      <w:tr w14:paraId="2EC6B1E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2" w:hRule="atLeast"/>
        </w:trPr>
        <w:tc>
          <w:tcPr>
            <w:tcW w:w="2631" w:type="dxa"/>
            <w:tcBorders>
              <w:top w:val="single" w:color="auto" w:sz="2" w:space="0"/>
              <w:left w:val="single" w:color="auto" w:sz="2" w:space="0"/>
              <w:bottom w:val="single" w:color="auto" w:sz="2" w:space="0"/>
              <w:right w:val="single" w:color="auto" w:sz="2" w:space="0"/>
            </w:tcBorders>
            <w:vAlign w:val="center"/>
          </w:tcPr>
          <w:p w14:paraId="3F6CB9AA">
            <w:pPr>
              <w:keepNext w:val="0"/>
              <w:keepLines w:val="0"/>
              <w:pageBreakBefore w:val="0"/>
              <w:kinsoku/>
              <w:wordWrap/>
              <w:overflowPunct/>
              <w:topLinePunct w:val="0"/>
              <w:autoSpaceDE w:val="0"/>
              <w:autoSpaceDN w:val="0"/>
              <w:bidi w:val="0"/>
              <w:adjustRightInd/>
              <w:snapToGrid/>
              <w:spacing w:line="500" w:lineRule="exact"/>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投标文件</w:t>
            </w:r>
          </w:p>
          <w:p w14:paraId="15554FEF">
            <w:pPr>
              <w:keepNext w:val="0"/>
              <w:keepLines w:val="0"/>
              <w:pageBreakBefore w:val="0"/>
              <w:kinsoku/>
              <w:wordWrap/>
              <w:overflowPunct/>
              <w:topLinePunct w:val="0"/>
              <w:autoSpaceDE w:val="0"/>
              <w:autoSpaceDN w:val="0"/>
              <w:bidi w:val="0"/>
              <w:adjustRightInd/>
              <w:snapToGrid/>
              <w:spacing w:line="500" w:lineRule="exact"/>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份数</w:t>
            </w:r>
          </w:p>
          <w:p w14:paraId="6C4A1A8F">
            <w:pPr>
              <w:keepNext w:val="0"/>
              <w:keepLines w:val="0"/>
              <w:pageBreakBefore w:val="0"/>
              <w:widowControl/>
              <w:suppressLineNumbers w:val="0"/>
              <w:kinsoku/>
              <w:wordWrap/>
              <w:overflowPunct/>
              <w:topLinePunct w:val="0"/>
              <w:bidi w:val="0"/>
              <w:adjustRightInd/>
              <w:snapToGrid/>
              <w:spacing w:line="500" w:lineRule="exact"/>
              <w:ind w:firstLine="420" w:firstLineChars="200"/>
              <w:jc w:val="center"/>
              <w:textAlignment w:val="auto"/>
              <w:rPr>
                <w:rFonts w:hint="eastAsia" w:asciiTheme="minorEastAsia" w:hAnsiTheme="minorEastAsia" w:eastAsiaTheme="minorEastAsia" w:cstheme="minorEastAsia"/>
                <w:color w:val="auto"/>
                <w:kern w:val="0"/>
                <w:sz w:val="21"/>
                <w:szCs w:val="21"/>
                <w:lang w:val="en-US" w:eastAsia="zh-CN" w:bidi="ar"/>
              </w:rPr>
            </w:pPr>
          </w:p>
        </w:tc>
        <w:tc>
          <w:tcPr>
            <w:tcW w:w="7447" w:type="dxa"/>
            <w:tcBorders>
              <w:top w:val="single" w:color="auto" w:sz="2" w:space="0"/>
              <w:left w:val="single" w:color="auto" w:sz="2" w:space="0"/>
              <w:bottom w:val="single" w:color="auto" w:sz="2" w:space="0"/>
              <w:right w:val="single" w:color="auto" w:sz="2" w:space="0"/>
            </w:tcBorders>
            <w:vAlign w:val="center"/>
          </w:tcPr>
          <w:p w14:paraId="2D60A72E">
            <w:pPr>
              <w:pStyle w:val="7"/>
              <w:keepNext w:val="0"/>
              <w:keepLines w:val="0"/>
              <w:pageBreakBefore w:val="0"/>
              <w:tabs>
                <w:tab w:val="left" w:pos="525"/>
              </w:tabs>
              <w:kinsoku/>
              <w:wordWrap/>
              <w:overflowPunct/>
              <w:topLinePunct w:val="0"/>
              <w:bidi w:val="0"/>
              <w:adjustRightInd/>
              <w:snapToGrid/>
              <w:spacing w:line="500" w:lineRule="exact"/>
              <w:ind w:left="0" w:leftChars="0" w:right="34" w:rightChars="16" w:firstLine="0" w:firstLineChars="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纸质一式五份：正本一份，副本四份，副本可以是正本的复印件；U盘电子版不加密投标文件一份；开标一览表一份；投标人在开标一览表中的报价、商务标中的报价必须一致，否则做无效投标处理。</w:t>
            </w:r>
          </w:p>
        </w:tc>
      </w:tr>
      <w:tr w14:paraId="5D6FC88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2631" w:type="dxa"/>
            <w:tcBorders>
              <w:top w:val="single" w:color="auto" w:sz="2" w:space="0"/>
              <w:left w:val="single" w:color="auto" w:sz="2" w:space="0"/>
              <w:bottom w:val="single" w:color="auto" w:sz="2" w:space="0"/>
              <w:right w:val="single" w:color="auto" w:sz="2" w:space="0"/>
            </w:tcBorders>
            <w:vAlign w:val="center"/>
          </w:tcPr>
          <w:p w14:paraId="63DF8F17">
            <w:pPr>
              <w:keepNext w:val="0"/>
              <w:keepLines w:val="0"/>
              <w:pageBreakBefore w:val="0"/>
              <w:kinsoku/>
              <w:wordWrap/>
              <w:overflowPunct/>
              <w:topLinePunct w:val="0"/>
              <w:autoSpaceDE w:val="0"/>
              <w:autoSpaceDN w:val="0"/>
              <w:bidi w:val="0"/>
              <w:adjustRightInd/>
              <w:snapToGrid/>
              <w:spacing w:line="500" w:lineRule="exact"/>
              <w:jc w:val="center"/>
              <w:textAlignment w:val="auto"/>
              <w:rPr>
                <w:rFonts w:hint="eastAsia" w:asciiTheme="minorEastAsia" w:hAnsiTheme="minorEastAsia" w:eastAsiaTheme="minorEastAsia" w:cstheme="minorEastAsia"/>
                <w:color w:val="auto"/>
                <w:sz w:val="21"/>
                <w:szCs w:val="21"/>
                <w:lang w:val="en-US" w:eastAsia="zh-CN"/>
              </w:rPr>
            </w:pPr>
            <w:bookmarkStart w:id="10" w:name="_Toc293340906"/>
            <w:bookmarkEnd w:id="10"/>
            <w:bookmarkStart w:id="11" w:name="_Toc291177538"/>
            <w:bookmarkEnd w:id="11"/>
            <w:bookmarkStart w:id="12" w:name="_Toc291177824"/>
            <w:bookmarkEnd w:id="12"/>
            <w:bookmarkStart w:id="13" w:name="_Toc293650191"/>
            <w:bookmarkEnd w:id="13"/>
            <w:bookmarkStart w:id="14" w:name="_Toc293650331"/>
            <w:bookmarkEnd w:id="14"/>
            <w:bookmarkStart w:id="15" w:name="_Toc291177681"/>
            <w:bookmarkEnd w:id="15"/>
            <w:bookmarkStart w:id="16" w:name="_Toc293340766"/>
            <w:bookmarkEnd w:id="16"/>
            <w:r>
              <w:rPr>
                <w:rFonts w:hint="eastAsia" w:asciiTheme="minorEastAsia" w:hAnsiTheme="minorEastAsia" w:eastAsiaTheme="minorEastAsia" w:cstheme="minorEastAsia"/>
                <w:color w:val="auto"/>
                <w:sz w:val="21"/>
                <w:szCs w:val="21"/>
                <w:lang w:val="en-US" w:eastAsia="zh-CN"/>
              </w:rPr>
              <w:t>招标代理费</w:t>
            </w:r>
          </w:p>
          <w:p w14:paraId="04832057">
            <w:pPr>
              <w:keepNext w:val="0"/>
              <w:keepLines w:val="0"/>
              <w:pageBreakBefore w:val="0"/>
              <w:widowControl/>
              <w:suppressLineNumbers w:val="0"/>
              <w:kinsoku/>
              <w:wordWrap/>
              <w:overflowPunct/>
              <w:topLinePunct w:val="0"/>
              <w:bidi w:val="0"/>
              <w:adjustRightInd/>
              <w:snapToGrid/>
              <w:spacing w:line="500" w:lineRule="exact"/>
              <w:ind w:firstLine="420" w:firstLineChars="200"/>
              <w:jc w:val="center"/>
              <w:textAlignment w:val="auto"/>
              <w:rPr>
                <w:rFonts w:hint="eastAsia" w:asciiTheme="minorEastAsia" w:hAnsiTheme="minorEastAsia" w:eastAsiaTheme="minorEastAsia" w:cstheme="minorEastAsia"/>
                <w:color w:val="auto"/>
                <w:kern w:val="0"/>
                <w:sz w:val="21"/>
                <w:szCs w:val="21"/>
                <w:lang w:val="en-US" w:eastAsia="zh-CN" w:bidi="ar"/>
              </w:rPr>
            </w:pPr>
          </w:p>
        </w:tc>
        <w:tc>
          <w:tcPr>
            <w:tcW w:w="7447" w:type="dxa"/>
            <w:tcBorders>
              <w:top w:val="single" w:color="auto" w:sz="2" w:space="0"/>
              <w:left w:val="single" w:color="auto" w:sz="2" w:space="0"/>
              <w:bottom w:val="single" w:color="auto" w:sz="2" w:space="0"/>
              <w:right w:val="single" w:color="auto" w:sz="2" w:space="0"/>
            </w:tcBorders>
            <w:vAlign w:val="center"/>
          </w:tcPr>
          <w:p w14:paraId="0C484080">
            <w:pPr>
              <w:keepNext w:val="0"/>
              <w:keepLines w:val="0"/>
              <w:pageBreakBefore w:val="0"/>
              <w:tabs>
                <w:tab w:val="left" w:pos="1260"/>
              </w:tabs>
              <w:kinsoku/>
              <w:wordWrap/>
              <w:overflowPunct/>
              <w:topLinePunct w:val="0"/>
              <w:bidi w:val="0"/>
              <w:adjustRightInd/>
              <w:snapToGrid/>
              <w:spacing w:line="500" w:lineRule="exac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根据国家发展与改革委员会办公厅发改办价格[2003]857号文的规定，经与招标人协商，本项目采购代理服务费按计价格【2002】1980号文及发改价格【2011】534号文收费标准计取，由中标单位领取成交通知书时一次性支付。</w:t>
            </w:r>
          </w:p>
        </w:tc>
      </w:tr>
      <w:tr w14:paraId="53884AB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8" w:hRule="atLeast"/>
        </w:trPr>
        <w:tc>
          <w:tcPr>
            <w:tcW w:w="2631" w:type="dxa"/>
            <w:tcBorders>
              <w:top w:val="single" w:color="auto" w:sz="2" w:space="0"/>
              <w:left w:val="single" w:color="auto" w:sz="2" w:space="0"/>
              <w:bottom w:val="single" w:color="auto" w:sz="2" w:space="0"/>
              <w:right w:val="single" w:color="auto" w:sz="2" w:space="0"/>
            </w:tcBorders>
            <w:vAlign w:val="center"/>
          </w:tcPr>
          <w:p w14:paraId="58292A23">
            <w:pPr>
              <w:keepNext w:val="0"/>
              <w:keepLines w:val="0"/>
              <w:pageBreakBefore w:val="0"/>
              <w:kinsoku/>
              <w:wordWrap/>
              <w:overflowPunct/>
              <w:topLinePunct w:val="0"/>
              <w:autoSpaceDE w:val="0"/>
              <w:autoSpaceDN w:val="0"/>
              <w:bidi w:val="0"/>
              <w:adjustRightInd/>
              <w:snapToGrid/>
              <w:spacing w:line="500" w:lineRule="exact"/>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评标委员会的组建</w:t>
            </w:r>
          </w:p>
        </w:tc>
        <w:tc>
          <w:tcPr>
            <w:tcW w:w="7447" w:type="dxa"/>
            <w:tcBorders>
              <w:top w:val="single" w:color="auto" w:sz="2" w:space="0"/>
              <w:left w:val="single" w:color="auto" w:sz="2" w:space="0"/>
              <w:bottom w:val="single" w:color="auto" w:sz="2" w:space="0"/>
              <w:right w:val="single" w:color="auto" w:sz="2" w:space="0"/>
            </w:tcBorders>
            <w:vAlign w:val="center"/>
          </w:tcPr>
          <w:p w14:paraId="139CD188">
            <w:pPr>
              <w:keepNext w:val="0"/>
              <w:keepLines w:val="0"/>
              <w:pageBreakBefore w:val="0"/>
              <w:kinsoku/>
              <w:wordWrap/>
              <w:overflowPunct/>
              <w:topLinePunct w:val="0"/>
              <w:autoSpaceDE w:val="0"/>
              <w:autoSpaceDN w:val="0"/>
              <w:bidi w:val="0"/>
              <w:adjustRightInd/>
              <w:snapToGrid/>
              <w:spacing w:line="500" w:lineRule="exac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评标委员会构成：5人，其中招标人代表1人，专家4人；</w:t>
            </w:r>
          </w:p>
          <w:p w14:paraId="138DE608">
            <w:pPr>
              <w:keepNext w:val="0"/>
              <w:keepLines w:val="0"/>
              <w:pageBreakBefore w:val="0"/>
              <w:kinsoku/>
              <w:wordWrap/>
              <w:overflowPunct/>
              <w:topLinePunct w:val="0"/>
              <w:autoSpaceDE w:val="0"/>
              <w:autoSpaceDN w:val="0"/>
              <w:bidi w:val="0"/>
              <w:adjustRightInd/>
              <w:snapToGrid/>
              <w:spacing w:line="500" w:lineRule="exac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评标专家确定方式：除招标人代表外，其它专家从省或市县级综合评标专家库相应专业中随机抽取产生。</w:t>
            </w:r>
          </w:p>
        </w:tc>
      </w:tr>
      <w:tr w14:paraId="2BD65F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82" w:hRule="atLeast"/>
        </w:trPr>
        <w:tc>
          <w:tcPr>
            <w:tcW w:w="2631" w:type="dxa"/>
            <w:tcBorders>
              <w:top w:val="single" w:color="auto" w:sz="2" w:space="0"/>
              <w:left w:val="single" w:color="auto" w:sz="2" w:space="0"/>
              <w:bottom w:val="single" w:color="auto" w:sz="2" w:space="0"/>
              <w:right w:val="single" w:color="auto" w:sz="2" w:space="0"/>
            </w:tcBorders>
            <w:vAlign w:val="center"/>
          </w:tcPr>
          <w:p w14:paraId="1B97ED45">
            <w:pPr>
              <w:keepNext w:val="0"/>
              <w:keepLines w:val="0"/>
              <w:pageBreakBefore w:val="0"/>
              <w:kinsoku/>
              <w:wordWrap/>
              <w:overflowPunct/>
              <w:topLinePunct w:val="0"/>
              <w:autoSpaceDE w:val="0"/>
              <w:autoSpaceDN w:val="0"/>
              <w:bidi w:val="0"/>
              <w:adjustRightInd/>
              <w:snapToGrid/>
              <w:spacing w:line="500" w:lineRule="exact"/>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评标办法</w:t>
            </w:r>
          </w:p>
        </w:tc>
        <w:tc>
          <w:tcPr>
            <w:tcW w:w="7447" w:type="dxa"/>
            <w:tcBorders>
              <w:top w:val="single" w:color="auto" w:sz="2" w:space="0"/>
              <w:left w:val="single" w:color="auto" w:sz="2" w:space="0"/>
              <w:bottom w:val="single" w:color="auto" w:sz="2" w:space="0"/>
              <w:right w:val="single" w:color="auto" w:sz="2" w:space="0"/>
            </w:tcBorders>
            <w:vAlign w:val="center"/>
          </w:tcPr>
          <w:p w14:paraId="42BDA8B2">
            <w:pPr>
              <w:keepNext w:val="0"/>
              <w:keepLines w:val="0"/>
              <w:pageBreakBefore w:val="0"/>
              <w:widowControl/>
              <w:suppressLineNumbers w:val="0"/>
              <w:kinsoku/>
              <w:wordWrap/>
              <w:overflowPunct/>
              <w:topLinePunct w:val="0"/>
              <w:bidi w:val="0"/>
              <w:adjustRightInd/>
              <w:snapToGrid/>
              <w:spacing w:line="500" w:lineRule="exact"/>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 xml:space="preserve">综合评分法 </w:t>
            </w:r>
          </w:p>
        </w:tc>
      </w:tr>
      <w:tr w14:paraId="759EB7F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52" w:hRule="atLeast"/>
        </w:trPr>
        <w:tc>
          <w:tcPr>
            <w:tcW w:w="2631" w:type="dxa"/>
            <w:tcBorders>
              <w:top w:val="single" w:color="auto" w:sz="2" w:space="0"/>
              <w:left w:val="single" w:color="auto" w:sz="2" w:space="0"/>
              <w:bottom w:val="single" w:color="auto" w:sz="2" w:space="0"/>
              <w:right w:val="single" w:color="auto" w:sz="2" w:space="0"/>
            </w:tcBorders>
            <w:vAlign w:val="center"/>
          </w:tcPr>
          <w:p w14:paraId="4C5B8771">
            <w:pPr>
              <w:keepNext w:val="0"/>
              <w:keepLines w:val="0"/>
              <w:pageBreakBefore w:val="0"/>
              <w:kinsoku/>
              <w:wordWrap/>
              <w:overflowPunct/>
              <w:topLinePunct w:val="0"/>
              <w:autoSpaceDE w:val="0"/>
              <w:autoSpaceDN w:val="0"/>
              <w:bidi w:val="0"/>
              <w:adjustRightInd/>
              <w:snapToGrid/>
              <w:spacing w:line="500" w:lineRule="exact"/>
              <w:jc w:val="center"/>
              <w:textAlignment w:val="auto"/>
              <w:rPr>
                <w:rFonts w:hint="eastAsia"/>
                <w:color w:val="auto"/>
              </w:rPr>
            </w:pPr>
            <w:r>
              <w:rPr>
                <w:rFonts w:hint="eastAsia"/>
                <w:color w:val="auto"/>
                <w:lang w:val="en-US" w:eastAsia="zh-CN"/>
              </w:rPr>
              <w:t>评标结果公示</w:t>
            </w:r>
          </w:p>
          <w:p w14:paraId="7FA81A9C">
            <w:pPr>
              <w:keepNext w:val="0"/>
              <w:keepLines w:val="0"/>
              <w:pageBreakBefore w:val="0"/>
              <w:kinsoku/>
              <w:wordWrap/>
              <w:overflowPunct/>
              <w:topLinePunct w:val="0"/>
              <w:autoSpaceDE w:val="0"/>
              <w:autoSpaceDN w:val="0"/>
              <w:bidi w:val="0"/>
              <w:adjustRightInd/>
              <w:snapToGrid/>
              <w:spacing w:line="500" w:lineRule="exact"/>
              <w:jc w:val="center"/>
              <w:textAlignment w:val="auto"/>
              <w:rPr>
                <w:rFonts w:hint="eastAsia"/>
                <w:color w:val="auto"/>
              </w:rPr>
            </w:pPr>
            <w:r>
              <w:rPr>
                <w:rFonts w:hint="eastAsia"/>
                <w:color w:val="auto"/>
                <w:lang w:val="en-US" w:eastAsia="zh-CN"/>
              </w:rPr>
              <w:t>媒介</w:t>
            </w:r>
          </w:p>
        </w:tc>
        <w:tc>
          <w:tcPr>
            <w:tcW w:w="7447" w:type="dxa"/>
            <w:tcBorders>
              <w:top w:val="single" w:color="auto" w:sz="2" w:space="0"/>
              <w:left w:val="single" w:color="auto" w:sz="2" w:space="0"/>
              <w:bottom w:val="single" w:color="auto" w:sz="2" w:space="0"/>
              <w:right w:val="single" w:color="auto" w:sz="2" w:space="0"/>
            </w:tcBorders>
            <w:vAlign w:val="center"/>
          </w:tcPr>
          <w:p w14:paraId="25AB29CF">
            <w:pPr>
              <w:keepNext w:val="0"/>
              <w:keepLines w:val="0"/>
              <w:pageBreakBefore w:val="0"/>
              <w:tabs>
                <w:tab w:val="left" w:pos="1260"/>
              </w:tabs>
              <w:kinsoku/>
              <w:wordWrap/>
              <w:overflowPunct/>
              <w:topLinePunct w:val="0"/>
              <w:bidi w:val="0"/>
              <w:adjustRightInd/>
              <w:snapToGrid/>
              <w:spacing w:line="500" w:lineRule="exac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 xml:space="preserve">云上大冶-聚焦三农板块（http://dayeyun.cjyun.org/z/133229/）。 </w:t>
            </w:r>
          </w:p>
        </w:tc>
      </w:tr>
    </w:tbl>
    <w:p w14:paraId="6C6DB4C3">
      <w:pPr>
        <w:pStyle w:val="23"/>
        <w:ind w:left="0" w:leftChars="0" w:firstLine="0" w:firstLineChars="0"/>
        <w:rPr>
          <w:rFonts w:hint="eastAsia" w:asciiTheme="minorEastAsia" w:hAnsiTheme="minorEastAsia" w:eastAsiaTheme="minorEastAsia" w:cstheme="minorEastAsia"/>
          <w:color w:val="auto"/>
        </w:rPr>
      </w:pPr>
    </w:p>
    <w:p w14:paraId="6281724E">
      <w:pPr>
        <w:pStyle w:val="3"/>
        <w:bidi w:val="0"/>
        <w:rPr>
          <w:rFonts w:hint="eastAsia"/>
          <w:color w:val="auto"/>
        </w:rPr>
      </w:pPr>
      <w:r>
        <w:rPr>
          <w:rFonts w:hint="eastAsia"/>
          <w:color w:val="auto"/>
        </w:rPr>
        <w:t>二、投标人须知</w:t>
      </w:r>
    </w:p>
    <w:p w14:paraId="741F1A9E">
      <w:pPr>
        <w:pStyle w:val="4"/>
        <w:bidi w:val="0"/>
        <w:jc w:val="center"/>
        <w:rPr>
          <w:rFonts w:hint="eastAsia"/>
          <w:color w:val="auto"/>
        </w:rPr>
      </w:pPr>
      <w:r>
        <w:rPr>
          <w:rFonts w:hint="eastAsia"/>
          <w:color w:val="auto"/>
        </w:rPr>
        <w:t>（一）总    则</w:t>
      </w:r>
    </w:p>
    <w:p w14:paraId="62F4AE64">
      <w:pPr>
        <w:keepNext w:val="0"/>
        <w:keepLines w:val="0"/>
        <w:pageBreakBefore w:val="0"/>
        <w:widowControl w:val="0"/>
        <w:kinsoku/>
        <w:wordWrap/>
        <w:overflowPunct/>
        <w:topLinePunct w:val="0"/>
        <w:autoSpaceDE/>
        <w:autoSpaceDN/>
        <w:bidi w:val="0"/>
        <w:adjustRightInd/>
        <w:snapToGrid/>
        <w:spacing w:line="430" w:lineRule="exact"/>
        <w:ind w:firstLine="422" w:firstLineChars="200"/>
        <w:jc w:val="both"/>
        <w:textAlignment w:val="auto"/>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 xml:space="preserve">1、 适用范围 </w:t>
      </w:r>
    </w:p>
    <w:p w14:paraId="434AB4D7">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1.1 本招标文件是根据《中华人民共和国政府采购法》、《中华人民共和国政府采购法实施条例》、《政府采购货物和服务招标投标管理办法》等相关法律法规、部门规章制订。 </w:t>
      </w:r>
    </w:p>
    <w:p w14:paraId="7946E5E0">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1.2 本招标文件仅适用于本次公开招标所叙述的采购项目。投标人应当按照招标文件的要求编制投标文件。投标人编制投标文件时，不得向招标人提出任何招标文件要求（规定的条件）之外的附加条件，并对其提交的投标文件的真实性、合法性承担法律责任。 </w:t>
      </w:r>
    </w:p>
    <w:p w14:paraId="53FCB47A">
      <w:pPr>
        <w:keepNext w:val="0"/>
        <w:keepLines w:val="0"/>
        <w:pageBreakBefore w:val="0"/>
        <w:widowControl w:val="0"/>
        <w:kinsoku/>
        <w:wordWrap/>
        <w:overflowPunct/>
        <w:topLinePunct w:val="0"/>
        <w:autoSpaceDE/>
        <w:autoSpaceDN/>
        <w:bidi w:val="0"/>
        <w:adjustRightInd/>
        <w:snapToGrid/>
        <w:spacing w:line="430" w:lineRule="exact"/>
        <w:ind w:firstLine="422" w:firstLineChars="200"/>
        <w:textAlignment w:val="auto"/>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 xml:space="preserve">2、 定义    </w:t>
      </w:r>
    </w:p>
    <w:p w14:paraId="1EDB9C3D">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2.1 招标代理机构：是指接受招标人委托，代理政府采购项目的集中采购机构、社会中介招标代理机构的总称。具体项目的招标代理机构，在投标人须知前附表中规定。 </w:t>
      </w:r>
    </w:p>
    <w:p w14:paraId="6FA6DD08">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2.2 招标人</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是指依法进行采购的国家机关、事业单位、团体组织。即本次采购项目的业主方。</w:t>
      </w:r>
    </w:p>
    <w:p w14:paraId="37B997C6">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2.3 投标人：是指向招标人提供货物、工程或者服务的法人、其他组织或者自然人。即对“投标人须知前附表”所指称项目表现出兴趣，并有可能实际参与该项目竞争的法人、其他组织或者自然人。 </w:t>
      </w:r>
    </w:p>
    <w:p w14:paraId="54AEBE03">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2.4 评标委员会：是指依据《中华人民共和国政府采购法》、《中华人民共和国政府采购法实施条例》、《政府采购货物和服务招标投标管理办法》等有关规定组建，依法依规履行其职责和义务的机构。</w:t>
      </w:r>
    </w:p>
    <w:p w14:paraId="0FD0B628">
      <w:pPr>
        <w:keepNext w:val="0"/>
        <w:keepLines w:val="0"/>
        <w:pageBreakBefore w:val="0"/>
        <w:widowControl w:val="0"/>
        <w:kinsoku/>
        <w:wordWrap/>
        <w:overflowPunct/>
        <w:topLinePunct w:val="0"/>
        <w:autoSpaceDE/>
        <w:autoSpaceDN/>
        <w:bidi w:val="0"/>
        <w:adjustRightInd/>
        <w:snapToGrid/>
        <w:spacing w:line="430" w:lineRule="exact"/>
        <w:ind w:firstLine="422" w:firstLineChars="200"/>
        <w:textAlignment w:val="auto"/>
        <w:rPr>
          <w:rFonts w:hint="eastAsia" w:asciiTheme="minorEastAsia" w:hAnsiTheme="minorEastAsia" w:eastAsiaTheme="minorEastAsia" w:cstheme="minorEastAsia"/>
          <w:b/>
          <w:bCs/>
          <w:color w:val="auto"/>
          <w:sz w:val="21"/>
          <w:szCs w:val="21"/>
          <w:lang w:eastAsia="zh-CN"/>
        </w:rPr>
      </w:pPr>
      <w:r>
        <w:rPr>
          <w:rFonts w:hint="eastAsia" w:asciiTheme="minorEastAsia" w:hAnsiTheme="minorEastAsia" w:eastAsiaTheme="minorEastAsia" w:cstheme="minorEastAsia"/>
          <w:b/>
          <w:bCs/>
          <w:color w:val="auto"/>
          <w:sz w:val="21"/>
          <w:szCs w:val="21"/>
        </w:rPr>
        <w:t>3、 合格的</w:t>
      </w:r>
      <w:r>
        <w:rPr>
          <w:rFonts w:hint="eastAsia" w:asciiTheme="minorEastAsia" w:hAnsiTheme="minorEastAsia" w:eastAsiaTheme="minorEastAsia" w:cstheme="minorEastAsia"/>
          <w:b/>
          <w:bCs/>
          <w:color w:val="auto"/>
          <w:sz w:val="21"/>
          <w:szCs w:val="21"/>
          <w:lang w:eastAsia="zh-CN"/>
        </w:rPr>
        <w:t>投标人</w:t>
      </w:r>
    </w:p>
    <w:p w14:paraId="07587291">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3.1 </w:t>
      </w:r>
      <w:r>
        <w:rPr>
          <w:rFonts w:hint="eastAsia" w:asciiTheme="minorEastAsia" w:hAnsiTheme="minorEastAsia" w:eastAsiaTheme="minorEastAsia" w:cstheme="minorEastAsia"/>
          <w:color w:val="auto"/>
          <w:sz w:val="21"/>
          <w:szCs w:val="21"/>
        </w:rPr>
        <w:t>详见第一章《招标公告》</w:t>
      </w:r>
    </w:p>
    <w:p w14:paraId="1A955D7F">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3.2 由于采购项目的差异性，投标人在参与具体政府采购项目活动时，还要仔细阅读该项目（或包）的资质及相关要求。 </w:t>
      </w:r>
    </w:p>
    <w:p w14:paraId="5317938D">
      <w:pPr>
        <w:keepNext w:val="0"/>
        <w:keepLines w:val="0"/>
        <w:pageBreakBefore w:val="0"/>
        <w:widowControl w:val="0"/>
        <w:kinsoku/>
        <w:wordWrap/>
        <w:overflowPunct/>
        <w:topLinePunct w:val="0"/>
        <w:autoSpaceDE/>
        <w:autoSpaceDN/>
        <w:bidi w:val="0"/>
        <w:adjustRightInd/>
        <w:snapToGrid/>
        <w:spacing w:line="430" w:lineRule="exact"/>
        <w:ind w:firstLine="422" w:firstLineChars="200"/>
        <w:textAlignment w:val="auto"/>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 xml:space="preserve">3.3 投标人存在下列情形之一的，不得参加本项目采购活动，否则所有报价均无效： </w:t>
      </w:r>
    </w:p>
    <w:p w14:paraId="22D87BE4">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（l）单位负责人为同一人或者存在控股、管理关系的不同投标人，不得参加同一合同项下（同一标段或者未划分标段的同一采购项目）的采购活动；</w:t>
      </w:r>
    </w:p>
    <w:p w14:paraId="068023C4">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（2）除单一来源项目外，为采购项目提供整体设计，规范编制或者项目管理、监理、检测等服务的投标人及其任何附属机构（单位），不得再参加该采购项目的其它采购活动，否则按照报价无效处理； </w:t>
      </w:r>
    </w:p>
    <w:p w14:paraId="0AD26185">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（3）投标人被列入信用中国或中国政府采购网正在公示的“政府采购严重违法失信行为记录名单”的（以本项目开标当天正在公示的名单为准），不得参加本项目采购活动；  </w:t>
      </w:r>
    </w:p>
    <w:p w14:paraId="75902AF5">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（4）投标人在参加政府采购活动前 3 年内因违法经营被禁止在一定期限内参加政府采购活动，到本项目开标当天仍在禁止期限内的，不得参加本项目采购活动。期限届满的，可以参加政府采购活动。</w:t>
      </w:r>
    </w:p>
    <w:p w14:paraId="485B7560">
      <w:pPr>
        <w:keepNext w:val="0"/>
        <w:keepLines w:val="0"/>
        <w:pageBreakBefore w:val="0"/>
        <w:widowControl w:val="0"/>
        <w:kinsoku/>
        <w:wordWrap/>
        <w:overflowPunct/>
        <w:topLinePunct w:val="0"/>
        <w:autoSpaceDE/>
        <w:autoSpaceDN/>
        <w:bidi w:val="0"/>
        <w:adjustRightInd/>
        <w:snapToGrid/>
        <w:spacing w:line="430" w:lineRule="exact"/>
        <w:ind w:firstLine="422" w:firstLineChars="200"/>
        <w:textAlignment w:val="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4、投标人参与招标活动的费用以及风险；</w:t>
      </w:r>
    </w:p>
    <w:p w14:paraId="0EEC8056">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4.1 投标人必须自行承担所有与参加采购活动的有关费用。不论结果如何，招标人和招标代理机构在任何情况下均无义务和责任承担这些费用。 </w:t>
      </w:r>
    </w:p>
    <w:p w14:paraId="422446EB">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4.2根据国家发展与改革委员会办公厅发改办价格[2003]857号文的规定，经与</w:t>
      </w:r>
      <w:r>
        <w:rPr>
          <w:rFonts w:hint="eastAsia" w:asciiTheme="minorEastAsia" w:hAnsiTheme="minorEastAsia" w:eastAsiaTheme="minorEastAsia" w:cstheme="minorEastAsia"/>
          <w:color w:val="auto"/>
          <w:sz w:val="21"/>
          <w:szCs w:val="21"/>
          <w:lang w:val="en-US" w:eastAsia="zh-CN"/>
        </w:rPr>
        <w:t>招标人</w:t>
      </w:r>
      <w:r>
        <w:rPr>
          <w:rFonts w:hint="eastAsia" w:asciiTheme="minorEastAsia" w:hAnsiTheme="minorEastAsia" w:eastAsiaTheme="minorEastAsia" w:cstheme="minorEastAsia"/>
          <w:color w:val="auto"/>
          <w:sz w:val="21"/>
          <w:szCs w:val="21"/>
        </w:rPr>
        <w:t>人协商，本项目采购代理</w:t>
      </w:r>
      <w:r>
        <w:rPr>
          <w:rFonts w:hint="eastAsia" w:asciiTheme="minorEastAsia" w:hAnsiTheme="minorEastAsia" w:eastAsiaTheme="minorEastAsia" w:cstheme="minorEastAsia"/>
          <w:color w:val="auto"/>
          <w:sz w:val="21"/>
          <w:szCs w:val="21"/>
          <w:lang w:val="en-US" w:eastAsia="zh-CN"/>
        </w:rPr>
        <w:t>服务</w:t>
      </w:r>
      <w:r>
        <w:rPr>
          <w:rFonts w:hint="eastAsia" w:asciiTheme="minorEastAsia" w:hAnsiTheme="minorEastAsia" w:eastAsiaTheme="minorEastAsia" w:cstheme="minorEastAsia"/>
          <w:color w:val="auto"/>
          <w:sz w:val="21"/>
          <w:szCs w:val="21"/>
        </w:rPr>
        <w:t>费按计价格【2002】1980号文及发改价格【2011】534号文收费标准计取，</w:t>
      </w:r>
      <w:r>
        <w:rPr>
          <w:rFonts w:hint="eastAsia" w:asciiTheme="minorEastAsia" w:hAnsiTheme="minorEastAsia" w:eastAsiaTheme="minorEastAsia" w:cstheme="minorEastAsia"/>
          <w:color w:val="auto"/>
          <w:sz w:val="21"/>
          <w:szCs w:val="21"/>
          <w:lang w:val="en-US" w:eastAsia="zh-CN"/>
        </w:rPr>
        <w:t>由中标单位领取成交通知书时一次性支付。</w:t>
      </w:r>
    </w:p>
    <w:p w14:paraId="04242073">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4.3</w:t>
      </w:r>
      <w:r>
        <w:rPr>
          <w:rFonts w:hint="eastAsia" w:asciiTheme="minorEastAsia" w:hAnsiTheme="minorEastAsia" w:eastAsiaTheme="minorEastAsia" w:cstheme="minorEastAsia"/>
          <w:color w:val="auto"/>
          <w:sz w:val="21"/>
          <w:szCs w:val="21"/>
        </w:rPr>
        <w:t xml:space="preserve">投标人应认真阅读招标文件中所有的事项、格式、条款和规范等要求。如果没有按照招标文件要求提交全部资料，或没有对招标文件做出实质性响应，其风险应由投标人自行承担。 </w:t>
      </w:r>
    </w:p>
    <w:p w14:paraId="5FF2181A">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w:t>
      </w:r>
      <w:r>
        <w:rPr>
          <w:rFonts w:hint="eastAsia" w:asciiTheme="minorEastAsia" w:hAnsiTheme="minorEastAsia" w:eastAsiaTheme="minorEastAsia" w:cstheme="minorEastAsia"/>
          <w:color w:val="auto"/>
          <w:sz w:val="21"/>
          <w:szCs w:val="21"/>
          <w:lang w:val="en-US" w:eastAsia="zh-CN"/>
        </w:rPr>
        <w:t>4</w:t>
      </w:r>
      <w:r>
        <w:rPr>
          <w:rFonts w:hint="eastAsia" w:asciiTheme="minorEastAsia" w:hAnsiTheme="minorEastAsia" w:eastAsiaTheme="minorEastAsia" w:cstheme="minorEastAsia"/>
          <w:color w:val="auto"/>
          <w:sz w:val="21"/>
          <w:szCs w:val="21"/>
        </w:rPr>
        <w:t xml:space="preserve">投标人所提供的所有资料（包括扫描件、复印件、影印打印件等）必须清晰，如因提供的资料难以辨认，其风险由投标人自行承担。 </w:t>
      </w:r>
    </w:p>
    <w:p w14:paraId="3E81FE14">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w:t>
      </w:r>
      <w:r>
        <w:rPr>
          <w:rFonts w:hint="eastAsia" w:asciiTheme="minorEastAsia" w:hAnsiTheme="minorEastAsia" w:eastAsiaTheme="minorEastAsia" w:cstheme="minorEastAsia"/>
          <w:color w:val="auto"/>
          <w:sz w:val="21"/>
          <w:szCs w:val="21"/>
          <w:lang w:val="en-US" w:eastAsia="zh-CN"/>
        </w:rPr>
        <w:t>5</w:t>
      </w:r>
      <w:r>
        <w:rPr>
          <w:rFonts w:hint="eastAsia" w:asciiTheme="minorEastAsia" w:hAnsiTheme="minorEastAsia" w:eastAsiaTheme="minorEastAsia" w:cstheme="minorEastAsia"/>
          <w:color w:val="auto"/>
          <w:sz w:val="21"/>
          <w:szCs w:val="21"/>
        </w:rPr>
        <w:t xml:space="preserve"> 投标人必须保证招标人使用货物、资料、技术、服务或其任何一部分时，享有不受限制的无偿使用权，不会产生因第三方提出侵犯其专利权、商标权或其它知识产权而引起的法律或经济纠纷。如投标人不拥有相应的知识产权，则在报价中必须包括合法获取该知识产权的一切相关费用，若因投标人提供的货物、资料、技术、服务或其任何一部分侵犯第三方的专利权、商标权或其它知识产权而引起的法律或经济纠纷，导致招标人损失，一切赔偿费用由投标人承担。</w:t>
      </w:r>
    </w:p>
    <w:p w14:paraId="6F06C63A">
      <w:pPr>
        <w:pStyle w:val="4"/>
        <w:bidi w:val="0"/>
        <w:rPr>
          <w:rFonts w:hint="eastAsia"/>
          <w:color w:val="auto"/>
        </w:rPr>
      </w:pPr>
      <w:r>
        <w:rPr>
          <w:rFonts w:hint="eastAsia"/>
          <w:color w:val="auto"/>
        </w:rPr>
        <w:t>(二)招标文件</w:t>
      </w:r>
    </w:p>
    <w:p w14:paraId="7682D2A7">
      <w:pPr>
        <w:keepNext w:val="0"/>
        <w:keepLines w:val="0"/>
        <w:pageBreakBefore w:val="0"/>
        <w:widowControl w:val="0"/>
        <w:kinsoku/>
        <w:wordWrap/>
        <w:overflowPunct/>
        <w:topLinePunct w:val="0"/>
        <w:autoSpaceDE/>
        <w:autoSpaceDN/>
        <w:bidi w:val="0"/>
        <w:adjustRightInd/>
        <w:snapToGrid/>
        <w:spacing w:line="430" w:lineRule="exact"/>
        <w:ind w:firstLine="422" w:firstLineChars="200"/>
        <w:textAlignment w:val="auto"/>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 xml:space="preserve">5、招标文件构成 </w:t>
      </w:r>
    </w:p>
    <w:p w14:paraId="1BE0EF04">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color w:val="auto"/>
          <w:sz w:val="21"/>
          <w:szCs w:val="21"/>
        </w:rPr>
        <w:t xml:space="preserve">5.1 招标文件 </w:t>
      </w:r>
    </w:p>
    <w:p w14:paraId="13587F33">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①招标公告 </w:t>
      </w:r>
    </w:p>
    <w:p w14:paraId="775A0C09">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②投标人须知 </w:t>
      </w:r>
    </w:p>
    <w:p w14:paraId="551996D2">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③招标服务要求 </w:t>
      </w:r>
    </w:p>
    <w:p w14:paraId="0F92F27F">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④评标方法、步骤及标准 </w:t>
      </w:r>
    </w:p>
    <w:p w14:paraId="053D65A4">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⑤合同书格式（参考） </w:t>
      </w:r>
    </w:p>
    <w:p w14:paraId="6A240026">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⑥投标文件格式</w:t>
      </w:r>
    </w:p>
    <w:p w14:paraId="49910AC8">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⑦采购过程中由采购代理机构发出的澄清和修正文件</w:t>
      </w:r>
    </w:p>
    <w:p w14:paraId="2570CE89">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5.2</w:t>
      </w:r>
      <w:r>
        <w:rPr>
          <w:rFonts w:hint="eastAsia" w:asciiTheme="minorEastAsia" w:hAnsiTheme="minorEastAsia" w:eastAsiaTheme="minorEastAsia" w:cstheme="minorEastAsia"/>
          <w:color w:val="auto"/>
          <w:sz w:val="21"/>
          <w:szCs w:val="21"/>
        </w:rPr>
        <w:t xml:space="preserve">编制的投标文件应包括但不少于下列内容： </w:t>
      </w:r>
    </w:p>
    <w:p w14:paraId="05B81302">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①投标函 </w:t>
      </w:r>
    </w:p>
    <w:p w14:paraId="27074216">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②法定代表人身份证明书 </w:t>
      </w:r>
    </w:p>
    <w:p w14:paraId="1B4F9F1C">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③法定代表人授权委托书 </w:t>
      </w:r>
    </w:p>
    <w:p w14:paraId="7EAD84DF">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④资格审查证明资料 </w:t>
      </w:r>
    </w:p>
    <w:p w14:paraId="1A8E1E7B">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⑤投标报价一览表 </w:t>
      </w:r>
    </w:p>
    <w:p w14:paraId="640D20FE">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⑥</w:t>
      </w:r>
      <w:r>
        <w:rPr>
          <w:rFonts w:hint="eastAsia" w:asciiTheme="minorEastAsia" w:hAnsiTheme="minorEastAsia" w:eastAsiaTheme="minorEastAsia" w:cstheme="minorEastAsia"/>
          <w:color w:val="auto"/>
          <w:sz w:val="21"/>
          <w:szCs w:val="21"/>
          <w:lang w:eastAsia="zh-CN"/>
        </w:rPr>
        <w:t>商务部分</w:t>
      </w:r>
      <w:r>
        <w:rPr>
          <w:rFonts w:hint="eastAsia" w:asciiTheme="minorEastAsia" w:hAnsiTheme="minorEastAsia" w:eastAsiaTheme="minorEastAsia" w:cstheme="minorEastAsia"/>
          <w:color w:val="auto"/>
          <w:sz w:val="21"/>
          <w:szCs w:val="21"/>
        </w:rPr>
        <w:t xml:space="preserve">证明资料 </w:t>
      </w:r>
    </w:p>
    <w:p w14:paraId="53EFA5E2">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⑦技术部分证明资料</w:t>
      </w:r>
    </w:p>
    <w:p w14:paraId="43016AE1">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⑧其它证明材料</w:t>
      </w:r>
    </w:p>
    <w:p w14:paraId="5F766FFD">
      <w:pPr>
        <w:keepNext w:val="0"/>
        <w:keepLines w:val="0"/>
        <w:pageBreakBefore w:val="0"/>
        <w:widowControl w:val="0"/>
        <w:kinsoku/>
        <w:wordWrap/>
        <w:overflowPunct/>
        <w:topLinePunct w:val="0"/>
        <w:autoSpaceDE/>
        <w:autoSpaceDN/>
        <w:bidi w:val="0"/>
        <w:adjustRightInd/>
        <w:snapToGrid/>
        <w:spacing w:line="430" w:lineRule="exact"/>
        <w:ind w:firstLine="422" w:firstLineChars="200"/>
        <w:textAlignment w:val="auto"/>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 xml:space="preserve">6、招标文件的澄清 </w:t>
      </w:r>
    </w:p>
    <w:p w14:paraId="79DBE2EE">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6.1 投标人可以对招标文件中的有关问题（如含义不明确、同类问题表述不一致或者有明显文字和计算错误、遗漏、歧义等问题）以书面形式进行询问，或是认为招标文件使自己的权益受到损害而需要提出质疑的，可以按照相关法律法规要求招标代理机构进行答疑、澄清答复。 </w:t>
      </w:r>
    </w:p>
    <w:p w14:paraId="0314FFDB">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6.2 投标人对招标文件如有疑问，可以在相关法律法规要求的截止时间之前，按照相关法律法规以书面形式向招标代理机构提交“询问函”或“质疑函”。招标代理机构对在此规定时间以前收到的、且需要做出澄清修改的问题，将以公告的形式做出澄清解释或补充说明，但不说明问题的来源，答复内容不得涉及商业秘密。逾期视同接受，在规定的询问或质疑截止时间后提出的任何针对招标文件的询问或质疑，将不予受理。该更正补充公告是招标文件不可或缺的组成部分，对参与采购活动的有关各方均具有约束力。 </w:t>
      </w:r>
    </w:p>
    <w:p w14:paraId="764E6318">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6.3 投标人应主动上网查询该项目的相关公告。招标人、招标代理机构不承担投标人未及时关注相关信息引发的相关责任。 </w:t>
      </w:r>
    </w:p>
    <w:p w14:paraId="7A72B1CA">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6.4 投标人提出的询问超出招标人对招标代理机构委托授权范围或者回答范围的，招标代理机构应当告知投标人向招标人提出。 </w:t>
      </w:r>
    </w:p>
    <w:p w14:paraId="772F5CF8">
      <w:pPr>
        <w:keepNext w:val="0"/>
        <w:keepLines w:val="0"/>
        <w:pageBreakBefore w:val="0"/>
        <w:widowControl w:val="0"/>
        <w:kinsoku/>
        <w:wordWrap/>
        <w:overflowPunct/>
        <w:topLinePunct w:val="0"/>
        <w:autoSpaceDE/>
        <w:autoSpaceDN/>
        <w:bidi w:val="0"/>
        <w:adjustRightInd/>
        <w:snapToGrid/>
        <w:spacing w:line="430" w:lineRule="exact"/>
        <w:ind w:firstLine="422" w:firstLineChars="200"/>
        <w:textAlignment w:val="auto"/>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 xml:space="preserve">7、招标文件的修改 </w:t>
      </w:r>
    </w:p>
    <w:p w14:paraId="6EBEFADE">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7.1 在本文件规定的提交投标文件截止之日前，招标人、招标代理机构可以对已发出的招标文件进行必要的澄清或者修改，可能影响投标文件编制的，将按照 7.2 的相关程序执行。 </w:t>
      </w:r>
    </w:p>
    <w:p w14:paraId="56E8DD12">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7.2 招标人、招标代理机构将按法定程序对投标人针对招标文件提出的询问或者质疑进行答复。如涉及到对招标文件进行必要的澄清或者修改，可能影响投标文件编制的，招标人或者招标代理机构将在招标文件规定的提交投标文件截止时间至少 15 日前将澄清或者修改内容及通知以更正补充公告的形式发布于指定的网站上，不足 15 日的，顺延投标人提交投标文件截止时间。 </w:t>
      </w:r>
    </w:p>
    <w:p w14:paraId="28C28299">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7.3 为使投标人有充分时间对招标文件的修改部分进行研究或由于其他原因，招标人、招标代理机构可以推迟投标文件提交的截止时间。推迟截止时间的通知将刊发在指定的网站上，不再另行通知。投标人应主动上网查询该项目的相关公告。招标人或招标代理机构不承担投标人未及时关注相关信息引发的相关责任。</w:t>
      </w:r>
    </w:p>
    <w:p w14:paraId="064601A6">
      <w:pPr>
        <w:keepNext w:val="0"/>
        <w:keepLines w:val="0"/>
        <w:pageBreakBefore w:val="0"/>
        <w:widowControl w:val="0"/>
        <w:kinsoku/>
        <w:wordWrap/>
        <w:overflowPunct/>
        <w:topLinePunct w:val="0"/>
        <w:autoSpaceDE/>
        <w:autoSpaceDN/>
        <w:bidi w:val="0"/>
        <w:adjustRightInd/>
        <w:snapToGrid/>
        <w:spacing w:line="430" w:lineRule="exact"/>
        <w:ind w:firstLine="422" w:firstLineChars="200"/>
        <w:textAlignment w:val="auto"/>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7.4 当招标文件的澄清、修改、补充等在同一内容的表述上不一致时，以最后发出的为准。</w:t>
      </w:r>
    </w:p>
    <w:p w14:paraId="321BEC11">
      <w:pPr>
        <w:pStyle w:val="4"/>
        <w:bidi w:val="0"/>
        <w:rPr>
          <w:rFonts w:hint="eastAsia"/>
          <w:color w:val="auto"/>
        </w:rPr>
      </w:pPr>
      <w:r>
        <w:rPr>
          <w:rFonts w:hint="eastAsia"/>
          <w:color w:val="auto"/>
        </w:rPr>
        <w:t>（三）投标文件的编制</w:t>
      </w:r>
    </w:p>
    <w:p w14:paraId="3AF7A0CA">
      <w:pPr>
        <w:keepNext w:val="0"/>
        <w:keepLines w:val="0"/>
        <w:pageBreakBefore w:val="0"/>
        <w:widowControl w:val="0"/>
        <w:kinsoku/>
        <w:wordWrap/>
        <w:overflowPunct/>
        <w:topLinePunct w:val="0"/>
        <w:autoSpaceDE/>
        <w:autoSpaceDN/>
        <w:bidi w:val="0"/>
        <w:adjustRightInd/>
        <w:snapToGrid/>
        <w:spacing w:line="430" w:lineRule="exact"/>
        <w:ind w:firstLine="422" w:firstLineChars="200"/>
        <w:jc w:val="left"/>
        <w:textAlignment w:val="auto"/>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 xml:space="preserve">8、投标文件的语言、度量衡单位及时间 </w:t>
      </w:r>
    </w:p>
    <w:p w14:paraId="3243CBC6">
      <w:pPr>
        <w:keepNext w:val="0"/>
        <w:keepLines w:val="0"/>
        <w:pageBreakBefore w:val="0"/>
        <w:widowControl w:val="0"/>
        <w:kinsoku/>
        <w:wordWrap/>
        <w:overflowPunct/>
        <w:topLinePunct w:val="0"/>
        <w:autoSpaceDE/>
        <w:autoSpaceDN/>
        <w:bidi w:val="0"/>
        <w:adjustRightInd/>
        <w:snapToGrid/>
        <w:spacing w:line="430" w:lineRule="exact"/>
        <w:ind w:firstLine="420" w:firstLineChars="20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8.1 投标人的投标文件、投标人与招标人或招标代理机构就有关招标事项的所有来往函电均须使用简体中文。投标文件应采用书面形式，电报、传真、电子邮件等其他形式的投标文件概不接受。 </w:t>
      </w:r>
    </w:p>
    <w:p w14:paraId="195805BB">
      <w:pPr>
        <w:keepNext w:val="0"/>
        <w:keepLines w:val="0"/>
        <w:pageBreakBefore w:val="0"/>
        <w:widowControl w:val="0"/>
        <w:kinsoku/>
        <w:wordWrap/>
        <w:overflowPunct/>
        <w:topLinePunct w:val="0"/>
        <w:autoSpaceDE/>
        <w:autoSpaceDN/>
        <w:bidi w:val="0"/>
        <w:adjustRightInd/>
        <w:snapToGrid/>
        <w:spacing w:line="430" w:lineRule="exact"/>
        <w:ind w:firstLine="420" w:firstLineChars="20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8.2 除招标文件中另有规定外，投标文件所使用的度量衡均须采用法定计量单位。 </w:t>
      </w:r>
    </w:p>
    <w:p w14:paraId="541FC82F">
      <w:pPr>
        <w:keepNext w:val="0"/>
        <w:keepLines w:val="0"/>
        <w:pageBreakBefore w:val="0"/>
        <w:widowControl w:val="0"/>
        <w:kinsoku/>
        <w:wordWrap/>
        <w:overflowPunct/>
        <w:topLinePunct w:val="0"/>
        <w:autoSpaceDE/>
        <w:autoSpaceDN/>
        <w:bidi w:val="0"/>
        <w:adjustRightInd/>
        <w:snapToGrid/>
        <w:spacing w:line="430" w:lineRule="exact"/>
        <w:ind w:firstLine="420" w:firstLineChars="20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8.3 招标文件规定的所有时间均为北京时间。 </w:t>
      </w:r>
    </w:p>
    <w:p w14:paraId="27E8CD9A">
      <w:pPr>
        <w:keepNext w:val="0"/>
        <w:keepLines w:val="0"/>
        <w:pageBreakBefore w:val="0"/>
        <w:widowControl w:val="0"/>
        <w:kinsoku/>
        <w:wordWrap/>
        <w:overflowPunct/>
        <w:topLinePunct w:val="0"/>
        <w:autoSpaceDE/>
        <w:autoSpaceDN/>
        <w:bidi w:val="0"/>
        <w:adjustRightInd/>
        <w:snapToGrid/>
        <w:spacing w:line="430" w:lineRule="exact"/>
        <w:ind w:firstLine="420" w:firstLineChars="20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9、 投标文件构成 </w:t>
      </w:r>
    </w:p>
    <w:p w14:paraId="24154887">
      <w:pPr>
        <w:keepNext w:val="0"/>
        <w:keepLines w:val="0"/>
        <w:pageBreakBefore w:val="0"/>
        <w:widowControl w:val="0"/>
        <w:kinsoku/>
        <w:wordWrap/>
        <w:overflowPunct/>
        <w:topLinePunct w:val="0"/>
        <w:autoSpaceDE/>
        <w:autoSpaceDN/>
        <w:bidi w:val="0"/>
        <w:adjustRightInd/>
        <w:snapToGrid/>
        <w:spacing w:line="430" w:lineRule="exact"/>
        <w:ind w:firstLine="420" w:firstLineChars="20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9.1 投标文件必须按照 5.2 节规定的内容和顺序进行编写，标明页码。 </w:t>
      </w:r>
    </w:p>
    <w:p w14:paraId="72D84B17">
      <w:pPr>
        <w:keepNext w:val="0"/>
        <w:keepLines w:val="0"/>
        <w:pageBreakBefore w:val="0"/>
        <w:widowControl w:val="0"/>
        <w:kinsoku/>
        <w:wordWrap/>
        <w:overflowPunct/>
        <w:topLinePunct w:val="0"/>
        <w:autoSpaceDE/>
        <w:autoSpaceDN/>
        <w:bidi w:val="0"/>
        <w:adjustRightInd/>
        <w:snapToGrid/>
        <w:spacing w:line="430" w:lineRule="exact"/>
        <w:ind w:firstLine="420" w:firstLineChars="20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9.2 中标后投标文件装订要求（见须知前附表）。 </w:t>
      </w:r>
    </w:p>
    <w:p w14:paraId="51946A8D">
      <w:pPr>
        <w:keepNext w:val="0"/>
        <w:keepLines w:val="0"/>
        <w:pageBreakBefore w:val="0"/>
        <w:widowControl w:val="0"/>
        <w:kinsoku/>
        <w:wordWrap/>
        <w:overflowPunct/>
        <w:topLinePunct w:val="0"/>
        <w:autoSpaceDE/>
        <w:autoSpaceDN/>
        <w:bidi w:val="0"/>
        <w:adjustRightInd/>
        <w:snapToGrid/>
        <w:spacing w:line="430" w:lineRule="exact"/>
        <w:ind w:firstLine="420" w:firstLineChars="20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9.3 投标文件除特殊规格的图纸或方案、图片资料等外，均应按 A4 规格制作，为节约和环保，建议投标文件双面打印。</w:t>
      </w:r>
    </w:p>
    <w:p w14:paraId="204FC3A3">
      <w:pPr>
        <w:keepNext w:val="0"/>
        <w:keepLines w:val="0"/>
        <w:pageBreakBefore w:val="0"/>
        <w:widowControl w:val="0"/>
        <w:kinsoku/>
        <w:wordWrap/>
        <w:overflowPunct/>
        <w:topLinePunct w:val="0"/>
        <w:autoSpaceDE/>
        <w:autoSpaceDN/>
        <w:bidi w:val="0"/>
        <w:adjustRightInd/>
        <w:snapToGrid/>
        <w:spacing w:line="430" w:lineRule="exact"/>
        <w:ind w:firstLine="420" w:firstLineChars="20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9.4 投标人必须对其投标文件的真实性与准确性负责。投标人一旦成为成交中标人，其投标文件将作为合同的重要组成部分。 </w:t>
      </w:r>
    </w:p>
    <w:p w14:paraId="25CCCF0B">
      <w:pPr>
        <w:keepNext w:val="0"/>
        <w:keepLines w:val="0"/>
        <w:pageBreakBefore w:val="0"/>
        <w:widowControl w:val="0"/>
        <w:kinsoku/>
        <w:wordWrap/>
        <w:overflowPunct/>
        <w:topLinePunct w:val="0"/>
        <w:autoSpaceDE/>
        <w:autoSpaceDN/>
        <w:bidi w:val="0"/>
        <w:adjustRightInd/>
        <w:snapToGrid/>
        <w:spacing w:line="430" w:lineRule="exact"/>
        <w:ind w:firstLine="420" w:firstLineChars="20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9.5 投标人不得在未征得招标代理机构许可的情况下，擅自对投标文件的格式、条款和技术要求进行修改。 </w:t>
      </w:r>
    </w:p>
    <w:p w14:paraId="20CF4A3E">
      <w:pPr>
        <w:keepNext w:val="0"/>
        <w:keepLines w:val="0"/>
        <w:pageBreakBefore w:val="0"/>
        <w:widowControl w:val="0"/>
        <w:kinsoku/>
        <w:wordWrap/>
        <w:overflowPunct/>
        <w:topLinePunct w:val="0"/>
        <w:autoSpaceDE/>
        <w:autoSpaceDN/>
        <w:bidi w:val="0"/>
        <w:adjustRightInd/>
        <w:snapToGrid/>
        <w:spacing w:line="430" w:lineRule="exact"/>
        <w:ind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10、投标报价 </w:t>
      </w:r>
    </w:p>
    <w:p w14:paraId="70BB26E3">
      <w:pPr>
        <w:keepNext w:val="0"/>
        <w:keepLines w:val="0"/>
        <w:pageBreakBefore w:val="0"/>
        <w:widowControl w:val="0"/>
        <w:kinsoku/>
        <w:wordWrap/>
        <w:overflowPunct/>
        <w:topLinePunct w:val="0"/>
        <w:autoSpaceDE/>
        <w:autoSpaceDN/>
        <w:bidi w:val="0"/>
        <w:adjustRightInd/>
        <w:snapToGrid/>
        <w:spacing w:line="430" w:lineRule="exact"/>
        <w:ind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10.1投标人所提供的服务（</w:t>
      </w:r>
      <w:r>
        <w:rPr>
          <w:rFonts w:hint="eastAsia" w:asciiTheme="minorEastAsia" w:hAnsiTheme="minorEastAsia" w:eastAsiaTheme="minorEastAsia" w:cstheme="minorEastAsia"/>
          <w:color w:val="auto"/>
          <w:sz w:val="21"/>
          <w:szCs w:val="21"/>
          <w:highlight w:val="none"/>
          <w:lang w:val="en-US" w:eastAsia="zh-CN"/>
        </w:rPr>
        <w:t xml:space="preserve">或货物）均以人民币报价。 </w:t>
      </w:r>
    </w:p>
    <w:p w14:paraId="3B2FEFBA">
      <w:pPr>
        <w:keepNext w:val="0"/>
        <w:keepLines w:val="0"/>
        <w:pageBreakBefore w:val="0"/>
        <w:widowControl w:val="0"/>
        <w:kinsoku/>
        <w:wordWrap/>
        <w:overflowPunct/>
        <w:topLinePunct w:val="0"/>
        <w:autoSpaceDE/>
        <w:autoSpaceDN/>
        <w:bidi w:val="0"/>
        <w:adjustRightInd/>
        <w:snapToGrid/>
        <w:spacing w:line="430" w:lineRule="exact"/>
        <w:ind w:firstLine="420" w:firstLineChars="20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10.2 投标人的投标报价应包含完成本项目的全部费用，包括但不限于</w:t>
      </w:r>
      <w:r>
        <w:rPr>
          <w:rFonts w:hint="eastAsia" w:asciiTheme="minorEastAsia" w:hAnsiTheme="minorEastAsia" w:eastAsiaTheme="minorEastAsia" w:cstheme="minorEastAsia"/>
          <w:color w:val="auto"/>
          <w:sz w:val="21"/>
          <w:szCs w:val="21"/>
          <w:lang w:val="en-US" w:eastAsia="zh-CN"/>
        </w:rPr>
        <w:t>货物成本、运输费、人工配送费、装卸费、检验费、验收费、退换费、税收、利润、售后服务、各类劳保、保险以及其他与本项目相关的全部费用</w:t>
      </w:r>
      <w:r>
        <w:rPr>
          <w:rFonts w:hint="eastAsia" w:asciiTheme="minorEastAsia" w:hAnsiTheme="minorEastAsia" w:eastAsiaTheme="minorEastAsia" w:cstheme="minorEastAsia"/>
          <w:color w:val="auto"/>
          <w:sz w:val="21"/>
          <w:szCs w:val="21"/>
          <w:lang w:val="en-US" w:eastAsia="zh-CN"/>
        </w:rPr>
        <w:t xml:space="preserve">。投标人对报价的准确性和完整性负责，任何漏报、错报等均是投标人的风险。 </w:t>
      </w:r>
    </w:p>
    <w:p w14:paraId="5AD16A24">
      <w:pPr>
        <w:keepNext w:val="0"/>
        <w:keepLines w:val="0"/>
        <w:pageBreakBefore w:val="0"/>
        <w:widowControl w:val="0"/>
        <w:kinsoku/>
        <w:wordWrap/>
        <w:overflowPunct/>
        <w:topLinePunct w:val="0"/>
        <w:autoSpaceDE/>
        <w:autoSpaceDN/>
        <w:bidi w:val="0"/>
        <w:adjustRightInd/>
        <w:snapToGrid/>
        <w:spacing w:line="430" w:lineRule="exact"/>
        <w:ind w:firstLine="420" w:firstLineChars="20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 xml:space="preserve">10.3本项目投标报价在合同执行过程中是固定不变的，投标人应充分考虑合同履行期间市场风险和国家政策性调整风险系数，并计入投标报价。除合同约定的情况外，投标人不得以任何理由在合同执行期间要求予以价格调整。 </w:t>
      </w:r>
    </w:p>
    <w:p w14:paraId="280E4555">
      <w:pPr>
        <w:keepNext w:val="0"/>
        <w:keepLines w:val="0"/>
        <w:pageBreakBefore w:val="0"/>
        <w:widowControl w:val="0"/>
        <w:kinsoku/>
        <w:wordWrap/>
        <w:overflowPunct/>
        <w:topLinePunct w:val="0"/>
        <w:autoSpaceDE/>
        <w:autoSpaceDN/>
        <w:bidi w:val="0"/>
        <w:adjustRightInd/>
        <w:snapToGrid/>
        <w:spacing w:line="430" w:lineRule="exact"/>
        <w:ind w:firstLine="420" w:firstLineChars="20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11、证明投标人合格的资格文件 </w:t>
      </w:r>
    </w:p>
    <w:p w14:paraId="49FA235E">
      <w:pPr>
        <w:keepNext w:val="0"/>
        <w:keepLines w:val="0"/>
        <w:pageBreakBefore w:val="0"/>
        <w:widowControl w:val="0"/>
        <w:kinsoku/>
        <w:wordWrap/>
        <w:overflowPunct/>
        <w:topLinePunct w:val="0"/>
        <w:autoSpaceDE/>
        <w:autoSpaceDN/>
        <w:bidi w:val="0"/>
        <w:adjustRightInd/>
        <w:snapToGrid/>
        <w:spacing w:line="430" w:lineRule="exact"/>
        <w:ind w:firstLine="420" w:firstLineChars="20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投标人在其投标文件中，应包括证明其有资格参加采购活动、以及成交后有能力履行合同所必需的生产、技术、服务和财务管理等方面能力的证明文件。 </w:t>
      </w:r>
    </w:p>
    <w:p w14:paraId="1CE6CE82">
      <w:pPr>
        <w:keepNext w:val="0"/>
        <w:keepLines w:val="0"/>
        <w:pageBreakBefore w:val="0"/>
        <w:widowControl w:val="0"/>
        <w:kinsoku/>
        <w:wordWrap/>
        <w:overflowPunct/>
        <w:topLinePunct w:val="0"/>
        <w:autoSpaceDE/>
        <w:autoSpaceDN/>
        <w:bidi w:val="0"/>
        <w:adjustRightInd/>
        <w:snapToGrid/>
        <w:spacing w:line="430" w:lineRule="exact"/>
        <w:ind w:firstLine="420" w:firstLineChars="20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12、符合招标文件的证明文件 </w:t>
      </w:r>
    </w:p>
    <w:p w14:paraId="282DE1B7">
      <w:pPr>
        <w:keepNext w:val="0"/>
        <w:keepLines w:val="0"/>
        <w:pageBreakBefore w:val="0"/>
        <w:widowControl w:val="0"/>
        <w:kinsoku/>
        <w:wordWrap/>
        <w:overflowPunct/>
        <w:topLinePunct w:val="0"/>
        <w:autoSpaceDE/>
        <w:autoSpaceDN/>
        <w:bidi w:val="0"/>
        <w:adjustRightInd/>
        <w:snapToGrid/>
        <w:spacing w:line="430" w:lineRule="exact"/>
        <w:ind w:firstLine="420" w:firstLineChars="20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如果投标人在投标文件中附有外文资料，必须把这些外文资料翻译成中文。对于关键性的证明文件，投标人应当提供与英文内容相同、且由同一人签署（或盖章）的中文原件，或经国内公证部门公证的中文翻译件。否则视为无效证明资料。属于评分所需资料的，不予计分。 </w:t>
      </w:r>
    </w:p>
    <w:p w14:paraId="278FA191">
      <w:pPr>
        <w:keepNext w:val="0"/>
        <w:keepLines w:val="0"/>
        <w:pageBreakBefore w:val="0"/>
        <w:widowControl w:val="0"/>
        <w:kinsoku/>
        <w:wordWrap/>
        <w:overflowPunct/>
        <w:topLinePunct w:val="0"/>
        <w:autoSpaceDE/>
        <w:autoSpaceDN/>
        <w:bidi w:val="0"/>
        <w:adjustRightInd/>
        <w:snapToGrid/>
        <w:spacing w:line="430" w:lineRule="exact"/>
        <w:ind w:firstLine="422" w:firstLineChars="200"/>
        <w:jc w:val="left"/>
        <w:textAlignment w:val="auto"/>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 xml:space="preserve">13、投标保证金 </w:t>
      </w:r>
    </w:p>
    <w:p w14:paraId="7ABBAAAA">
      <w:pPr>
        <w:keepNext w:val="0"/>
        <w:keepLines w:val="0"/>
        <w:pageBreakBefore w:val="0"/>
        <w:widowControl w:val="0"/>
        <w:kinsoku/>
        <w:wordWrap/>
        <w:overflowPunct/>
        <w:topLinePunct w:val="0"/>
        <w:autoSpaceDE/>
        <w:autoSpaceDN/>
        <w:bidi w:val="0"/>
        <w:adjustRightInd/>
        <w:snapToGrid/>
        <w:spacing w:line="430" w:lineRule="exact"/>
        <w:ind w:firstLine="420" w:firstLineChars="20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本项目不收取投标保证金。</w:t>
      </w:r>
    </w:p>
    <w:p w14:paraId="6BDE35B9">
      <w:pPr>
        <w:keepNext w:val="0"/>
        <w:keepLines w:val="0"/>
        <w:pageBreakBefore w:val="0"/>
        <w:widowControl w:val="0"/>
        <w:kinsoku/>
        <w:wordWrap/>
        <w:overflowPunct/>
        <w:topLinePunct w:val="0"/>
        <w:autoSpaceDE/>
        <w:autoSpaceDN/>
        <w:bidi w:val="0"/>
        <w:adjustRightInd/>
        <w:snapToGrid/>
        <w:spacing w:line="430" w:lineRule="exact"/>
        <w:ind w:firstLine="422" w:firstLineChars="200"/>
        <w:jc w:val="left"/>
        <w:textAlignment w:val="auto"/>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 xml:space="preserve">14、投标文件有效期 </w:t>
      </w:r>
    </w:p>
    <w:p w14:paraId="457111B8">
      <w:pPr>
        <w:keepNext w:val="0"/>
        <w:keepLines w:val="0"/>
        <w:pageBreakBefore w:val="0"/>
        <w:widowControl w:val="0"/>
        <w:kinsoku/>
        <w:wordWrap/>
        <w:overflowPunct/>
        <w:topLinePunct w:val="0"/>
        <w:autoSpaceDE/>
        <w:autoSpaceDN/>
        <w:bidi w:val="0"/>
        <w:adjustRightInd/>
        <w:snapToGrid/>
        <w:spacing w:line="430" w:lineRule="exact"/>
        <w:ind w:firstLine="420" w:firstLineChars="20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14.1 投标文件有效期在“投标人须知前附表”中有明确的规定。投标人如未就此提出异议，则视同接受；如承诺的投标文件有效期短于此规定时间的，将被视为未实质性响应招标文件而予以拒绝。 </w:t>
      </w:r>
    </w:p>
    <w:p w14:paraId="5AAAF25B">
      <w:pPr>
        <w:keepNext w:val="0"/>
        <w:keepLines w:val="0"/>
        <w:pageBreakBefore w:val="0"/>
        <w:widowControl w:val="0"/>
        <w:kinsoku/>
        <w:wordWrap/>
        <w:overflowPunct/>
        <w:topLinePunct w:val="0"/>
        <w:autoSpaceDE/>
        <w:autoSpaceDN/>
        <w:bidi w:val="0"/>
        <w:adjustRightInd/>
        <w:snapToGrid/>
        <w:spacing w:line="430" w:lineRule="exact"/>
        <w:ind w:firstLine="420" w:firstLineChars="20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14.2 在特殊情况下，招标代理机构可于原投标文件有效期满之前，向投标人提出延长投标文件有效期的要求。延长投标文件有效期的要求将被刊登在指定的网站上。 </w:t>
      </w:r>
    </w:p>
    <w:p w14:paraId="64DDEBFD">
      <w:pPr>
        <w:keepNext w:val="0"/>
        <w:keepLines w:val="0"/>
        <w:pageBreakBefore w:val="0"/>
        <w:widowControl w:val="0"/>
        <w:kinsoku/>
        <w:wordWrap/>
        <w:overflowPunct/>
        <w:topLinePunct w:val="0"/>
        <w:autoSpaceDE/>
        <w:autoSpaceDN/>
        <w:bidi w:val="0"/>
        <w:adjustRightInd/>
        <w:snapToGrid/>
        <w:spacing w:line="430" w:lineRule="exact"/>
        <w:ind w:firstLine="420" w:firstLineChars="20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14.3 投标人同意延长的，不得要求或被允许修改其投标文件的实质性内容。投标人拒绝延长的，按照无效投标文件处理。该投标人可以在招标代理机构延长投标文件有效期公告后五个工作日内，以书面形式拒绝招标代理机构的这种要求。如在规定的时间内未提出书面意见表示拒绝，将视为同意延长投标文件有效期。同意延长的投标人既不能要求也不允许修改其投标文件。</w:t>
      </w:r>
    </w:p>
    <w:p w14:paraId="02863CAB">
      <w:pPr>
        <w:keepNext w:val="0"/>
        <w:keepLines w:val="0"/>
        <w:pageBreakBefore w:val="0"/>
        <w:widowControl w:val="0"/>
        <w:kinsoku/>
        <w:wordWrap/>
        <w:overflowPunct/>
        <w:topLinePunct w:val="0"/>
        <w:autoSpaceDE/>
        <w:autoSpaceDN/>
        <w:bidi w:val="0"/>
        <w:adjustRightInd/>
        <w:snapToGrid/>
        <w:spacing w:line="430" w:lineRule="exact"/>
        <w:ind w:firstLine="422" w:firstLineChars="200"/>
        <w:jc w:val="left"/>
        <w:textAlignment w:val="auto"/>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15、投标文件签署与盖章</w:t>
      </w:r>
    </w:p>
    <w:p w14:paraId="6AB085EA">
      <w:pPr>
        <w:keepNext w:val="0"/>
        <w:keepLines w:val="0"/>
        <w:pageBreakBefore w:val="0"/>
        <w:widowControl w:val="0"/>
        <w:kinsoku/>
        <w:wordWrap/>
        <w:overflowPunct/>
        <w:topLinePunct w:val="0"/>
        <w:autoSpaceDE/>
        <w:autoSpaceDN/>
        <w:bidi w:val="0"/>
        <w:adjustRightInd/>
        <w:snapToGrid/>
        <w:spacing w:line="430" w:lineRule="exact"/>
        <w:ind w:firstLine="420" w:firstLineChars="200"/>
        <w:jc w:val="left"/>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kern w:val="2"/>
          <w:sz w:val="21"/>
          <w:szCs w:val="21"/>
          <w:lang w:val="en-US" w:eastAsia="zh-CN" w:bidi="ar-SA"/>
        </w:rPr>
        <w:t>15.1投标文件、开标一览表应分开单独密封包装，加贴封条并在封套的封口</w:t>
      </w:r>
      <w:r>
        <w:rPr>
          <w:rFonts w:hint="eastAsia" w:asciiTheme="minorEastAsia" w:hAnsiTheme="minorEastAsia" w:eastAsiaTheme="minorEastAsia" w:cstheme="minorEastAsia"/>
          <w:color w:val="auto"/>
          <w:sz w:val="21"/>
          <w:szCs w:val="21"/>
          <w:lang w:val="en-US" w:eastAsia="zh-CN"/>
        </w:rPr>
        <w:t>处加盖投标人单位公章。封套上应清楚地标记“投标文件”、“开标一览表”及应注明采购项目编号、项目名称、采购内容和有“在（招标文件中规定的开标日期和时间）之前不得启封”的字样，并加盖单位公章。</w:t>
      </w:r>
    </w:p>
    <w:p w14:paraId="2EA203D2">
      <w:pPr>
        <w:keepNext w:val="0"/>
        <w:keepLines w:val="0"/>
        <w:pageBreakBefore w:val="0"/>
        <w:widowControl w:val="0"/>
        <w:kinsoku/>
        <w:wordWrap/>
        <w:overflowPunct/>
        <w:topLinePunct w:val="0"/>
        <w:autoSpaceDE/>
        <w:autoSpaceDN/>
        <w:bidi w:val="0"/>
        <w:adjustRightInd/>
        <w:snapToGrid/>
        <w:spacing w:line="430" w:lineRule="exact"/>
        <w:ind w:firstLine="420" w:firstLineChars="200"/>
        <w:jc w:val="left"/>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15.2如果未按要求加写密封、标记或存在错误，招标代理机构对其误投或提前启封概不负责。</w:t>
      </w:r>
    </w:p>
    <w:p w14:paraId="534F3778">
      <w:pPr>
        <w:keepNext w:val="0"/>
        <w:keepLines w:val="0"/>
        <w:pageBreakBefore w:val="0"/>
        <w:widowControl w:val="0"/>
        <w:kinsoku/>
        <w:wordWrap/>
        <w:overflowPunct/>
        <w:topLinePunct w:val="0"/>
        <w:autoSpaceDE/>
        <w:autoSpaceDN/>
        <w:bidi w:val="0"/>
        <w:adjustRightInd/>
        <w:snapToGrid/>
        <w:spacing w:line="430" w:lineRule="exact"/>
        <w:ind w:firstLine="420" w:firstLineChars="200"/>
        <w:jc w:val="left"/>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15.3未按要求密封和标记的投标文件，采购人不予接收。</w:t>
      </w:r>
    </w:p>
    <w:p w14:paraId="01985F66">
      <w:pPr>
        <w:keepNext w:val="0"/>
        <w:keepLines w:val="0"/>
        <w:pageBreakBefore w:val="0"/>
        <w:widowControl w:val="0"/>
        <w:kinsoku/>
        <w:wordWrap/>
        <w:overflowPunct/>
        <w:topLinePunct w:val="0"/>
        <w:autoSpaceDE/>
        <w:autoSpaceDN/>
        <w:bidi w:val="0"/>
        <w:adjustRightInd/>
        <w:snapToGrid/>
        <w:spacing w:line="430" w:lineRule="exact"/>
        <w:ind w:firstLine="420" w:firstLineChars="200"/>
        <w:jc w:val="left"/>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15.4纸质</w:t>
      </w:r>
      <w:r>
        <w:rPr>
          <w:rFonts w:hint="eastAsia" w:asciiTheme="minorEastAsia" w:hAnsiTheme="minorEastAsia" w:eastAsiaTheme="minorEastAsia" w:cstheme="minorEastAsia"/>
          <w:color w:val="auto"/>
          <w:kern w:val="2"/>
          <w:sz w:val="21"/>
          <w:szCs w:val="21"/>
          <w:lang w:val="en-US" w:eastAsia="zh-CN" w:bidi="ar-SA"/>
        </w:rPr>
        <w:t>投标文件</w:t>
      </w:r>
      <w:r>
        <w:rPr>
          <w:rFonts w:hint="eastAsia" w:asciiTheme="minorEastAsia" w:hAnsiTheme="minorEastAsia" w:eastAsiaTheme="minorEastAsia" w:cstheme="minorEastAsia"/>
          <w:color w:val="auto"/>
          <w:sz w:val="21"/>
          <w:szCs w:val="21"/>
          <w:lang w:val="en-US" w:eastAsia="zh-CN"/>
        </w:rPr>
        <w:t>一式五份：正本一份，副本四份，副本可以是正本的复印件；U盘电子版不加密投标文件一份；开标一览表一份；投标人在开标一览表中的报价、商务标中的报价必须一致，否则做无效投标处理。</w:t>
      </w:r>
    </w:p>
    <w:p w14:paraId="11771857">
      <w:pPr>
        <w:pStyle w:val="4"/>
        <w:bidi w:val="0"/>
        <w:rPr>
          <w:rFonts w:hint="eastAsia"/>
          <w:color w:val="auto"/>
        </w:rPr>
      </w:pPr>
      <w:r>
        <w:rPr>
          <w:rFonts w:hint="eastAsia"/>
          <w:color w:val="auto"/>
        </w:rPr>
        <w:t>（四）投标文件的递交</w:t>
      </w:r>
    </w:p>
    <w:p w14:paraId="0175AE2F">
      <w:pPr>
        <w:keepNext w:val="0"/>
        <w:keepLines w:val="0"/>
        <w:pageBreakBefore w:val="0"/>
        <w:widowControl w:val="0"/>
        <w:kinsoku/>
        <w:wordWrap/>
        <w:overflowPunct/>
        <w:topLinePunct w:val="0"/>
        <w:autoSpaceDE/>
        <w:autoSpaceDN/>
        <w:bidi w:val="0"/>
        <w:adjustRightInd/>
        <w:snapToGrid/>
        <w:spacing w:line="430" w:lineRule="exact"/>
        <w:ind w:firstLine="422" w:firstLineChars="200"/>
        <w:jc w:val="left"/>
        <w:textAlignment w:val="auto"/>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bCs/>
          <w:color w:val="auto"/>
          <w:sz w:val="21"/>
          <w:szCs w:val="21"/>
        </w:rPr>
        <w:t>16、</w:t>
      </w:r>
      <w:r>
        <w:rPr>
          <w:rFonts w:hint="eastAsia" w:asciiTheme="minorEastAsia" w:hAnsiTheme="minorEastAsia" w:eastAsiaTheme="minorEastAsia" w:cstheme="minorEastAsia"/>
          <w:b/>
          <w:bCs/>
          <w:color w:val="auto"/>
          <w:sz w:val="21"/>
          <w:szCs w:val="21"/>
          <w:lang w:val="en-US" w:eastAsia="zh-CN"/>
        </w:rPr>
        <w:t>投标</w:t>
      </w:r>
      <w:r>
        <w:rPr>
          <w:rFonts w:hint="eastAsia" w:asciiTheme="minorEastAsia" w:hAnsiTheme="minorEastAsia" w:eastAsiaTheme="minorEastAsia" w:cstheme="minorEastAsia"/>
          <w:b/>
          <w:color w:val="auto"/>
          <w:sz w:val="21"/>
          <w:szCs w:val="21"/>
          <w:lang w:val="en-US" w:eastAsia="zh-CN"/>
        </w:rPr>
        <w:t xml:space="preserve">文件的密封和递交 </w:t>
      </w:r>
    </w:p>
    <w:p w14:paraId="16E17089">
      <w:pPr>
        <w:keepNext w:val="0"/>
        <w:keepLines w:val="0"/>
        <w:pageBreakBefore w:val="0"/>
        <w:widowControl w:val="0"/>
        <w:kinsoku/>
        <w:wordWrap/>
        <w:overflowPunct/>
        <w:topLinePunct w:val="0"/>
        <w:autoSpaceDE/>
        <w:autoSpaceDN/>
        <w:bidi w:val="0"/>
        <w:adjustRightInd/>
        <w:snapToGrid/>
        <w:spacing w:line="430" w:lineRule="exact"/>
        <w:ind w:firstLine="420" w:firstLineChars="200"/>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16.1、投标文件现场递交地点为大冶市农村综合产权交易中心（湖北省大冶市七里界国际金融中心二楼）开标室。</w:t>
      </w:r>
    </w:p>
    <w:p w14:paraId="470C6DFE">
      <w:pPr>
        <w:keepNext w:val="0"/>
        <w:keepLines w:val="0"/>
        <w:pageBreakBefore w:val="0"/>
        <w:widowControl w:val="0"/>
        <w:kinsoku/>
        <w:wordWrap/>
        <w:overflowPunct/>
        <w:topLinePunct w:val="0"/>
        <w:autoSpaceDE/>
        <w:autoSpaceDN/>
        <w:bidi w:val="0"/>
        <w:adjustRightInd/>
        <w:snapToGrid/>
        <w:spacing w:line="430" w:lineRule="exact"/>
        <w:ind w:firstLine="420" w:firstLineChars="200"/>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16.2、逾期送达或者未按招标文件要求密封的投标文件，招标人将予以拒收。投标截止时间前未递交投标文件的，视为撤回投标文件。</w:t>
      </w:r>
    </w:p>
    <w:p w14:paraId="624A37C3">
      <w:pPr>
        <w:keepNext w:val="0"/>
        <w:keepLines w:val="0"/>
        <w:pageBreakBefore w:val="0"/>
        <w:widowControl w:val="0"/>
        <w:kinsoku/>
        <w:wordWrap/>
        <w:overflowPunct/>
        <w:topLinePunct w:val="0"/>
        <w:autoSpaceDE/>
        <w:autoSpaceDN/>
        <w:bidi w:val="0"/>
        <w:adjustRightInd/>
        <w:snapToGrid/>
        <w:spacing w:line="430" w:lineRule="exact"/>
        <w:ind w:firstLine="420" w:firstLineChars="200"/>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16.3、递交投标文件以及参加开标会的投标人代表 ，必须为投标人法定代表人或委托代理人，法定代表人须携带本人身份证原件，委托代理人须携带身份证原件、法定代表人授权委托书。委托代理人必须为本公司正式员工，同时需提供所在公司缴纳的近三个月以上的社保证明及劳动合同。</w:t>
      </w:r>
    </w:p>
    <w:p w14:paraId="1706BA29">
      <w:pPr>
        <w:keepNext w:val="0"/>
        <w:keepLines w:val="0"/>
        <w:pageBreakBefore w:val="0"/>
        <w:widowControl w:val="0"/>
        <w:kinsoku/>
        <w:wordWrap/>
        <w:overflowPunct/>
        <w:topLinePunct w:val="0"/>
        <w:autoSpaceDE/>
        <w:autoSpaceDN/>
        <w:bidi w:val="0"/>
        <w:adjustRightInd/>
        <w:snapToGrid/>
        <w:spacing w:line="430" w:lineRule="exact"/>
        <w:ind w:firstLine="420" w:firstLineChars="200"/>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16.4、投标人在开标一览表中的报价、商务标中的报价必须一致，否则作无效投标处理。</w:t>
      </w:r>
    </w:p>
    <w:p w14:paraId="3B4CB7DB">
      <w:pPr>
        <w:keepNext w:val="0"/>
        <w:keepLines w:val="0"/>
        <w:pageBreakBefore w:val="0"/>
        <w:widowControl w:val="0"/>
        <w:kinsoku/>
        <w:wordWrap/>
        <w:overflowPunct/>
        <w:topLinePunct w:val="0"/>
        <w:autoSpaceDE/>
        <w:autoSpaceDN/>
        <w:bidi w:val="0"/>
        <w:adjustRightInd/>
        <w:snapToGrid/>
        <w:spacing w:line="430" w:lineRule="exact"/>
        <w:ind w:firstLine="422" w:firstLineChars="200"/>
        <w:jc w:val="center"/>
        <w:textAlignment w:val="auto"/>
        <w:rPr>
          <w:rStyle w:val="24"/>
          <w:rFonts w:hint="eastAsia"/>
          <w:color w:val="auto"/>
          <w:lang w:val="en-US" w:eastAsia="zh-CN"/>
        </w:rPr>
      </w:pPr>
      <w:r>
        <w:rPr>
          <w:rStyle w:val="24"/>
          <w:rFonts w:hint="eastAsia"/>
          <w:color w:val="auto"/>
          <w:lang w:val="en-US" w:eastAsia="zh-CN"/>
        </w:rPr>
        <w:t>（五）开标与评标</w:t>
      </w:r>
    </w:p>
    <w:p w14:paraId="39497A4C">
      <w:pPr>
        <w:keepNext w:val="0"/>
        <w:keepLines w:val="0"/>
        <w:pageBreakBefore w:val="0"/>
        <w:widowControl w:val="0"/>
        <w:kinsoku/>
        <w:wordWrap/>
        <w:overflowPunct/>
        <w:topLinePunct w:val="0"/>
        <w:autoSpaceDE/>
        <w:autoSpaceDN/>
        <w:bidi w:val="0"/>
        <w:adjustRightInd/>
        <w:snapToGrid/>
        <w:spacing w:line="430" w:lineRule="exact"/>
        <w:ind w:firstLine="420" w:firstLineChars="200"/>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 xml:space="preserve">17.开标 </w:t>
      </w:r>
    </w:p>
    <w:p w14:paraId="040416D3">
      <w:pPr>
        <w:keepNext w:val="0"/>
        <w:keepLines w:val="0"/>
        <w:pageBreakBefore w:val="0"/>
        <w:widowControl w:val="0"/>
        <w:kinsoku/>
        <w:wordWrap/>
        <w:overflowPunct/>
        <w:topLinePunct w:val="0"/>
        <w:autoSpaceDE/>
        <w:autoSpaceDN/>
        <w:bidi w:val="0"/>
        <w:adjustRightInd/>
        <w:snapToGrid/>
        <w:spacing w:line="430" w:lineRule="exact"/>
        <w:ind w:firstLine="420" w:firstLineChars="200"/>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（1）开标时间：提交响应文件截止时间。</w:t>
      </w:r>
    </w:p>
    <w:p w14:paraId="7F0C3674">
      <w:pPr>
        <w:keepNext w:val="0"/>
        <w:keepLines w:val="0"/>
        <w:pageBreakBefore w:val="0"/>
        <w:widowControl w:val="0"/>
        <w:kinsoku/>
        <w:wordWrap/>
        <w:overflowPunct/>
        <w:topLinePunct w:val="0"/>
        <w:autoSpaceDE/>
        <w:autoSpaceDN/>
        <w:bidi w:val="0"/>
        <w:adjustRightInd/>
        <w:snapToGrid/>
        <w:spacing w:line="430" w:lineRule="exact"/>
        <w:ind w:firstLine="420" w:firstLineChars="200"/>
        <w:jc w:val="left"/>
        <w:textAlignment w:val="auto"/>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（2）开标地点：同公告</w:t>
      </w:r>
    </w:p>
    <w:p w14:paraId="5B4E1E05">
      <w:pPr>
        <w:keepNext w:val="0"/>
        <w:keepLines w:val="0"/>
        <w:pageBreakBefore w:val="0"/>
        <w:widowControl w:val="0"/>
        <w:kinsoku/>
        <w:wordWrap/>
        <w:overflowPunct/>
        <w:topLinePunct w:val="0"/>
        <w:autoSpaceDE/>
        <w:autoSpaceDN/>
        <w:bidi w:val="0"/>
        <w:adjustRightInd/>
        <w:snapToGrid/>
        <w:spacing w:line="430" w:lineRule="exact"/>
        <w:ind w:firstLine="420" w:firstLineChars="200"/>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 xml:space="preserve">17.评标 </w:t>
      </w:r>
    </w:p>
    <w:p w14:paraId="3EFF4199">
      <w:pPr>
        <w:keepNext w:val="0"/>
        <w:keepLines w:val="0"/>
        <w:pageBreakBefore w:val="0"/>
        <w:widowControl w:val="0"/>
        <w:kinsoku/>
        <w:wordWrap/>
        <w:overflowPunct/>
        <w:topLinePunct w:val="0"/>
        <w:autoSpaceDE/>
        <w:autoSpaceDN/>
        <w:bidi w:val="0"/>
        <w:adjustRightInd/>
        <w:snapToGrid/>
        <w:spacing w:line="430" w:lineRule="exact"/>
        <w:ind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17.1本项目评标办法为综合评分法，评标</w:t>
      </w:r>
      <w:r>
        <w:rPr>
          <w:rFonts w:hint="eastAsia" w:asciiTheme="minorEastAsia" w:hAnsiTheme="minorEastAsia" w:eastAsiaTheme="minorEastAsia" w:cstheme="minorEastAsia"/>
          <w:color w:val="auto"/>
          <w:sz w:val="21"/>
          <w:szCs w:val="21"/>
          <w:highlight w:val="none"/>
        </w:rPr>
        <w:t>办法及标准见本招标文</w:t>
      </w:r>
      <w:r>
        <w:rPr>
          <w:rFonts w:hint="eastAsia" w:asciiTheme="minorEastAsia" w:hAnsiTheme="minorEastAsia" w:eastAsiaTheme="minorEastAsia" w:cstheme="minorEastAsia"/>
          <w:color w:val="auto"/>
          <w:sz w:val="21"/>
          <w:szCs w:val="21"/>
          <w:highlight w:val="none"/>
        </w:rPr>
        <w:t>件第四章。</w:t>
      </w:r>
    </w:p>
    <w:p w14:paraId="618F5D90">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17</w:t>
      </w:r>
      <w:r>
        <w:rPr>
          <w:rFonts w:hint="eastAsia" w:asciiTheme="minorEastAsia" w:hAnsiTheme="minorEastAsia" w:eastAsiaTheme="minorEastAsia" w:cstheme="minorEastAsia"/>
          <w:color w:val="auto"/>
          <w:sz w:val="21"/>
          <w:szCs w:val="21"/>
          <w:highlight w:val="none"/>
        </w:rPr>
        <w:t xml:space="preserve">.2 评标程序按以下步骤依次进行：初步评审（分为资格性审查和符合性审查）、澄清有关问题、比较与评价、确定中标人或者推荐中标候选人名单、编写评标报告。 </w:t>
      </w:r>
    </w:p>
    <w:p w14:paraId="7D67165B">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17.</w:t>
      </w:r>
      <w:r>
        <w:rPr>
          <w:rFonts w:hint="eastAsia" w:asciiTheme="minorEastAsia" w:hAnsiTheme="minorEastAsia" w:eastAsiaTheme="minorEastAsia" w:cstheme="minorEastAsia"/>
          <w:color w:val="auto"/>
          <w:sz w:val="21"/>
          <w:szCs w:val="21"/>
          <w:highlight w:val="none"/>
        </w:rPr>
        <w:t xml:space="preserve">3资格性审查：招标人或代理机构依据法律法规和招标文件的规定，对所有投标人的投标资格进行审查，以确定投标人是否具备投标资格，填写资格审查表并签字确认。对资格性审查不合格的投标人，招标人必须提出不合格的事实依据。 </w:t>
      </w:r>
    </w:p>
    <w:p w14:paraId="5849A8BD">
      <w:pPr>
        <w:keepNext w:val="0"/>
        <w:keepLines w:val="0"/>
        <w:pageBreakBefore w:val="0"/>
        <w:widowControl w:val="0"/>
        <w:kinsoku/>
        <w:wordWrap/>
        <w:overflowPunct/>
        <w:topLinePunct w:val="0"/>
        <w:autoSpaceDE/>
        <w:autoSpaceDN/>
        <w:bidi w:val="0"/>
        <w:adjustRightInd/>
        <w:snapToGrid/>
        <w:spacing w:line="430" w:lineRule="exact"/>
        <w:ind w:firstLine="422" w:firstLineChars="200"/>
        <w:textAlignment w:val="auto"/>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 xml:space="preserve">资格审查出现下列情形之一的，投标无效： </w:t>
      </w:r>
    </w:p>
    <w:p w14:paraId="0EF7792A">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（1）不具备《中华人民共和国政府采购法》第二十二条规定条件的； </w:t>
      </w:r>
    </w:p>
    <w:p w14:paraId="1363442E">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（2）不符合招标文件中规定资格条件或超出经营范围进行投标的； </w:t>
      </w:r>
    </w:p>
    <w:p w14:paraId="5883FF2D">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（3）未按招标文件规定提交证明投标人合格的资信、综合证明资料，或所提交资料中复印件不一致的； </w:t>
      </w:r>
    </w:p>
    <w:p w14:paraId="5DBC6C8B">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（4）判定投标人涂改证明材料或者提供虚假材料的； </w:t>
      </w:r>
    </w:p>
    <w:p w14:paraId="6E80E09A">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17</w:t>
      </w:r>
      <w:r>
        <w:rPr>
          <w:rFonts w:hint="eastAsia" w:asciiTheme="minorEastAsia" w:hAnsiTheme="minorEastAsia" w:eastAsiaTheme="minorEastAsia" w:cstheme="minorEastAsia"/>
          <w:color w:val="auto"/>
          <w:sz w:val="21"/>
          <w:szCs w:val="21"/>
        </w:rPr>
        <w:t>.4符合性审查：评标委员会依据招标文件的规定，对投标人的技术部分和</w:t>
      </w:r>
      <w:r>
        <w:rPr>
          <w:rFonts w:hint="eastAsia" w:asciiTheme="minorEastAsia" w:hAnsiTheme="minorEastAsia" w:eastAsiaTheme="minorEastAsia" w:cstheme="minorEastAsia"/>
          <w:color w:val="auto"/>
          <w:sz w:val="21"/>
          <w:szCs w:val="21"/>
          <w:lang w:eastAsia="zh-CN"/>
        </w:rPr>
        <w:t>商务部分</w:t>
      </w:r>
      <w:r>
        <w:rPr>
          <w:rFonts w:hint="eastAsia" w:asciiTheme="minorEastAsia" w:hAnsiTheme="minorEastAsia" w:eastAsiaTheme="minorEastAsia" w:cstheme="minorEastAsia"/>
          <w:color w:val="auto"/>
          <w:sz w:val="21"/>
          <w:szCs w:val="21"/>
        </w:rPr>
        <w:t>投标文件的有效性、完整性以及对招标文件的响应程度进行审查，以确定是否对招标文件的实质性要求做出响应。对符合性审查不合格的投标人，评标委员会必须提出不合格的事实依据。符合性审查出现下列情形之一的，投标无效：</w:t>
      </w:r>
    </w:p>
    <w:p w14:paraId="35AE05D1">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（1）投标人未按本招标文件规定编制、签署、制作投标文件的；  </w:t>
      </w:r>
    </w:p>
    <w:p w14:paraId="0C3E0992">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（2）招标文件规定但投标人未按要求提供与项目相关的证书资料； </w:t>
      </w:r>
    </w:p>
    <w:p w14:paraId="486C54F9">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（3）投标人未提供项目合格证明和符合采购文件规定的技术支持资料或其提供的技术资料证明投标人做出虚假响应的； </w:t>
      </w:r>
    </w:p>
    <w:p w14:paraId="070987ED">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（4）投标有效期不满足招标文件要求的； </w:t>
      </w:r>
    </w:p>
    <w:p w14:paraId="1F98E3FA">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（5）符合法律、法规和招标文件中规定的被视为无效投标的其他要求。 </w:t>
      </w:r>
    </w:p>
    <w:p w14:paraId="5DDD23D1">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17</w:t>
      </w:r>
      <w:r>
        <w:rPr>
          <w:rFonts w:hint="eastAsia" w:asciiTheme="minorEastAsia" w:hAnsiTheme="minorEastAsia" w:eastAsiaTheme="minorEastAsia" w:cstheme="minorEastAsia"/>
          <w:color w:val="auto"/>
          <w:sz w:val="21"/>
          <w:szCs w:val="21"/>
        </w:rPr>
        <w:t xml:space="preserve">.5 澄清有关问题：对投标文件中含义不明确、同类问题表述不一致或者有明显文字和计算错误的内容，评标委员会应以书面形式要求投标人做出必要的澄清、承诺、说明或者纠正，但不得超出投标文件的范围或者改变投标文件的实质性内容，投标人不能通过修正、撤销或者澄清不符之处而使其投标成为实质性响应的投标。投标人的澄清、承诺、说明或者纠正应采取书面形式，由法定代表人或者被授权代表签字。 </w:t>
      </w:r>
    </w:p>
    <w:p w14:paraId="162747BE">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17</w:t>
      </w:r>
      <w:r>
        <w:rPr>
          <w:rFonts w:hint="eastAsia" w:asciiTheme="minorEastAsia" w:hAnsiTheme="minorEastAsia" w:eastAsiaTheme="minorEastAsia" w:cstheme="minorEastAsia"/>
          <w:color w:val="auto"/>
          <w:sz w:val="21"/>
          <w:szCs w:val="21"/>
        </w:rPr>
        <w:t xml:space="preserve">.6比较与评价：评标委员会对照开标记录审核投标人的投标报价文件，不按照规定报价、拒绝报价或者投标报价超出采购预算的投标无效；评标委员会按评标办法规定的要求对有效的投标报价进行比较和排序后推荐中标候选人或者按照授权确定中标人。全部评审完成后，评标委员会应编制并审定评标报告后提交给招标人。 </w:t>
      </w:r>
    </w:p>
    <w:p w14:paraId="759948A3">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17</w:t>
      </w:r>
      <w:r>
        <w:rPr>
          <w:rFonts w:hint="eastAsia" w:asciiTheme="minorEastAsia" w:hAnsiTheme="minorEastAsia" w:eastAsiaTheme="minorEastAsia" w:cstheme="minorEastAsia"/>
          <w:color w:val="auto"/>
          <w:sz w:val="21"/>
          <w:szCs w:val="21"/>
        </w:rPr>
        <w:t xml:space="preserve">.7 出现下列情形之一的，应予废标： </w:t>
      </w:r>
    </w:p>
    <w:p w14:paraId="482E0E5E">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（1）符合条件的投标人或者对招标文件作实质响应的投标人不足三家的； </w:t>
      </w:r>
    </w:p>
    <w:p w14:paraId="537F9714">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（2）出现影响采购公正的违法、违规行为的； </w:t>
      </w:r>
    </w:p>
    <w:p w14:paraId="40635AF4">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（3）投标人的报价均超过了采购预算的； </w:t>
      </w:r>
    </w:p>
    <w:p w14:paraId="36492B9D">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（4）因重大变故，采购任务取消的； </w:t>
      </w:r>
    </w:p>
    <w:p w14:paraId="53C999F9">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（5）法律、法规以及招标文件规定废标情形。 </w:t>
      </w:r>
    </w:p>
    <w:p w14:paraId="692CE976">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废标必须经评标委员会集体</w:t>
      </w:r>
      <w:r>
        <w:rPr>
          <w:rFonts w:hint="eastAsia" w:asciiTheme="minorEastAsia" w:hAnsiTheme="minorEastAsia" w:eastAsiaTheme="minorEastAsia" w:cstheme="minorEastAsia"/>
          <w:color w:val="auto"/>
          <w:sz w:val="21"/>
          <w:szCs w:val="21"/>
          <w:lang w:eastAsia="zh-CN"/>
        </w:rPr>
        <w:t>作出决定</w:t>
      </w:r>
      <w:r>
        <w:rPr>
          <w:rFonts w:hint="eastAsia" w:asciiTheme="minorEastAsia" w:hAnsiTheme="minorEastAsia" w:eastAsiaTheme="minorEastAsia" w:cstheme="minorEastAsia"/>
          <w:color w:val="auto"/>
          <w:sz w:val="21"/>
          <w:szCs w:val="21"/>
        </w:rPr>
        <w:t xml:space="preserve">，经评标委员会全体成员签字确认后生效。 </w:t>
      </w:r>
    </w:p>
    <w:p w14:paraId="1D0338C0">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18</w:t>
      </w:r>
      <w:r>
        <w:rPr>
          <w:rFonts w:hint="eastAsia" w:asciiTheme="minorEastAsia" w:hAnsiTheme="minorEastAsia" w:eastAsiaTheme="minorEastAsia" w:cstheme="minorEastAsia"/>
          <w:color w:val="auto"/>
          <w:sz w:val="21"/>
          <w:szCs w:val="21"/>
        </w:rPr>
        <w:t xml:space="preserve">、对招标程序和结果的质疑 </w:t>
      </w:r>
    </w:p>
    <w:p w14:paraId="38BF7817">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18</w:t>
      </w:r>
      <w:r>
        <w:rPr>
          <w:rFonts w:hint="eastAsia" w:asciiTheme="minorEastAsia" w:hAnsiTheme="minorEastAsia" w:eastAsiaTheme="minorEastAsia" w:cstheme="minorEastAsia"/>
          <w:color w:val="auto"/>
          <w:sz w:val="21"/>
          <w:szCs w:val="21"/>
        </w:rPr>
        <w:t>.1 投标人认为此次采购活动程序和结果使自己的权益受到损害而提出质疑的，依据《政府采购法》等相关法规和《政府采购</w:t>
      </w:r>
      <w:r>
        <w:rPr>
          <w:rFonts w:hint="eastAsia" w:asciiTheme="minorEastAsia" w:hAnsiTheme="minorEastAsia" w:eastAsiaTheme="minorEastAsia" w:cstheme="minorEastAsia"/>
          <w:color w:val="auto"/>
          <w:sz w:val="21"/>
          <w:szCs w:val="21"/>
          <w:lang w:eastAsia="zh-CN"/>
        </w:rPr>
        <w:t>投标人</w:t>
      </w:r>
      <w:r>
        <w:rPr>
          <w:rFonts w:hint="eastAsia" w:asciiTheme="minorEastAsia" w:hAnsiTheme="minorEastAsia" w:eastAsiaTheme="minorEastAsia" w:cstheme="minorEastAsia"/>
          <w:color w:val="auto"/>
          <w:sz w:val="21"/>
          <w:szCs w:val="21"/>
        </w:rPr>
        <w:t>质疑处理暂行办法》，应当在程序结束或在中标公告发出七个工作日内向代理机构或</w:t>
      </w:r>
      <w:r>
        <w:rPr>
          <w:rFonts w:hint="eastAsia" w:asciiTheme="minorEastAsia" w:hAnsiTheme="minorEastAsia" w:eastAsiaTheme="minorEastAsia" w:cstheme="minorEastAsia"/>
          <w:color w:val="auto"/>
          <w:sz w:val="21"/>
          <w:szCs w:val="21"/>
          <w:lang w:eastAsia="zh-CN"/>
        </w:rPr>
        <w:t>招标人</w:t>
      </w:r>
      <w:r>
        <w:rPr>
          <w:rFonts w:hint="eastAsia" w:asciiTheme="minorEastAsia" w:hAnsiTheme="minorEastAsia" w:eastAsiaTheme="minorEastAsia" w:cstheme="minorEastAsia"/>
          <w:color w:val="auto"/>
          <w:sz w:val="21"/>
          <w:szCs w:val="21"/>
        </w:rPr>
        <w:t xml:space="preserve">提交书面质疑函。 </w:t>
      </w:r>
    </w:p>
    <w:p w14:paraId="5CDB787F">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18</w:t>
      </w:r>
      <w:r>
        <w:rPr>
          <w:rFonts w:hint="eastAsia" w:asciiTheme="minorEastAsia" w:hAnsiTheme="minorEastAsia" w:eastAsiaTheme="minorEastAsia" w:cstheme="minorEastAsia"/>
          <w:color w:val="auto"/>
          <w:sz w:val="21"/>
          <w:szCs w:val="21"/>
        </w:rPr>
        <w:t xml:space="preserve">.2 质疑函应当包括下列主要内容： </w:t>
      </w:r>
    </w:p>
    <w:p w14:paraId="1199B097">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1）被质疑采购项目名称、编号； </w:t>
      </w:r>
    </w:p>
    <w:p w14:paraId="597C53A2">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2）质疑的具体事项及事实依据； </w:t>
      </w:r>
    </w:p>
    <w:p w14:paraId="5DD02A3F">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3）质疑问题的相关法律规定及有效证明材料； </w:t>
      </w:r>
    </w:p>
    <w:p w14:paraId="64266A53">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4）质疑人的名称、地址、联系方式； </w:t>
      </w:r>
    </w:p>
    <w:p w14:paraId="7E9D2C40">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5）提出质疑的日期等。 </w:t>
      </w:r>
    </w:p>
    <w:p w14:paraId="12B568E1">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18</w:t>
      </w:r>
      <w:r>
        <w:rPr>
          <w:rFonts w:hint="eastAsia" w:asciiTheme="minorEastAsia" w:hAnsiTheme="minorEastAsia" w:eastAsiaTheme="minorEastAsia" w:cstheme="minorEastAsia"/>
          <w:color w:val="auto"/>
          <w:sz w:val="21"/>
          <w:szCs w:val="21"/>
        </w:rPr>
        <w:t xml:space="preserve">.3 质疑函必须由投标人法定代表人签字并加盖公章，办理质疑事项的被授权人必须提供本人有效身份证明和法定代表人授权委托书原件。 </w:t>
      </w:r>
    </w:p>
    <w:p w14:paraId="15B5AF88">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18</w:t>
      </w:r>
      <w:r>
        <w:rPr>
          <w:rFonts w:hint="eastAsia" w:asciiTheme="minorEastAsia" w:hAnsiTheme="minorEastAsia" w:eastAsiaTheme="minorEastAsia" w:cstheme="minorEastAsia"/>
          <w:color w:val="auto"/>
          <w:sz w:val="21"/>
          <w:szCs w:val="21"/>
        </w:rPr>
        <w:t>.4 质疑函应由代理机构工作人员办理签收手续确认受理时间。</w:t>
      </w:r>
    </w:p>
    <w:p w14:paraId="6A9C08FB">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18</w:t>
      </w:r>
      <w:r>
        <w:rPr>
          <w:rFonts w:hint="eastAsia" w:asciiTheme="minorEastAsia" w:hAnsiTheme="minorEastAsia" w:eastAsiaTheme="minorEastAsia" w:cstheme="minorEastAsia"/>
          <w:color w:val="auto"/>
          <w:sz w:val="21"/>
          <w:szCs w:val="21"/>
        </w:rPr>
        <w:t xml:space="preserve">.5 投标人提出质疑的格式和内容不符合上述要求以及提供的资料和手续不全，代理机构可以要求质疑投标人在一定时间内修改补正后再提出质疑，质疑投标人逾期未能修改补正的，视为自动放弃质疑。 </w:t>
      </w:r>
    </w:p>
    <w:p w14:paraId="63EAEC91">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18</w:t>
      </w:r>
      <w:r>
        <w:rPr>
          <w:rFonts w:hint="eastAsia" w:asciiTheme="minorEastAsia" w:hAnsiTheme="minorEastAsia" w:eastAsiaTheme="minorEastAsia" w:cstheme="minorEastAsia"/>
          <w:color w:val="auto"/>
          <w:sz w:val="21"/>
          <w:szCs w:val="21"/>
        </w:rPr>
        <w:t xml:space="preserve">.6 没有按时参加投标的投标人提出的质疑或逾期提出的质疑，代理机构将不予受理。 </w:t>
      </w:r>
    </w:p>
    <w:p w14:paraId="70955E9A">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18</w:t>
      </w:r>
      <w:r>
        <w:rPr>
          <w:rFonts w:hint="eastAsia" w:asciiTheme="minorEastAsia" w:hAnsiTheme="minorEastAsia" w:eastAsiaTheme="minorEastAsia" w:cstheme="minorEastAsia"/>
          <w:color w:val="auto"/>
          <w:sz w:val="21"/>
          <w:szCs w:val="21"/>
        </w:rPr>
        <w:t xml:space="preserve">.7 投标人捏造事实、提供虚假材料或者以非法手段取得证明材料进行质疑投诉的，将由财政部门列入不良行为记录名单。 </w:t>
      </w:r>
    </w:p>
    <w:p w14:paraId="2EA4F3D9">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19</w:t>
      </w:r>
      <w:r>
        <w:rPr>
          <w:rFonts w:hint="eastAsia" w:asciiTheme="minorEastAsia" w:hAnsiTheme="minorEastAsia" w:eastAsiaTheme="minorEastAsia" w:cstheme="minorEastAsia"/>
          <w:color w:val="auto"/>
          <w:sz w:val="21"/>
          <w:szCs w:val="21"/>
        </w:rPr>
        <w:t xml:space="preserve">、适用法律 </w:t>
      </w:r>
    </w:p>
    <w:p w14:paraId="2CDBDF81">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19</w:t>
      </w:r>
      <w:r>
        <w:rPr>
          <w:rFonts w:hint="eastAsia" w:asciiTheme="minorEastAsia" w:hAnsiTheme="minorEastAsia" w:eastAsiaTheme="minorEastAsia" w:cstheme="minorEastAsia"/>
          <w:color w:val="auto"/>
          <w:sz w:val="21"/>
          <w:szCs w:val="21"/>
        </w:rPr>
        <w:t xml:space="preserve">.1 </w:t>
      </w:r>
      <w:r>
        <w:rPr>
          <w:rFonts w:hint="eastAsia" w:asciiTheme="minorEastAsia" w:hAnsiTheme="minorEastAsia" w:eastAsiaTheme="minorEastAsia" w:cstheme="minorEastAsia"/>
          <w:color w:val="auto"/>
          <w:sz w:val="21"/>
          <w:szCs w:val="21"/>
          <w:lang w:eastAsia="zh-CN"/>
        </w:rPr>
        <w:t>招标人</w:t>
      </w:r>
      <w:r>
        <w:rPr>
          <w:rFonts w:hint="eastAsia" w:asciiTheme="minorEastAsia" w:hAnsiTheme="minorEastAsia" w:eastAsiaTheme="minorEastAsia" w:cstheme="minorEastAsia"/>
          <w:color w:val="auto"/>
          <w:sz w:val="21"/>
          <w:szCs w:val="21"/>
        </w:rPr>
        <w:t xml:space="preserve">、代理机构及投标人的一切招标投标活动均适用于《政府采购法》及相关规定。 </w:t>
      </w:r>
    </w:p>
    <w:p w14:paraId="03331993">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w:t>
      </w:r>
      <w:r>
        <w:rPr>
          <w:rFonts w:hint="eastAsia" w:asciiTheme="minorEastAsia" w:hAnsiTheme="minorEastAsia" w:eastAsiaTheme="minorEastAsia" w:cstheme="minorEastAsia"/>
          <w:color w:val="auto"/>
          <w:sz w:val="21"/>
          <w:szCs w:val="21"/>
          <w:lang w:val="en-US" w:eastAsia="zh-CN"/>
        </w:rPr>
        <w:t>0</w:t>
      </w:r>
      <w:r>
        <w:rPr>
          <w:rFonts w:hint="eastAsia" w:asciiTheme="minorEastAsia" w:hAnsiTheme="minorEastAsia" w:eastAsiaTheme="minorEastAsia" w:cstheme="minorEastAsia"/>
          <w:color w:val="auto"/>
          <w:sz w:val="21"/>
          <w:szCs w:val="21"/>
        </w:rPr>
        <w:t xml:space="preserve">、招标文件的解释权 </w:t>
      </w:r>
    </w:p>
    <w:p w14:paraId="1A0290BD">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w:t>
      </w:r>
      <w:r>
        <w:rPr>
          <w:rFonts w:hint="eastAsia" w:asciiTheme="minorEastAsia" w:hAnsiTheme="minorEastAsia" w:eastAsiaTheme="minorEastAsia" w:cstheme="minorEastAsia"/>
          <w:color w:val="auto"/>
          <w:sz w:val="21"/>
          <w:szCs w:val="21"/>
          <w:lang w:val="en-US" w:eastAsia="zh-CN"/>
        </w:rPr>
        <w:t>0</w:t>
      </w:r>
      <w:r>
        <w:rPr>
          <w:rFonts w:hint="eastAsia" w:asciiTheme="minorEastAsia" w:hAnsiTheme="minorEastAsia" w:eastAsiaTheme="minorEastAsia" w:cstheme="minorEastAsia"/>
          <w:color w:val="auto"/>
          <w:sz w:val="21"/>
          <w:szCs w:val="21"/>
        </w:rPr>
        <w:t>.1 本项目招标文件的最终解释权为代理机构、</w:t>
      </w:r>
      <w:r>
        <w:rPr>
          <w:rFonts w:hint="eastAsia" w:asciiTheme="minorEastAsia" w:hAnsiTheme="minorEastAsia" w:eastAsiaTheme="minorEastAsia" w:cstheme="minorEastAsia"/>
          <w:color w:val="auto"/>
          <w:sz w:val="21"/>
          <w:szCs w:val="21"/>
          <w:lang w:eastAsia="zh-CN"/>
        </w:rPr>
        <w:t>招标人</w:t>
      </w:r>
      <w:r>
        <w:rPr>
          <w:rFonts w:hint="eastAsia" w:asciiTheme="minorEastAsia" w:hAnsiTheme="minorEastAsia" w:eastAsiaTheme="minorEastAsia" w:cstheme="minorEastAsia"/>
          <w:color w:val="auto"/>
          <w:sz w:val="21"/>
          <w:szCs w:val="21"/>
        </w:rPr>
        <w:t>所有。</w:t>
      </w:r>
    </w:p>
    <w:p w14:paraId="739AE5E4">
      <w:pPr>
        <w:pStyle w:val="4"/>
        <w:bidi w:val="0"/>
        <w:rPr>
          <w:rFonts w:hint="eastAsia"/>
          <w:color w:val="auto"/>
        </w:rPr>
      </w:pPr>
      <w:r>
        <w:rPr>
          <w:rFonts w:hint="eastAsia"/>
          <w:color w:val="auto"/>
        </w:rPr>
        <w:t>（六）授予合同</w:t>
      </w:r>
    </w:p>
    <w:p w14:paraId="066EDC0B">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w:t>
      </w:r>
      <w:r>
        <w:rPr>
          <w:rFonts w:hint="eastAsia" w:asciiTheme="minorEastAsia" w:hAnsiTheme="minorEastAsia" w:eastAsiaTheme="minorEastAsia" w:cstheme="minorEastAsia"/>
          <w:color w:val="auto"/>
          <w:sz w:val="21"/>
          <w:szCs w:val="21"/>
          <w:lang w:val="en-US" w:eastAsia="zh-CN"/>
        </w:rPr>
        <w:t>1</w:t>
      </w:r>
      <w:r>
        <w:rPr>
          <w:rFonts w:hint="eastAsia" w:asciiTheme="minorEastAsia" w:hAnsiTheme="minorEastAsia" w:eastAsiaTheme="minorEastAsia" w:cstheme="minorEastAsia"/>
          <w:color w:val="auto"/>
          <w:sz w:val="21"/>
          <w:szCs w:val="21"/>
        </w:rPr>
        <w:t xml:space="preserve">、合同的签订 </w:t>
      </w:r>
    </w:p>
    <w:p w14:paraId="72BCF6AB">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w:t>
      </w:r>
      <w:r>
        <w:rPr>
          <w:rFonts w:hint="eastAsia" w:asciiTheme="minorEastAsia" w:hAnsiTheme="minorEastAsia" w:eastAsiaTheme="minorEastAsia" w:cstheme="minorEastAsia"/>
          <w:color w:val="auto"/>
          <w:sz w:val="21"/>
          <w:szCs w:val="21"/>
          <w:lang w:val="en-US" w:eastAsia="zh-CN"/>
        </w:rPr>
        <w:t>1</w:t>
      </w:r>
      <w:r>
        <w:rPr>
          <w:rFonts w:hint="eastAsia" w:asciiTheme="minorEastAsia" w:hAnsiTheme="minorEastAsia" w:eastAsiaTheme="minorEastAsia" w:cstheme="minorEastAsia"/>
          <w:color w:val="auto"/>
          <w:sz w:val="21"/>
          <w:szCs w:val="21"/>
        </w:rPr>
        <w:t>.1 成交通知书自成交结果公告发布之日签章。请</w:t>
      </w:r>
      <w:r>
        <w:rPr>
          <w:rFonts w:hint="eastAsia" w:asciiTheme="minorEastAsia" w:hAnsiTheme="minorEastAsia" w:eastAsiaTheme="minorEastAsia" w:cstheme="minorEastAsia"/>
          <w:color w:val="auto"/>
          <w:sz w:val="21"/>
          <w:szCs w:val="21"/>
          <w:lang w:eastAsia="zh-CN"/>
        </w:rPr>
        <w:t>中标人</w:t>
      </w:r>
      <w:r>
        <w:rPr>
          <w:rFonts w:hint="eastAsia" w:asciiTheme="minorEastAsia" w:hAnsiTheme="minorEastAsia" w:eastAsiaTheme="minorEastAsia" w:cstheme="minorEastAsia"/>
          <w:color w:val="auto"/>
          <w:sz w:val="21"/>
          <w:szCs w:val="21"/>
        </w:rPr>
        <w:t xml:space="preserve">在成交结果公告公示期满后的七个工作日内（节假日顺延）前来我公司办理成交通知书等相关事宜，逾期视为放弃成交资格、无正当理由不与招标人签订采购合同。 </w:t>
      </w:r>
    </w:p>
    <w:p w14:paraId="60E5441A">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w:t>
      </w:r>
      <w:r>
        <w:rPr>
          <w:rFonts w:hint="eastAsia" w:asciiTheme="minorEastAsia" w:hAnsiTheme="minorEastAsia" w:eastAsiaTheme="minorEastAsia" w:cstheme="minorEastAsia"/>
          <w:color w:val="auto"/>
          <w:sz w:val="21"/>
          <w:szCs w:val="21"/>
          <w:lang w:val="en-US" w:eastAsia="zh-CN"/>
        </w:rPr>
        <w:t>1</w:t>
      </w:r>
      <w:r>
        <w:rPr>
          <w:rFonts w:hint="eastAsia" w:asciiTheme="minorEastAsia" w:hAnsiTheme="minorEastAsia" w:eastAsiaTheme="minorEastAsia" w:cstheme="minorEastAsia"/>
          <w:color w:val="auto"/>
          <w:sz w:val="21"/>
          <w:szCs w:val="21"/>
        </w:rPr>
        <w:t xml:space="preserve">.2 </w:t>
      </w:r>
      <w:r>
        <w:rPr>
          <w:rFonts w:hint="eastAsia" w:asciiTheme="minorEastAsia" w:hAnsiTheme="minorEastAsia" w:eastAsiaTheme="minorEastAsia" w:cstheme="minorEastAsia"/>
          <w:color w:val="auto"/>
          <w:sz w:val="21"/>
          <w:szCs w:val="21"/>
          <w:lang w:eastAsia="zh-CN"/>
        </w:rPr>
        <w:t>中标人</w:t>
      </w:r>
      <w:r>
        <w:rPr>
          <w:rFonts w:hint="eastAsia" w:asciiTheme="minorEastAsia" w:hAnsiTheme="minorEastAsia" w:eastAsiaTheme="minorEastAsia" w:cstheme="minorEastAsia"/>
          <w:color w:val="auto"/>
          <w:sz w:val="21"/>
          <w:szCs w:val="21"/>
        </w:rPr>
        <w:t>在成交通知书发出后 30 日内与招标人签订合同。投标文件、</w:t>
      </w:r>
      <w:r>
        <w:rPr>
          <w:rFonts w:hint="eastAsia" w:asciiTheme="minorEastAsia" w:hAnsiTheme="minorEastAsia" w:eastAsiaTheme="minorEastAsia" w:cstheme="minorEastAsia"/>
          <w:color w:val="auto"/>
          <w:sz w:val="21"/>
          <w:szCs w:val="21"/>
          <w:lang w:eastAsia="zh-CN"/>
        </w:rPr>
        <w:t>中标人</w:t>
      </w:r>
      <w:r>
        <w:rPr>
          <w:rFonts w:hint="eastAsia" w:asciiTheme="minorEastAsia" w:hAnsiTheme="minorEastAsia" w:eastAsiaTheme="minorEastAsia" w:cstheme="minorEastAsia"/>
          <w:color w:val="auto"/>
          <w:sz w:val="21"/>
          <w:szCs w:val="21"/>
        </w:rPr>
        <w:t>的投标文件及澄清补充文件等，均作为合同的附件。招标人不得向</w:t>
      </w:r>
      <w:r>
        <w:rPr>
          <w:rFonts w:hint="eastAsia" w:asciiTheme="minorEastAsia" w:hAnsiTheme="minorEastAsia" w:eastAsiaTheme="minorEastAsia" w:cstheme="minorEastAsia"/>
          <w:color w:val="auto"/>
          <w:sz w:val="21"/>
          <w:szCs w:val="21"/>
          <w:lang w:eastAsia="zh-CN"/>
        </w:rPr>
        <w:t>中标人</w:t>
      </w:r>
      <w:r>
        <w:rPr>
          <w:rFonts w:hint="eastAsia" w:asciiTheme="minorEastAsia" w:hAnsiTheme="minorEastAsia" w:eastAsiaTheme="minorEastAsia" w:cstheme="minorEastAsia"/>
          <w:color w:val="auto"/>
          <w:sz w:val="21"/>
          <w:szCs w:val="21"/>
        </w:rPr>
        <w:t>提出超出招标文件以外的任何要求作为签订合同的条件，不得与</w:t>
      </w:r>
      <w:r>
        <w:rPr>
          <w:rFonts w:hint="eastAsia" w:asciiTheme="minorEastAsia" w:hAnsiTheme="minorEastAsia" w:eastAsiaTheme="minorEastAsia" w:cstheme="minorEastAsia"/>
          <w:color w:val="auto"/>
          <w:sz w:val="21"/>
          <w:szCs w:val="21"/>
          <w:lang w:eastAsia="zh-CN"/>
        </w:rPr>
        <w:t>中标人</w:t>
      </w:r>
      <w:r>
        <w:rPr>
          <w:rFonts w:hint="eastAsia" w:asciiTheme="minorEastAsia" w:hAnsiTheme="minorEastAsia" w:eastAsiaTheme="minorEastAsia" w:cstheme="minorEastAsia"/>
          <w:color w:val="auto"/>
          <w:sz w:val="21"/>
          <w:szCs w:val="21"/>
        </w:rPr>
        <w:t xml:space="preserve">订立背离招标文件确定的合同文本以及采购标的、规格型号、采购金额、采购数量、技术和服务要求等实质性内容的协议。 </w:t>
      </w:r>
    </w:p>
    <w:p w14:paraId="31235721">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w:t>
      </w:r>
      <w:r>
        <w:rPr>
          <w:rFonts w:hint="eastAsia" w:asciiTheme="minorEastAsia" w:hAnsiTheme="minorEastAsia" w:eastAsiaTheme="minorEastAsia" w:cstheme="minorEastAsia"/>
          <w:color w:val="auto"/>
          <w:sz w:val="21"/>
          <w:szCs w:val="21"/>
          <w:lang w:val="en-US" w:eastAsia="zh-CN"/>
        </w:rPr>
        <w:t>1</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lang w:val="en-US" w:eastAsia="zh-CN"/>
        </w:rPr>
        <w:t>3</w:t>
      </w:r>
      <w:r>
        <w:rPr>
          <w:rFonts w:hint="eastAsia" w:asciiTheme="minorEastAsia" w:hAnsiTheme="minorEastAsia" w:eastAsiaTheme="minorEastAsia" w:cstheme="minorEastAsia"/>
          <w:color w:val="auto"/>
          <w:sz w:val="21"/>
          <w:szCs w:val="21"/>
        </w:rPr>
        <w:t xml:space="preserve"> </w:t>
      </w:r>
      <w:r>
        <w:rPr>
          <w:rFonts w:hint="eastAsia" w:asciiTheme="minorEastAsia" w:hAnsiTheme="minorEastAsia" w:eastAsiaTheme="minorEastAsia" w:cstheme="minorEastAsia"/>
          <w:color w:val="auto"/>
          <w:sz w:val="21"/>
          <w:szCs w:val="21"/>
          <w:lang w:eastAsia="zh-CN"/>
        </w:rPr>
        <w:t>中标人</w:t>
      </w:r>
      <w:r>
        <w:rPr>
          <w:rFonts w:hint="eastAsia" w:asciiTheme="minorEastAsia" w:hAnsiTheme="minorEastAsia" w:eastAsiaTheme="minorEastAsia" w:cstheme="minorEastAsia"/>
          <w:color w:val="auto"/>
          <w:sz w:val="21"/>
          <w:szCs w:val="21"/>
        </w:rPr>
        <w:t>与采购单位签订合同的内容不得改变招标文件及最终成交</w:t>
      </w:r>
    </w:p>
    <w:p w14:paraId="1A5F583C">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投标人</w:t>
      </w:r>
      <w:r>
        <w:rPr>
          <w:rFonts w:hint="eastAsia" w:asciiTheme="minorEastAsia" w:hAnsiTheme="minorEastAsia" w:eastAsiaTheme="minorEastAsia" w:cstheme="minorEastAsia"/>
          <w:color w:val="auto"/>
          <w:sz w:val="21"/>
          <w:szCs w:val="21"/>
        </w:rPr>
        <w:t>提交的投标文件中的主要条款和实质性内容。</w:t>
      </w:r>
      <w:r>
        <w:rPr>
          <w:rFonts w:hint="eastAsia" w:asciiTheme="minorEastAsia" w:hAnsiTheme="minorEastAsia" w:eastAsiaTheme="minorEastAsia" w:cstheme="minorEastAsia"/>
          <w:color w:val="auto"/>
          <w:sz w:val="21"/>
          <w:szCs w:val="21"/>
          <w:lang w:eastAsia="zh-CN"/>
        </w:rPr>
        <w:t>中标人</w:t>
      </w:r>
      <w:r>
        <w:rPr>
          <w:rFonts w:hint="eastAsia" w:asciiTheme="minorEastAsia" w:hAnsiTheme="minorEastAsia" w:eastAsiaTheme="minorEastAsia" w:cstheme="minorEastAsia"/>
          <w:color w:val="auto"/>
          <w:sz w:val="21"/>
          <w:szCs w:val="21"/>
        </w:rPr>
        <w:t xml:space="preserve">不得将采购合同向他人转包，也不得将合同分包后分别向他人转让。 </w:t>
      </w:r>
    </w:p>
    <w:p w14:paraId="6DE71403">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w:t>
      </w:r>
      <w:r>
        <w:rPr>
          <w:rFonts w:hint="eastAsia" w:asciiTheme="minorEastAsia" w:hAnsiTheme="minorEastAsia" w:eastAsiaTheme="minorEastAsia" w:cstheme="minorEastAsia"/>
          <w:color w:val="auto"/>
          <w:sz w:val="21"/>
          <w:szCs w:val="21"/>
          <w:lang w:val="en-US" w:eastAsia="zh-CN"/>
        </w:rPr>
        <w:t>1</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lang w:val="en-US" w:eastAsia="zh-CN"/>
        </w:rPr>
        <w:t>4</w:t>
      </w:r>
      <w:r>
        <w:rPr>
          <w:rFonts w:hint="eastAsia" w:asciiTheme="minorEastAsia" w:hAnsiTheme="minorEastAsia" w:eastAsiaTheme="minorEastAsia" w:cstheme="minorEastAsia"/>
          <w:color w:val="auto"/>
          <w:sz w:val="21"/>
          <w:szCs w:val="21"/>
        </w:rPr>
        <w:t xml:space="preserve"> </w:t>
      </w:r>
      <w:r>
        <w:rPr>
          <w:rFonts w:hint="eastAsia" w:asciiTheme="minorEastAsia" w:hAnsiTheme="minorEastAsia" w:eastAsiaTheme="minorEastAsia" w:cstheme="minorEastAsia"/>
          <w:color w:val="auto"/>
          <w:sz w:val="21"/>
          <w:szCs w:val="21"/>
          <w:lang w:eastAsia="zh-CN"/>
        </w:rPr>
        <w:t>中标人</w:t>
      </w:r>
      <w:r>
        <w:rPr>
          <w:rFonts w:hint="eastAsia" w:asciiTheme="minorEastAsia" w:hAnsiTheme="minorEastAsia" w:eastAsiaTheme="minorEastAsia" w:cstheme="minorEastAsia"/>
          <w:color w:val="auto"/>
          <w:sz w:val="21"/>
          <w:szCs w:val="21"/>
        </w:rPr>
        <w:t>因不可抗力或者自身原因不能在规定的时间内与招标人签订合同或放弃成交资格、拒绝与招标人签订采购合同的，按照评审报告推荐的成交候选人名单排序，确定下一成交候选人为本项目</w:t>
      </w:r>
      <w:r>
        <w:rPr>
          <w:rFonts w:hint="eastAsia" w:asciiTheme="minorEastAsia" w:hAnsiTheme="minorEastAsia" w:eastAsiaTheme="minorEastAsia" w:cstheme="minorEastAsia"/>
          <w:color w:val="auto"/>
          <w:sz w:val="21"/>
          <w:szCs w:val="21"/>
          <w:lang w:eastAsia="zh-CN"/>
        </w:rPr>
        <w:t>中标人</w:t>
      </w:r>
      <w:r>
        <w:rPr>
          <w:rFonts w:hint="eastAsia" w:asciiTheme="minorEastAsia" w:hAnsiTheme="minorEastAsia" w:eastAsiaTheme="minorEastAsia" w:cstheme="minorEastAsia"/>
          <w:color w:val="auto"/>
          <w:sz w:val="21"/>
          <w:szCs w:val="21"/>
        </w:rPr>
        <w:t>，以此类推（如根据采购需求确定</w:t>
      </w:r>
      <w:r>
        <w:rPr>
          <w:rFonts w:hint="eastAsia" w:asciiTheme="minorEastAsia" w:hAnsiTheme="minorEastAsia" w:eastAsiaTheme="minorEastAsia" w:cstheme="minorEastAsia"/>
          <w:color w:val="auto"/>
          <w:sz w:val="21"/>
          <w:szCs w:val="21"/>
          <w:lang w:eastAsia="zh-CN"/>
        </w:rPr>
        <w:t>中标人</w:t>
      </w:r>
      <w:r>
        <w:rPr>
          <w:rFonts w:hint="eastAsia" w:asciiTheme="minorEastAsia" w:hAnsiTheme="minorEastAsia" w:eastAsiaTheme="minorEastAsia" w:cstheme="minorEastAsia"/>
          <w:color w:val="auto"/>
          <w:sz w:val="21"/>
          <w:szCs w:val="21"/>
        </w:rPr>
        <w:t>为 2 名及以上的，则依次顺位往前递补）也可以重新开展采购活动，拒绝签订采购合同的</w:t>
      </w:r>
      <w:r>
        <w:rPr>
          <w:rFonts w:hint="eastAsia" w:asciiTheme="minorEastAsia" w:hAnsiTheme="minorEastAsia" w:eastAsiaTheme="minorEastAsia" w:cstheme="minorEastAsia"/>
          <w:color w:val="auto"/>
          <w:sz w:val="21"/>
          <w:szCs w:val="21"/>
          <w:lang w:eastAsia="zh-CN"/>
        </w:rPr>
        <w:t>中标人</w:t>
      </w:r>
      <w:r>
        <w:rPr>
          <w:rFonts w:hint="eastAsia" w:asciiTheme="minorEastAsia" w:hAnsiTheme="minorEastAsia" w:eastAsiaTheme="minorEastAsia" w:cstheme="minorEastAsia"/>
          <w:color w:val="auto"/>
          <w:sz w:val="21"/>
          <w:szCs w:val="21"/>
        </w:rPr>
        <w:t>不得参加对该项目重新开展的采购活动。除因不可抗力或投标文件认可的情形以外，</w:t>
      </w:r>
      <w:r>
        <w:rPr>
          <w:rFonts w:hint="eastAsia" w:asciiTheme="minorEastAsia" w:hAnsiTheme="minorEastAsia" w:eastAsiaTheme="minorEastAsia" w:cstheme="minorEastAsia"/>
          <w:color w:val="auto"/>
          <w:sz w:val="21"/>
          <w:szCs w:val="21"/>
          <w:lang w:eastAsia="zh-CN"/>
        </w:rPr>
        <w:t>中标人</w:t>
      </w:r>
      <w:r>
        <w:rPr>
          <w:rFonts w:hint="eastAsia" w:asciiTheme="minorEastAsia" w:hAnsiTheme="minorEastAsia" w:eastAsiaTheme="minorEastAsia" w:cstheme="minorEastAsia"/>
          <w:color w:val="auto"/>
          <w:sz w:val="21"/>
          <w:szCs w:val="21"/>
        </w:rPr>
        <w:t xml:space="preserve">不与招标人签订合同的，应当承担相应的法律责任。 </w:t>
      </w:r>
    </w:p>
    <w:p w14:paraId="5730CC21">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w:t>
      </w:r>
      <w:r>
        <w:rPr>
          <w:rFonts w:hint="eastAsia" w:asciiTheme="minorEastAsia" w:hAnsiTheme="minorEastAsia" w:eastAsiaTheme="minorEastAsia" w:cstheme="minorEastAsia"/>
          <w:color w:val="auto"/>
          <w:sz w:val="21"/>
          <w:szCs w:val="21"/>
          <w:lang w:val="en-US" w:eastAsia="zh-CN"/>
        </w:rPr>
        <w:t>1</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lang w:val="en-US" w:eastAsia="zh-CN"/>
        </w:rPr>
        <w:t>5</w:t>
      </w:r>
      <w:r>
        <w:rPr>
          <w:rFonts w:hint="eastAsia" w:asciiTheme="minorEastAsia" w:hAnsiTheme="minorEastAsia" w:eastAsiaTheme="minorEastAsia" w:cstheme="minorEastAsia"/>
          <w:color w:val="auto"/>
          <w:sz w:val="21"/>
          <w:szCs w:val="21"/>
        </w:rPr>
        <w:t xml:space="preserve"> 对于成交后放弃成交资格、无正当理由拒不与招标人签订采购合同的，将根据政府采购法实施条例第七十二条以及政府采购法第七十七条第一款的规定追究法律责任。 </w:t>
      </w:r>
    </w:p>
    <w:p w14:paraId="25A7B1A0">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w:t>
      </w:r>
      <w:r>
        <w:rPr>
          <w:rFonts w:hint="eastAsia" w:asciiTheme="minorEastAsia" w:hAnsiTheme="minorEastAsia" w:eastAsiaTheme="minorEastAsia" w:cstheme="minorEastAsia"/>
          <w:color w:val="auto"/>
          <w:sz w:val="21"/>
          <w:szCs w:val="21"/>
          <w:lang w:val="en-US" w:eastAsia="zh-CN"/>
        </w:rPr>
        <w:t>1</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lang w:val="en-US" w:eastAsia="zh-CN"/>
        </w:rPr>
        <w:t>6</w:t>
      </w:r>
      <w:r>
        <w:rPr>
          <w:rFonts w:hint="eastAsia" w:asciiTheme="minorEastAsia" w:hAnsiTheme="minorEastAsia" w:eastAsiaTheme="minorEastAsia" w:cstheme="minorEastAsia"/>
          <w:color w:val="auto"/>
          <w:sz w:val="21"/>
          <w:szCs w:val="21"/>
        </w:rPr>
        <w:t xml:space="preserve"> 招标人应当按照采购合同规定的技术、服务、安全标准组织对</w:t>
      </w:r>
      <w:r>
        <w:rPr>
          <w:rFonts w:hint="eastAsia" w:asciiTheme="minorEastAsia" w:hAnsiTheme="minorEastAsia" w:eastAsiaTheme="minorEastAsia" w:cstheme="minorEastAsia"/>
          <w:color w:val="auto"/>
          <w:sz w:val="21"/>
          <w:szCs w:val="21"/>
          <w:lang w:eastAsia="zh-CN"/>
        </w:rPr>
        <w:t>投标人</w:t>
      </w:r>
      <w:r>
        <w:rPr>
          <w:rFonts w:hint="eastAsia" w:asciiTheme="minorEastAsia" w:hAnsiTheme="minorEastAsia" w:eastAsiaTheme="minorEastAsia" w:cstheme="minorEastAsia"/>
          <w:color w:val="auto"/>
          <w:sz w:val="21"/>
          <w:szCs w:val="21"/>
        </w:rPr>
        <w:t xml:space="preserve">履约情况进行验收，并出具验收书。验收书应当包括每一项技术、服务、安全标准的履约情况。 </w:t>
      </w:r>
    </w:p>
    <w:p w14:paraId="011AED17">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22</w:t>
      </w:r>
      <w:r>
        <w:rPr>
          <w:rFonts w:hint="eastAsia" w:asciiTheme="minorEastAsia" w:hAnsiTheme="minorEastAsia" w:eastAsiaTheme="minorEastAsia" w:cstheme="minorEastAsia"/>
          <w:color w:val="auto"/>
          <w:sz w:val="21"/>
          <w:szCs w:val="21"/>
        </w:rPr>
        <w:t>、履约保证金：无</w:t>
      </w:r>
    </w:p>
    <w:p w14:paraId="67D40681">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color w:val="auto"/>
          <w:sz w:val="21"/>
          <w:szCs w:val="21"/>
        </w:rPr>
      </w:pPr>
    </w:p>
    <w:p w14:paraId="21288330">
      <w:pPr>
        <w:pStyle w:val="4"/>
        <w:bidi w:val="0"/>
        <w:rPr>
          <w:rFonts w:hint="eastAsia"/>
          <w:color w:val="auto"/>
        </w:rPr>
      </w:pPr>
      <w:r>
        <w:rPr>
          <w:rFonts w:hint="eastAsia"/>
          <w:color w:val="auto"/>
        </w:rPr>
        <w:t>（七）其他</w:t>
      </w:r>
    </w:p>
    <w:p w14:paraId="63AC92F6">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color w:val="auto"/>
          <w:sz w:val="21"/>
          <w:szCs w:val="21"/>
        </w:rPr>
        <w:sectPr>
          <w:footerReference r:id="rId5" w:type="default"/>
          <w:pgSz w:w="11906" w:h="16838"/>
          <w:pgMar w:top="1440" w:right="1800" w:bottom="1440" w:left="1800" w:header="1134" w:footer="1134" w:gutter="0"/>
          <w:pgNumType w:fmt="decimal"/>
          <w:cols w:space="720" w:num="1"/>
          <w:docGrid w:type="lines" w:linePitch="326" w:charSpace="0"/>
        </w:sectPr>
      </w:pPr>
      <w:r>
        <w:rPr>
          <w:rFonts w:hint="eastAsia" w:asciiTheme="minorEastAsia" w:hAnsiTheme="minorEastAsia" w:eastAsiaTheme="minorEastAsia" w:cstheme="minorEastAsia"/>
          <w:color w:val="auto"/>
          <w:sz w:val="21"/>
          <w:szCs w:val="21"/>
        </w:rPr>
        <w:t>本文件未尽事宜按《中华人民共和国政府采购法》、《中华人民共和国政府采购法实施条例》等相关法律、法规、部门规章、行政规范性文件的规定执行。</w:t>
      </w:r>
    </w:p>
    <w:p w14:paraId="0B77E54F">
      <w:pPr>
        <w:pStyle w:val="2"/>
        <w:bidi w:val="0"/>
        <w:rPr>
          <w:rFonts w:hint="eastAsia"/>
          <w:color w:val="auto"/>
          <w:lang w:val="en-US" w:eastAsia="zh-CN"/>
        </w:rPr>
      </w:pPr>
      <w:bookmarkStart w:id="17" w:name="_Toc12238"/>
      <w:bookmarkStart w:id="18" w:name="_Toc23818"/>
      <w:r>
        <w:rPr>
          <w:rFonts w:hint="eastAsia"/>
          <w:color w:val="auto"/>
          <w:lang w:val="zh-CN" w:eastAsia="zh-CN"/>
        </w:rPr>
        <w:t>第三章</w:t>
      </w:r>
      <w:r>
        <w:rPr>
          <w:rFonts w:hint="eastAsia"/>
          <w:color w:val="auto"/>
          <w:lang w:val="zh-CN"/>
        </w:rPr>
        <w:t xml:space="preserve">  </w:t>
      </w:r>
      <w:bookmarkStart w:id="19" w:name="_Toc12111"/>
      <w:r>
        <w:rPr>
          <w:rFonts w:hint="eastAsia"/>
          <w:color w:val="auto"/>
          <w:lang w:val="en-US" w:eastAsia="zh-CN"/>
        </w:rPr>
        <w:t>采购需求</w:t>
      </w:r>
      <w:bookmarkEnd w:id="17"/>
      <w:bookmarkEnd w:id="18"/>
      <w:bookmarkEnd w:id="19"/>
    </w:p>
    <w:p w14:paraId="0A322BF2">
      <w:pPr>
        <w:pageBreakBefore w:val="0"/>
        <w:widowControl w:val="0"/>
        <w:kinsoku/>
        <w:wordWrap/>
        <w:overflowPunct/>
        <w:autoSpaceDE/>
        <w:autoSpaceDN/>
        <w:bidi w:val="0"/>
        <w:adjustRightInd/>
        <w:snapToGrid/>
        <w:spacing w:line="360" w:lineRule="auto"/>
        <w:jc w:val="left"/>
        <w:textAlignment w:val="auto"/>
        <w:rPr>
          <w:rFonts w:hint="eastAsia" w:ascii="Calibri" w:hAnsi="Calibri" w:eastAsia="宋体" w:cs="Times New Roman"/>
          <w:b/>
          <w:bCs w:val="0"/>
          <w:color w:val="auto"/>
          <w:kern w:val="44"/>
          <w:sz w:val="24"/>
          <w:szCs w:val="24"/>
          <w:lang w:val="en-US" w:eastAsia="zh-CN" w:bidi="ar-SA"/>
        </w:rPr>
      </w:pPr>
      <w:r>
        <w:rPr>
          <w:rFonts w:hint="eastAsia" w:ascii="Calibri" w:hAnsi="Calibri" w:eastAsia="宋体" w:cs="Times New Roman"/>
          <w:b/>
          <w:bCs w:val="0"/>
          <w:color w:val="auto"/>
          <w:kern w:val="44"/>
          <w:sz w:val="24"/>
          <w:szCs w:val="24"/>
          <w:lang w:val="en-US" w:eastAsia="zh-CN" w:bidi="ar-SA"/>
        </w:rPr>
        <w:t>一、项目概况：</w:t>
      </w:r>
    </w:p>
    <w:p w14:paraId="6405B256">
      <w:pPr>
        <w:pageBreakBefore w:val="0"/>
        <w:widowControl w:val="0"/>
        <w:numPr>
          <w:ilvl w:val="0"/>
          <w:numId w:val="0"/>
        </w:numPr>
        <w:kinsoku/>
        <w:wordWrap/>
        <w:overflowPunct/>
        <w:autoSpaceDE/>
        <w:autoSpaceDN/>
        <w:bidi w:val="0"/>
        <w:adjustRightInd/>
        <w:snapToGrid/>
        <w:spacing w:line="360" w:lineRule="auto"/>
        <w:ind w:firstLine="480" w:firstLineChars="200"/>
        <w:jc w:val="both"/>
        <w:textAlignment w:val="auto"/>
        <w:rPr>
          <w:rFonts w:hint="eastAsia" w:ascii="Calibri" w:hAnsi="Calibri" w:eastAsia="宋体" w:cs="Times New Roman"/>
          <w:b w:val="0"/>
          <w:bCs/>
          <w:color w:val="auto"/>
          <w:kern w:val="44"/>
          <w:sz w:val="24"/>
          <w:szCs w:val="24"/>
          <w:lang w:val="en-US" w:eastAsia="zh-CN" w:bidi="ar-SA"/>
        </w:rPr>
      </w:pPr>
      <w:r>
        <w:rPr>
          <w:rFonts w:hint="eastAsia" w:ascii="Calibri" w:hAnsi="Calibri" w:eastAsia="宋体" w:cs="Times New Roman"/>
          <w:b w:val="0"/>
          <w:bCs/>
          <w:color w:val="auto"/>
          <w:kern w:val="44"/>
          <w:sz w:val="24"/>
          <w:szCs w:val="24"/>
          <w:lang w:val="en-US" w:eastAsia="zh-CN" w:bidi="ar-SA"/>
        </w:rPr>
        <w:t>1、项目名称：</w:t>
      </w:r>
      <w:r>
        <w:rPr>
          <w:rFonts w:hint="eastAsia" w:ascii="Calibri" w:hAnsi="Calibri" w:cs="Times New Roman"/>
          <w:b w:val="0"/>
          <w:bCs/>
          <w:color w:val="auto"/>
          <w:kern w:val="44"/>
          <w:sz w:val="24"/>
          <w:szCs w:val="24"/>
          <w:lang w:val="en-US" w:eastAsia="zh-CN" w:bidi="ar-SA"/>
        </w:rPr>
        <w:t>大冶市东风路街道观山社区粮库以北建设美食城安装800KW变压器开户设备</w:t>
      </w:r>
    </w:p>
    <w:p w14:paraId="3BDD1FA3">
      <w:pPr>
        <w:pageBreakBefore w:val="0"/>
        <w:widowControl w:val="0"/>
        <w:kinsoku/>
        <w:wordWrap/>
        <w:overflowPunct/>
        <w:autoSpaceDE/>
        <w:autoSpaceDN/>
        <w:bidi w:val="0"/>
        <w:adjustRightInd/>
        <w:snapToGrid/>
        <w:spacing w:line="360" w:lineRule="auto"/>
        <w:ind w:firstLine="480" w:firstLineChars="200"/>
        <w:jc w:val="both"/>
        <w:textAlignment w:val="auto"/>
        <w:rPr>
          <w:rFonts w:hint="default" w:ascii="Calibri" w:hAnsi="Calibri" w:eastAsia="宋体" w:cs="Times New Roman"/>
          <w:b w:val="0"/>
          <w:bCs/>
          <w:color w:val="auto"/>
          <w:kern w:val="44"/>
          <w:sz w:val="24"/>
          <w:szCs w:val="24"/>
          <w:highlight w:val="none"/>
          <w:lang w:val="en-US" w:eastAsia="zh-CN" w:bidi="ar-SA"/>
        </w:rPr>
      </w:pPr>
      <w:r>
        <w:rPr>
          <w:rFonts w:hint="eastAsia" w:ascii="Calibri" w:hAnsi="Calibri" w:eastAsia="宋体" w:cs="Times New Roman"/>
          <w:b w:val="0"/>
          <w:bCs/>
          <w:color w:val="auto"/>
          <w:kern w:val="44"/>
          <w:sz w:val="24"/>
          <w:szCs w:val="24"/>
          <w:highlight w:val="none"/>
          <w:lang w:val="en-US" w:eastAsia="zh-CN" w:bidi="ar-SA"/>
        </w:rPr>
        <w:t>2、项目最高限价：</w:t>
      </w:r>
      <w:r>
        <w:rPr>
          <w:rFonts w:hint="eastAsia" w:ascii="Calibri" w:hAnsi="Calibri" w:cs="Times New Roman"/>
          <w:b w:val="0"/>
          <w:bCs/>
          <w:color w:val="auto"/>
          <w:kern w:val="44"/>
          <w:sz w:val="24"/>
          <w:szCs w:val="24"/>
          <w:highlight w:val="none"/>
          <w:lang w:val="en-US" w:eastAsia="zh-CN" w:bidi="ar-SA"/>
        </w:rPr>
        <w:t>¥547293.50</w:t>
      </w:r>
      <w:r>
        <w:rPr>
          <w:rFonts w:hint="eastAsia" w:ascii="Calibri" w:hAnsi="Calibri" w:eastAsia="宋体" w:cs="Times New Roman"/>
          <w:b w:val="0"/>
          <w:bCs/>
          <w:color w:val="auto"/>
          <w:kern w:val="44"/>
          <w:sz w:val="24"/>
          <w:szCs w:val="24"/>
          <w:highlight w:val="none"/>
          <w:lang w:val="en-US" w:eastAsia="zh-CN" w:bidi="ar-SA"/>
        </w:rPr>
        <w:t>元</w:t>
      </w:r>
    </w:p>
    <w:p w14:paraId="03E26F7A">
      <w:pPr>
        <w:pageBreakBefore w:val="0"/>
        <w:widowControl w:val="0"/>
        <w:numPr>
          <w:ilvl w:val="0"/>
          <w:numId w:val="0"/>
        </w:numPr>
        <w:kinsoku/>
        <w:wordWrap/>
        <w:overflowPunct/>
        <w:autoSpaceDE/>
        <w:autoSpaceDN/>
        <w:bidi w:val="0"/>
        <w:adjustRightInd/>
        <w:snapToGrid/>
        <w:spacing w:line="360" w:lineRule="auto"/>
        <w:ind w:firstLine="480" w:firstLineChars="200"/>
        <w:jc w:val="both"/>
        <w:textAlignment w:val="auto"/>
        <w:rPr>
          <w:rFonts w:hint="eastAsia" w:ascii="Calibri" w:hAnsi="Calibri" w:eastAsia="宋体" w:cs="Times New Roman"/>
          <w:b w:val="0"/>
          <w:bCs/>
          <w:color w:val="auto"/>
          <w:kern w:val="44"/>
          <w:sz w:val="24"/>
          <w:szCs w:val="24"/>
          <w:highlight w:val="none"/>
          <w:lang w:val="en-US" w:eastAsia="zh-CN" w:bidi="ar-SA"/>
        </w:rPr>
      </w:pPr>
      <w:r>
        <w:rPr>
          <w:rFonts w:hint="eastAsia" w:ascii="Calibri" w:hAnsi="Calibri" w:eastAsia="宋体" w:cs="Times New Roman"/>
          <w:b w:val="0"/>
          <w:bCs/>
          <w:color w:val="auto"/>
          <w:kern w:val="44"/>
          <w:sz w:val="24"/>
          <w:szCs w:val="24"/>
          <w:lang w:val="en-US" w:eastAsia="zh-CN" w:bidi="ar-SA"/>
        </w:rPr>
        <w:t>3、</w:t>
      </w:r>
      <w:r>
        <w:rPr>
          <w:rFonts w:hint="eastAsia" w:ascii="Calibri" w:hAnsi="Calibri" w:eastAsia="宋体" w:cs="Times New Roman"/>
          <w:b w:val="0"/>
          <w:bCs/>
          <w:color w:val="auto"/>
          <w:kern w:val="44"/>
          <w:sz w:val="24"/>
          <w:szCs w:val="24"/>
          <w:highlight w:val="none"/>
          <w:lang w:val="en-US" w:eastAsia="zh-CN" w:bidi="ar-SA"/>
        </w:rPr>
        <w:t>采购方式：公开招标</w:t>
      </w:r>
    </w:p>
    <w:p w14:paraId="534FCBB5">
      <w:pPr>
        <w:pStyle w:val="18"/>
        <w:ind w:left="0" w:leftChars="0" w:firstLine="0" w:firstLineChars="0"/>
        <w:rPr>
          <w:rFonts w:hint="default"/>
          <w:b/>
          <w:bCs w:val="0"/>
          <w:color w:val="auto"/>
          <w:lang w:val="en-US" w:eastAsia="zh-CN"/>
        </w:rPr>
      </w:pPr>
      <w:r>
        <w:rPr>
          <w:rFonts w:hint="eastAsia" w:ascii="Calibri" w:hAnsi="Calibri" w:cs="Times New Roman"/>
          <w:b/>
          <w:bCs w:val="0"/>
          <w:color w:val="auto"/>
          <w:kern w:val="44"/>
          <w:sz w:val="24"/>
          <w:szCs w:val="24"/>
          <w:highlight w:val="none"/>
          <w:lang w:val="en-US" w:eastAsia="zh-CN" w:bidi="ar-SA"/>
        </w:rPr>
        <w:t>二、采购清单</w:t>
      </w:r>
    </w:p>
    <w:tbl>
      <w:tblPr>
        <w:tblStyle w:val="15"/>
        <w:tblW w:w="95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25"/>
        <w:gridCol w:w="2145"/>
        <w:gridCol w:w="5325"/>
        <w:gridCol w:w="1080"/>
        <w:gridCol w:w="465"/>
      </w:tblGrid>
      <w:tr w14:paraId="6B70B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B4C4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序号</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D275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采购项目名称</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F453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采购内容要求</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DAED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数量</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DA0E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计量</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单位</w:t>
            </w:r>
          </w:p>
        </w:tc>
      </w:tr>
      <w:tr w14:paraId="34857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D8CE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5022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预装式变电站</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D6568">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1.名称:欧式箱式变电站</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2.型号:S11-M-800kVA 10kV部分：1进1计1馈 0.4kV部分：1进1电容1出线</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3.容量(kV·A):800kVA</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CE66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C81C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r>
      <w:tr w14:paraId="15EAD0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5E8D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3D7F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组合成套箱式变电站系统</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9FFD6">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1.名称:欧式箱式变电站</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2.电压(kV):10kV</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3.变压器容(kV·A): S11-M-800kVA</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5DA8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CDE1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座</w:t>
            </w:r>
          </w:p>
        </w:tc>
      </w:tr>
      <w:tr w14:paraId="0215F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1E44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1A3C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互感器</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5668D">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1.名称:计量用低压电流互感器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03E2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B69B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r>
      <w:tr w14:paraId="37F13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9C03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76F1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电能表</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17C89">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1.名称：计量电度表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FEDD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8EBB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r>
      <w:tr w14:paraId="38E8E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E84A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8DA5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数据采集装置</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6E78F">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1.名称:负控装置</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2.功能:计量</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DD0E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5117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套</w:t>
            </w:r>
          </w:p>
        </w:tc>
      </w:tr>
      <w:tr w14:paraId="58D54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1F81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94F0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端子箱</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AAF71">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1.名称:端子盒</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2.型号:4/3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707E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EEB3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r>
      <w:tr w14:paraId="59E25E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CAD4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62FE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配线</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82912">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1.名称:盘内配线</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2.配线形式:2.5mm2 单股铜芯线（黄、绿、红、黑色）</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08ED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65EB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w:t>
            </w:r>
          </w:p>
        </w:tc>
      </w:tr>
      <w:tr w14:paraId="08A2D2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FF17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BE66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配线</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414AD">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1.名称:盘内配线</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2.配线形式:4mm2 单股铜芯线（黄、绿、红、黑色）</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75C0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ECDE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w:t>
            </w:r>
          </w:p>
        </w:tc>
      </w:tr>
      <w:tr w14:paraId="0E54F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5906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F867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配线</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3B178">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1.名称:盘内配线</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2.配线形式:TA铜芯护套线 BVR-2×4mm2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CFAD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6EC4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w:t>
            </w:r>
          </w:p>
        </w:tc>
      </w:tr>
      <w:tr w14:paraId="54D78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5BA9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FFC1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配线</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951DF">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1.名称:盘内配线</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2.配线形式:TV铜芯护套线 BVR-3×2.5mm2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B90A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3A8F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w:t>
            </w:r>
          </w:p>
        </w:tc>
      </w:tr>
      <w:tr w14:paraId="53842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F23D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11</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5586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配线</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6827E">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1.名称:盘内配线</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2.配线形式:485电缆 kVVP屏蔽电缆2×0.75mm2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A29F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F165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w:t>
            </w:r>
          </w:p>
        </w:tc>
      </w:tr>
      <w:tr w14:paraId="10C9D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775B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12</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8C4F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防火堵料(包)</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9C9DE">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1.名称:防火堵料</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2.材质:无机堵料</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3.防火要求:满足设计要求</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F91F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9258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kg</w:t>
            </w:r>
          </w:p>
        </w:tc>
      </w:tr>
      <w:tr w14:paraId="5F0310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3528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13</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BAAD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接地极</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11F8C">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1.名称:垂直接地装置</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2.材质:镀锌角钢</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3.规格:∠50×5  L=2500mm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C007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33DC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根</w:t>
            </w:r>
          </w:p>
        </w:tc>
      </w:tr>
      <w:tr w14:paraId="3A879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7AA7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14</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AB76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接地母线</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F758C">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1.名称:水平接地装置</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2.材质:镀锌扁钢</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3.规格:-50×5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8575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4114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w:t>
            </w:r>
          </w:p>
        </w:tc>
      </w:tr>
      <w:tr w14:paraId="7A2D7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3577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15</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A632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电力电缆</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E9854">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1.名称:高压电力电缆</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2.型号:电力电缆,AC10kV,YJV,150,3,22,ZC,无阻水</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3.材质:铜芯</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4.电压(kV):10kV</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5.敷设方式:排管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7F42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175</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7602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w:t>
            </w:r>
          </w:p>
        </w:tc>
      </w:tr>
      <w:tr w14:paraId="717DCB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496E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16</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12FE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电力电缆头</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3FD23">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1.名称:10kV电缆终端</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2.型号:3×150,户内终端,冷缩,铜</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3.电压(kV):10kV</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84DA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D79C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r>
      <w:tr w14:paraId="75870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77BE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17</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024F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电力电缆头</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77501">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1.名称:10kV电缆终端</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2.型号:3×150,户外终端,冷缩,铜</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3.电压(kV):10kV</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DC2D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C5D2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r>
      <w:tr w14:paraId="0AF39A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A3ED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18</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C805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防火堵料(包)</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77E87">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1.名称:防火堵料</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2.材质:有机堵料</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3.防火要求:满足设计要求</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F529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7F93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kg</w:t>
            </w:r>
          </w:p>
        </w:tc>
      </w:tr>
      <w:tr w14:paraId="0A26A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3341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19</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4C43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杆上设备</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36C83">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1.名称:穿刺接地线夹</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2.型号:JDKB10-240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AD8B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5132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组</w:t>
            </w:r>
          </w:p>
        </w:tc>
      </w:tr>
      <w:tr w14:paraId="1E19D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EF79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7E4F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导线</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E903F">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1.名称:10kV架空绝缘线</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2.型号:AC10kV,JKLYJ,70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0FA9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0.02</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BCC5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km</w:t>
            </w:r>
          </w:p>
        </w:tc>
      </w:tr>
      <w:tr w14:paraId="63B2E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0189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21</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5DE9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横担组装</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BE958">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1.名称:柱式绝缘子</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2.规格:R5ET105L</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3.电压等级(kV):10kV</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E0FC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DCEC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r>
      <w:tr w14:paraId="1E5A5D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293C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22</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5985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杆上设备</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AA025">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1.名称:户外交流隔离开关</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2.型号:GW9-10W/630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AA6F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DE36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组</w:t>
            </w:r>
          </w:p>
        </w:tc>
      </w:tr>
      <w:tr w14:paraId="4ECEC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B1CC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23</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779F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杆上设备</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D3422">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1.名称:交流避雷器</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2.型号:HY5WS-17/50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D60B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3278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组</w:t>
            </w:r>
          </w:p>
        </w:tc>
      </w:tr>
      <w:tr w14:paraId="1A43D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433B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24</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646E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杆上设备</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50AEC">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1.名称:10kV柱上永磁开关</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2.型号:12kV/630A户外，一二次融合开关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5D4B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E932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r>
      <w:tr w14:paraId="62F52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913A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25</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7C65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接线端子</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0E863">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1.名称:接线端子</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2.规格:CN2AU70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B257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24</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90F3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r>
      <w:tr w14:paraId="6ADE1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A723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26</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8214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电缆保护管</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FE196">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1.名称:电缆保护管</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2.材质:CPVC</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3.规格:110</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4.敷设方式:沿电杆敷设</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A391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ACB6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w:t>
            </w:r>
          </w:p>
        </w:tc>
      </w:tr>
      <w:tr w14:paraId="0A7561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A2E2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27</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8F88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支/吊架、基础型钢</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0EBDB">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1.名称:电缆杆铁附件</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2.材质:镀锌角钢</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3.单件支架质量:含隔离开关、断路器、避雷器、电缆头等支架（重量121.54kg）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4B5E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121.54</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888F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kg</w:t>
            </w:r>
          </w:p>
        </w:tc>
      </w:tr>
      <w:tr w14:paraId="59D454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B540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28</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A200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引下线</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7C77E">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1.名称:避雷器引线</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2.材质:JKTRYJ,35</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3.安装形式:避雷器接引线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643E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3DCF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w:t>
            </w:r>
          </w:p>
        </w:tc>
      </w:tr>
      <w:tr w14:paraId="402D8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7FD3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29</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A99C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电杆组立</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67B22">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1.名称:锥形水泥杆</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2.规格:非预应力,整根杆,12m,230mm,N</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85FE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6E2D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基</w:t>
            </w:r>
          </w:p>
        </w:tc>
      </w:tr>
      <w:tr w14:paraId="23769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D981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51E2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横担组装</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166E1">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1.名称:交流盘形悬式瓷绝缘子</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2.规格:U70B/146,255,320</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3.电压等级(kV):10kV</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4.金具品种规格:联结金具（球头、碗头、直角挂板、耐张绝缘线夹）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5C51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E2AD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片</w:t>
            </w:r>
          </w:p>
        </w:tc>
      </w:tr>
      <w:tr w14:paraId="3023B2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3B4E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31</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A6F5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横担组装</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779F2">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1.名称:耐张横担</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2.规格:B11,HD3-15/7508,φ205（用于φ190水泥杆）</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3.电压等级(kV):10kV</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D94E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3661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组</w:t>
            </w:r>
          </w:p>
        </w:tc>
      </w:tr>
      <w:tr w14:paraId="35483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8660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32</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1818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横担组装</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94C3E">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1.名称:耐张横担</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2.规格:B12,HD3-15/7508,φ245（用于φ230水泥杆）</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3.电压等级(kV):10kV</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AC78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941F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组</w:t>
            </w:r>
          </w:p>
        </w:tc>
      </w:tr>
      <w:tr w14:paraId="719D4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6F20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33</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B439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杆上设备</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0D4FC">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1.名称:电缆头绝缘罩</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16E8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6048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r>
      <w:tr w14:paraId="3C506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E8C9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34</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B0D5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杆上设备</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FB197">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1.名称:避雷器绝缘罩</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6A20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DDB7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r>
      <w:tr w14:paraId="6F10C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97E9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35</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4273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杆上设备</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84494">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1.名称:刀闸绝缘罩</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14CE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11D3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r>
      <w:tr w14:paraId="78D29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53AE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36</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5D67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杆上设备</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B1349">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1.名称:开关桩头绝缘罩</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F0F4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B455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r>
      <w:tr w14:paraId="12B90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154E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37</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44ED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接地极</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6873C">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1.名称:垂直接地装置</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2.材质:镀锌角钢</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3.规格:∠63×5×1500/6根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8B43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D2D9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根</w:t>
            </w:r>
          </w:p>
        </w:tc>
      </w:tr>
      <w:tr w14:paraId="647C4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51B8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38</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9511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接地母线</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3504F">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1.名称:水平接地装置</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2.材质:镀锌扁钢</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3.规格:-40×4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180D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36</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2C95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w:t>
            </w:r>
          </w:p>
        </w:tc>
      </w:tr>
      <w:tr w14:paraId="57A9D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74E8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39</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9E1C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警示桩、警示牌</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F2912">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1.类型:电缆标识桩</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30D4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B10A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r>
      <w:tr w14:paraId="51821C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BC64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40</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D38B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标识牌</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1702D">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1.名称:高压相序牌（1套3块A,B,C、含不锈钢支架、不锈钢螺栓）</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59E0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3AA1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块</w:t>
            </w:r>
          </w:p>
        </w:tc>
      </w:tr>
      <w:tr w14:paraId="23AC4C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54C8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41</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F960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标识牌</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5447D">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1.名称:杆号牌</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2F45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5E34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块</w:t>
            </w:r>
          </w:p>
        </w:tc>
      </w:tr>
      <w:tr w14:paraId="4582D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3FF4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42</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7991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带电作业</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31DC6">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1.10kV线路带电断、接引流线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41BF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D278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台班</w:t>
            </w:r>
          </w:p>
        </w:tc>
      </w:tr>
      <w:tr w14:paraId="133BE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5A80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43</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F731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电缆排管</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8074C">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1.规格:电缆排管</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2.材质:CPVC 电缆保护管 φ175</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3.排管排列形式:1*2</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4.垫层、基础材料品种、混凝土强度等级、厚度:C20混凝土100mm</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5.回填材料品种、规格:管道包封C20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47E8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140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00F5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w:t>
            </w:r>
          </w:p>
        </w:tc>
      </w:tr>
      <w:tr w14:paraId="0B3AD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91E0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44</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496B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砌筑井</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45372">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1.种类、规格:直线井</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2.垫层、基础材质及厚度:预拌混凝土 C20</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3.砌筑材料品种、规格、强度等级:标准砖</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4.盖板材质、规格:国网标识钢筋混凝土盖板</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5.井筒、井盖、井圈材质及规格:井尺寸1.2*1.0*1.05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F519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878E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座</w:t>
            </w:r>
          </w:p>
        </w:tc>
      </w:tr>
      <w:tr w14:paraId="0D793E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8529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45</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3CAF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设备基础</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C0399">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1.名称：箱变基础</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2.尺寸：详见图纸</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3.做法：砖混结构</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EF89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44A8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座</w:t>
            </w:r>
          </w:p>
        </w:tc>
      </w:tr>
      <w:tr w14:paraId="22DFD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38E7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46</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102C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电杆基础</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5D5BD">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1.混凝土种类:12、15m,无筋式电杆基础</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2.混凝土强度等级:C25混凝土</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3.基础类型:230*12m无筋电杆基础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B3DC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6739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座</w:t>
            </w:r>
          </w:p>
        </w:tc>
      </w:tr>
    </w:tbl>
    <w:p w14:paraId="7E4729BE">
      <w:pPr>
        <w:pStyle w:val="20"/>
        <w:rPr>
          <w:rFonts w:hint="default" w:ascii="Calibri" w:hAnsi="Calibri" w:eastAsia="宋体" w:cs="Times New Roman"/>
          <w:b/>
          <w:bCs w:val="0"/>
          <w:color w:val="auto"/>
          <w:kern w:val="44"/>
          <w:sz w:val="24"/>
          <w:szCs w:val="24"/>
          <w:lang w:val="en-US" w:eastAsia="zh-CN" w:bidi="ar-SA"/>
        </w:rPr>
      </w:pPr>
    </w:p>
    <w:p w14:paraId="101282EA">
      <w:pPr>
        <w:pageBreakBefore w:val="0"/>
        <w:widowControl w:val="0"/>
        <w:numPr>
          <w:ilvl w:val="0"/>
          <w:numId w:val="0"/>
        </w:numPr>
        <w:kinsoku/>
        <w:wordWrap/>
        <w:overflowPunct/>
        <w:autoSpaceDE/>
        <w:autoSpaceDN/>
        <w:bidi w:val="0"/>
        <w:adjustRightInd/>
        <w:snapToGrid/>
        <w:spacing w:line="360" w:lineRule="auto"/>
        <w:ind w:firstLine="482" w:firstLineChars="200"/>
        <w:jc w:val="both"/>
        <w:textAlignment w:val="auto"/>
        <w:rPr>
          <w:rFonts w:hint="default" w:ascii="Calibri" w:hAnsi="Calibri" w:eastAsia="宋体" w:cs="Times New Roman"/>
          <w:b/>
          <w:bCs w:val="0"/>
          <w:color w:val="auto"/>
          <w:kern w:val="44"/>
          <w:sz w:val="24"/>
          <w:szCs w:val="24"/>
          <w:lang w:val="en-US" w:eastAsia="zh-CN" w:bidi="ar-SA"/>
        </w:rPr>
      </w:pPr>
      <w:r>
        <w:rPr>
          <w:rFonts w:hint="eastAsia" w:ascii="Calibri" w:hAnsi="Calibri" w:cs="Times New Roman"/>
          <w:b/>
          <w:bCs w:val="0"/>
          <w:color w:val="auto"/>
          <w:kern w:val="44"/>
          <w:sz w:val="24"/>
          <w:szCs w:val="24"/>
          <w:lang w:val="en-US" w:eastAsia="zh-CN" w:bidi="ar-SA"/>
        </w:rPr>
        <w:t>三</w:t>
      </w:r>
      <w:r>
        <w:rPr>
          <w:rFonts w:hint="eastAsia" w:ascii="Calibri" w:hAnsi="Calibri" w:eastAsia="宋体" w:cs="Times New Roman"/>
          <w:b/>
          <w:bCs w:val="0"/>
          <w:color w:val="auto"/>
          <w:kern w:val="44"/>
          <w:sz w:val="24"/>
          <w:szCs w:val="24"/>
          <w:lang w:val="en-US" w:eastAsia="zh-CN" w:bidi="ar-SA"/>
        </w:rPr>
        <w:t>、</w:t>
      </w:r>
      <w:r>
        <w:rPr>
          <w:rFonts w:hint="default" w:ascii="Calibri" w:hAnsi="Calibri" w:eastAsia="宋体" w:cs="Times New Roman"/>
          <w:b/>
          <w:bCs w:val="0"/>
          <w:color w:val="auto"/>
          <w:kern w:val="44"/>
          <w:sz w:val="24"/>
          <w:szCs w:val="24"/>
          <w:lang w:val="en-US" w:eastAsia="zh-CN" w:bidi="ar-SA"/>
        </w:rPr>
        <w:t>商务要求</w:t>
      </w:r>
    </w:p>
    <w:p w14:paraId="6D3A9F8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Calibri" w:hAnsi="Calibri" w:eastAsia="宋体" w:cs="Times New Roman"/>
          <w:b w:val="0"/>
          <w:bCs/>
          <w:color w:val="auto"/>
          <w:kern w:val="44"/>
          <w:sz w:val="24"/>
          <w:szCs w:val="24"/>
          <w:lang w:val="en-US" w:eastAsia="zh-CN" w:bidi="ar-SA"/>
        </w:rPr>
      </w:pPr>
      <w:r>
        <w:rPr>
          <w:rFonts w:hint="default" w:ascii="Calibri" w:hAnsi="Calibri" w:eastAsia="宋体" w:cs="Times New Roman"/>
          <w:b w:val="0"/>
          <w:bCs/>
          <w:color w:val="auto"/>
          <w:kern w:val="44"/>
          <w:sz w:val="24"/>
          <w:szCs w:val="24"/>
          <w:lang w:val="en-US" w:eastAsia="zh-CN" w:bidi="ar-SA"/>
        </w:rPr>
        <w:t>1.交货地点：</w:t>
      </w:r>
      <w:r>
        <w:rPr>
          <w:rFonts w:hint="eastAsia" w:ascii="Calibri" w:hAnsi="Calibri" w:eastAsia="宋体" w:cs="Times New Roman"/>
          <w:b w:val="0"/>
          <w:bCs/>
          <w:color w:val="auto"/>
          <w:kern w:val="44"/>
          <w:sz w:val="24"/>
          <w:szCs w:val="24"/>
          <w:lang w:val="en-US" w:eastAsia="zh-CN" w:bidi="ar-SA"/>
        </w:rPr>
        <w:t>招标人</w:t>
      </w:r>
      <w:r>
        <w:rPr>
          <w:rFonts w:hint="default" w:ascii="Calibri" w:hAnsi="Calibri" w:eastAsia="宋体" w:cs="Times New Roman"/>
          <w:b w:val="0"/>
          <w:bCs/>
          <w:color w:val="auto"/>
          <w:kern w:val="44"/>
          <w:sz w:val="24"/>
          <w:szCs w:val="24"/>
          <w:lang w:val="en-US" w:eastAsia="zh-CN" w:bidi="ar-SA"/>
        </w:rPr>
        <w:t>指定地点</w:t>
      </w:r>
    </w:p>
    <w:p w14:paraId="134FD11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Calibri" w:hAnsi="Calibri" w:eastAsia="宋体" w:cs="Times New Roman"/>
          <w:b w:val="0"/>
          <w:bCs/>
          <w:color w:val="auto"/>
          <w:kern w:val="44"/>
          <w:sz w:val="24"/>
          <w:szCs w:val="24"/>
          <w:lang w:val="en-US" w:eastAsia="zh-CN" w:bidi="ar-SA"/>
        </w:rPr>
      </w:pPr>
      <w:r>
        <w:rPr>
          <w:rFonts w:hint="default" w:ascii="Calibri" w:hAnsi="Calibri" w:eastAsia="宋体" w:cs="Times New Roman"/>
          <w:b w:val="0"/>
          <w:bCs/>
          <w:color w:val="auto"/>
          <w:kern w:val="44"/>
          <w:sz w:val="24"/>
          <w:szCs w:val="24"/>
          <w:lang w:val="en-US" w:eastAsia="zh-CN" w:bidi="ar-SA"/>
        </w:rPr>
        <w:t>2.合同履行期限：自合同签订之日起15个日历天内完成货物的安装及交付</w:t>
      </w:r>
      <w:r>
        <w:rPr>
          <w:rFonts w:hint="eastAsia" w:ascii="Calibri" w:hAnsi="Calibri" w:cs="Times New Roman"/>
          <w:b w:val="0"/>
          <w:bCs/>
          <w:color w:val="auto"/>
          <w:kern w:val="44"/>
          <w:sz w:val="24"/>
          <w:szCs w:val="24"/>
          <w:lang w:val="en-US" w:eastAsia="zh-CN" w:bidi="ar-SA"/>
        </w:rPr>
        <w:t>。</w:t>
      </w:r>
    </w:p>
    <w:p w14:paraId="36B3DD4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Calibri" w:hAnsi="Calibri" w:eastAsia="宋体" w:cs="Times New Roman"/>
          <w:b w:val="0"/>
          <w:bCs/>
          <w:color w:val="auto"/>
          <w:kern w:val="44"/>
          <w:sz w:val="24"/>
          <w:szCs w:val="24"/>
          <w:highlight w:val="yellow"/>
          <w:lang w:val="en-US" w:eastAsia="zh-CN" w:bidi="ar-SA"/>
        </w:rPr>
      </w:pPr>
      <w:r>
        <w:rPr>
          <w:rFonts w:hint="default" w:ascii="Calibri" w:hAnsi="Calibri" w:eastAsia="宋体" w:cs="Times New Roman"/>
          <w:b w:val="0"/>
          <w:bCs/>
          <w:color w:val="auto"/>
          <w:kern w:val="44"/>
          <w:sz w:val="24"/>
          <w:szCs w:val="24"/>
          <w:lang w:val="en-US" w:eastAsia="zh-CN" w:bidi="ar-SA"/>
        </w:rPr>
        <w:t>3.质保期：项目质保期为1年，从验收合格之日算起。成交供应商应在项目质保期内提供免费服务纠正、修复，由此引起的额外费用全部由成交供应商</w:t>
      </w:r>
      <w:r>
        <w:rPr>
          <w:rFonts w:hint="eastAsia" w:ascii="Calibri" w:hAnsi="Calibri" w:cs="Times New Roman"/>
          <w:b w:val="0"/>
          <w:bCs/>
          <w:color w:val="auto"/>
          <w:kern w:val="44"/>
          <w:sz w:val="24"/>
          <w:szCs w:val="24"/>
          <w:lang w:val="en-US" w:eastAsia="zh-CN" w:bidi="ar-SA"/>
        </w:rPr>
        <w:t>承</w:t>
      </w:r>
      <w:r>
        <w:rPr>
          <w:rFonts w:hint="default" w:ascii="Calibri" w:hAnsi="Calibri" w:eastAsia="宋体" w:cs="Times New Roman"/>
          <w:b w:val="0"/>
          <w:bCs/>
          <w:color w:val="auto"/>
          <w:kern w:val="44"/>
          <w:sz w:val="24"/>
          <w:szCs w:val="24"/>
          <w:lang w:val="en-US" w:eastAsia="zh-CN" w:bidi="ar-SA"/>
        </w:rPr>
        <w:t>担。</w:t>
      </w:r>
    </w:p>
    <w:p w14:paraId="47CA0D6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Calibri" w:hAnsi="Calibri" w:eastAsia="宋体" w:cs="Times New Roman"/>
          <w:b w:val="0"/>
          <w:bCs/>
          <w:color w:val="auto"/>
          <w:kern w:val="44"/>
          <w:sz w:val="24"/>
          <w:szCs w:val="24"/>
          <w:lang w:val="en-US" w:eastAsia="zh-CN" w:bidi="ar-SA"/>
        </w:rPr>
      </w:pPr>
      <w:r>
        <w:rPr>
          <w:rFonts w:hint="default" w:ascii="Calibri" w:hAnsi="Calibri" w:eastAsia="宋体" w:cs="Times New Roman"/>
          <w:b w:val="0"/>
          <w:bCs/>
          <w:color w:val="auto"/>
          <w:kern w:val="44"/>
          <w:sz w:val="24"/>
          <w:szCs w:val="24"/>
          <w:lang w:val="en-US" w:eastAsia="zh-CN" w:bidi="ar-SA"/>
        </w:rPr>
        <w:t>4.售后服务：供应商应具有完善的售后服务体系,接到采购人通知后应在1小时内做出响应，12 小时内到达现场，24 小时内维修完毕。</w:t>
      </w:r>
    </w:p>
    <w:p w14:paraId="4536C7B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Calibri" w:hAnsi="Calibri" w:eastAsia="宋体" w:cs="Times New Roman"/>
          <w:b w:val="0"/>
          <w:bCs/>
          <w:color w:val="auto"/>
          <w:kern w:val="44"/>
          <w:sz w:val="24"/>
          <w:szCs w:val="24"/>
          <w:lang w:val="en-US" w:eastAsia="zh-CN" w:bidi="ar-SA"/>
        </w:rPr>
      </w:pPr>
      <w:r>
        <w:rPr>
          <w:rFonts w:hint="eastAsia" w:ascii="Calibri" w:hAnsi="Calibri" w:cs="Times New Roman"/>
          <w:b w:val="0"/>
          <w:bCs/>
          <w:color w:val="auto"/>
          <w:kern w:val="44"/>
          <w:sz w:val="24"/>
          <w:szCs w:val="24"/>
          <w:lang w:val="en-US" w:eastAsia="zh-CN" w:bidi="ar-SA"/>
        </w:rPr>
        <w:t>5</w:t>
      </w:r>
      <w:r>
        <w:rPr>
          <w:rFonts w:hint="default" w:ascii="Calibri" w:hAnsi="Calibri" w:eastAsia="宋体" w:cs="Times New Roman"/>
          <w:b w:val="0"/>
          <w:bCs/>
          <w:color w:val="auto"/>
          <w:kern w:val="44"/>
          <w:sz w:val="24"/>
          <w:szCs w:val="24"/>
          <w:lang w:val="en-US" w:eastAsia="zh-CN" w:bidi="ar-SA"/>
        </w:rPr>
        <w:t>、产品进场安装、调试及验收</w:t>
      </w:r>
    </w:p>
    <w:p w14:paraId="68290DD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Calibri" w:hAnsi="Calibri" w:eastAsia="宋体" w:cs="Times New Roman"/>
          <w:b w:val="0"/>
          <w:bCs/>
          <w:color w:val="auto"/>
          <w:kern w:val="44"/>
          <w:sz w:val="24"/>
          <w:szCs w:val="24"/>
          <w:lang w:val="en-US" w:eastAsia="zh-CN" w:bidi="ar-SA"/>
        </w:rPr>
      </w:pPr>
      <w:r>
        <w:rPr>
          <w:rFonts w:hint="eastAsia" w:ascii="Calibri" w:hAnsi="Calibri" w:cs="Times New Roman"/>
          <w:b w:val="0"/>
          <w:bCs/>
          <w:color w:val="auto"/>
          <w:kern w:val="44"/>
          <w:sz w:val="24"/>
          <w:szCs w:val="24"/>
          <w:lang w:val="en-US" w:eastAsia="zh-CN" w:bidi="ar-SA"/>
        </w:rPr>
        <w:t>5</w:t>
      </w:r>
      <w:r>
        <w:rPr>
          <w:rFonts w:hint="default" w:ascii="Calibri" w:hAnsi="Calibri" w:eastAsia="宋体" w:cs="Times New Roman"/>
          <w:b w:val="0"/>
          <w:bCs/>
          <w:color w:val="auto"/>
          <w:kern w:val="44"/>
          <w:sz w:val="24"/>
          <w:szCs w:val="24"/>
          <w:lang w:val="en-US" w:eastAsia="zh-CN" w:bidi="ar-SA"/>
        </w:rPr>
        <w:t>.1、供应商须提供全新的设备，所有设备均须由供应商送货到采购人指定地点并安装调试，采购人不再支付任何费用。成交供应商负责送货到指定地点，并负责所有运输、卸货、仓储、安装、调试等涉及本项目的全部工作。</w:t>
      </w:r>
    </w:p>
    <w:p w14:paraId="09333C6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Calibri" w:hAnsi="Calibri" w:eastAsia="宋体" w:cs="Times New Roman"/>
          <w:b w:val="0"/>
          <w:bCs/>
          <w:color w:val="auto"/>
          <w:kern w:val="44"/>
          <w:sz w:val="24"/>
          <w:szCs w:val="24"/>
          <w:lang w:val="en-US" w:eastAsia="zh-CN" w:bidi="ar-SA"/>
        </w:rPr>
      </w:pPr>
      <w:r>
        <w:rPr>
          <w:rFonts w:hint="eastAsia" w:ascii="Calibri" w:hAnsi="Calibri" w:cs="Times New Roman"/>
          <w:b w:val="0"/>
          <w:bCs/>
          <w:color w:val="auto"/>
          <w:kern w:val="44"/>
          <w:sz w:val="24"/>
          <w:szCs w:val="24"/>
          <w:lang w:val="en-US" w:eastAsia="zh-CN" w:bidi="ar-SA"/>
        </w:rPr>
        <w:t>5</w:t>
      </w:r>
      <w:r>
        <w:rPr>
          <w:rFonts w:hint="default" w:ascii="Calibri" w:hAnsi="Calibri" w:eastAsia="宋体" w:cs="Times New Roman"/>
          <w:b w:val="0"/>
          <w:bCs/>
          <w:color w:val="auto"/>
          <w:kern w:val="44"/>
          <w:sz w:val="24"/>
          <w:szCs w:val="24"/>
          <w:lang w:val="en-US" w:eastAsia="zh-CN" w:bidi="ar-SA"/>
        </w:rPr>
        <w:t>.2、供应商所提供设备到达目的地后，采购人按供应商提供的设备清单及产品合格证、产品检测报告、备品备件清单和其他的技术资料负责开箱检验、检查设备及随机附件是否完整无损，技术资料是否与采购人的要求相符，如有损坏、 缺件等情况，供应商应在5 日内更换新产品，相应的费用及责任由供应商自行承担。</w:t>
      </w:r>
    </w:p>
    <w:p w14:paraId="06A077F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Calibri" w:hAnsi="Calibri" w:eastAsia="宋体" w:cs="Times New Roman"/>
          <w:b w:val="0"/>
          <w:bCs/>
          <w:color w:val="auto"/>
          <w:kern w:val="44"/>
          <w:sz w:val="24"/>
          <w:szCs w:val="24"/>
          <w:lang w:val="en-US" w:eastAsia="zh-CN" w:bidi="ar-SA"/>
        </w:rPr>
      </w:pPr>
      <w:r>
        <w:rPr>
          <w:rFonts w:hint="eastAsia" w:ascii="Calibri" w:hAnsi="Calibri" w:cs="Times New Roman"/>
          <w:b w:val="0"/>
          <w:bCs/>
          <w:color w:val="auto"/>
          <w:kern w:val="44"/>
          <w:sz w:val="24"/>
          <w:szCs w:val="24"/>
          <w:lang w:val="en-US" w:eastAsia="zh-CN" w:bidi="ar-SA"/>
        </w:rPr>
        <w:t>5</w:t>
      </w:r>
      <w:r>
        <w:rPr>
          <w:rFonts w:hint="default" w:ascii="Calibri" w:hAnsi="Calibri" w:eastAsia="宋体" w:cs="Times New Roman"/>
          <w:b w:val="0"/>
          <w:bCs/>
          <w:color w:val="auto"/>
          <w:kern w:val="44"/>
          <w:sz w:val="24"/>
          <w:szCs w:val="24"/>
          <w:lang w:val="en-US" w:eastAsia="zh-CN" w:bidi="ar-SA"/>
        </w:rPr>
        <w:t>.3、货物若有国家标准按照国家标准验收，若无国家标准按行业标准验收，为原制造商制造的全新产品，货物无所有权和知识产权等任何法律争议、表面无划损、无任何缺陷隐患在中国境内可依常规安全合法使用。</w:t>
      </w:r>
    </w:p>
    <w:p w14:paraId="129C02D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Calibri" w:hAnsi="Calibri" w:eastAsia="宋体" w:cs="Times New Roman"/>
          <w:b w:val="0"/>
          <w:bCs/>
          <w:color w:val="auto"/>
          <w:kern w:val="44"/>
          <w:sz w:val="24"/>
          <w:szCs w:val="24"/>
          <w:lang w:val="en-US" w:eastAsia="zh-CN" w:bidi="ar-SA"/>
        </w:rPr>
      </w:pPr>
      <w:r>
        <w:rPr>
          <w:rFonts w:hint="eastAsia" w:ascii="Calibri" w:hAnsi="Calibri" w:cs="Times New Roman"/>
          <w:b w:val="0"/>
          <w:bCs/>
          <w:color w:val="auto"/>
          <w:kern w:val="44"/>
          <w:sz w:val="24"/>
          <w:szCs w:val="24"/>
          <w:lang w:val="en-US" w:eastAsia="zh-CN" w:bidi="ar-SA"/>
        </w:rPr>
        <w:t>5</w:t>
      </w:r>
      <w:r>
        <w:rPr>
          <w:rFonts w:hint="default" w:ascii="Calibri" w:hAnsi="Calibri" w:eastAsia="宋体" w:cs="Times New Roman"/>
          <w:b w:val="0"/>
          <w:bCs/>
          <w:color w:val="auto"/>
          <w:kern w:val="44"/>
          <w:sz w:val="24"/>
          <w:szCs w:val="24"/>
          <w:lang w:val="en-US" w:eastAsia="zh-CN" w:bidi="ar-SA"/>
        </w:rPr>
        <w:t>.4、成交供应商应将设备的用户手册、质保手册及配备件、随机工具等一并交付给采购</w:t>
      </w:r>
      <w:r>
        <w:rPr>
          <w:rFonts w:hint="eastAsia" w:ascii="Calibri" w:hAnsi="Calibri" w:cs="Times New Roman"/>
          <w:b w:val="0"/>
          <w:bCs/>
          <w:color w:val="auto"/>
          <w:kern w:val="44"/>
          <w:sz w:val="24"/>
          <w:szCs w:val="24"/>
          <w:lang w:val="en-US" w:eastAsia="zh-CN" w:bidi="ar-SA"/>
        </w:rPr>
        <w:t>人。</w:t>
      </w:r>
    </w:p>
    <w:p w14:paraId="7AFC058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Calibri" w:hAnsi="Calibri" w:eastAsia="宋体" w:cs="Times New Roman"/>
          <w:b w:val="0"/>
          <w:bCs/>
          <w:color w:val="auto"/>
          <w:kern w:val="44"/>
          <w:sz w:val="24"/>
          <w:szCs w:val="24"/>
          <w:highlight w:val="none"/>
          <w:lang w:val="en-US" w:eastAsia="zh-CN" w:bidi="ar-SA"/>
        </w:rPr>
      </w:pPr>
      <w:r>
        <w:rPr>
          <w:rFonts w:hint="eastAsia" w:ascii="Calibri" w:hAnsi="Calibri" w:eastAsia="宋体" w:cs="Times New Roman"/>
          <w:b w:val="0"/>
          <w:bCs/>
          <w:color w:val="auto"/>
          <w:kern w:val="44"/>
          <w:sz w:val="24"/>
          <w:szCs w:val="24"/>
          <w:lang w:val="en-US" w:eastAsia="zh-CN" w:bidi="ar-SA"/>
        </w:rPr>
        <w:t>6.</w:t>
      </w:r>
      <w:r>
        <w:rPr>
          <w:rFonts w:hint="default" w:ascii="Calibri" w:hAnsi="Calibri" w:eastAsia="宋体" w:cs="Times New Roman"/>
          <w:b w:val="0"/>
          <w:bCs/>
          <w:color w:val="auto"/>
          <w:kern w:val="44"/>
          <w:sz w:val="24"/>
          <w:szCs w:val="24"/>
          <w:highlight w:val="none"/>
          <w:lang w:val="en-US" w:eastAsia="zh-CN" w:bidi="ar-SA"/>
        </w:rPr>
        <w:t>付款方式</w:t>
      </w:r>
      <w:r>
        <w:rPr>
          <w:rFonts w:hint="eastAsia" w:ascii="Calibri" w:hAnsi="Calibri" w:eastAsia="宋体" w:cs="Times New Roman"/>
          <w:b w:val="0"/>
          <w:bCs/>
          <w:color w:val="auto"/>
          <w:kern w:val="44"/>
          <w:sz w:val="24"/>
          <w:szCs w:val="24"/>
          <w:highlight w:val="none"/>
          <w:lang w:val="en-US" w:eastAsia="zh-CN" w:bidi="ar-SA"/>
        </w:rPr>
        <w:t>：</w:t>
      </w:r>
      <w:r>
        <w:rPr>
          <w:rFonts w:hint="eastAsia" w:ascii="Calibri" w:hAnsi="Calibri" w:cs="Times New Roman"/>
          <w:b w:val="0"/>
          <w:bCs/>
          <w:color w:val="auto"/>
          <w:kern w:val="44"/>
          <w:sz w:val="24"/>
          <w:szCs w:val="24"/>
          <w:highlight w:val="none"/>
          <w:lang w:val="en-US" w:eastAsia="zh-CN" w:bidi="ar-SA"/>
        </w:rPr>
        <w:t>货物按要求送到指定地点，安装调试并经采购人验收合格后付至审计价的95%，余款5%一年后付清。</w:t>
      </w:r>
    </w:p>
    <w:p w14:paraId="6A61F9CA">
      <w:pPr>
        <w:pStyle w:val="18"/>
        <w:rPr>
          <w:rFonts w:hint="eastAsia" w:ascii="Calibri" w:hAnsi="Calibri" w:eastAsia="宋体" w:cs="Times New Roman"/>
          <w:b w:val="0"/>
          <w:bCs/>
          <w:color w:val="auto"/>
          <w:kern w:val="44"/>
          <w:sz w:val="24"/>
          <w:szCs w:val="24"/>
          <w:highlight w:val="none"/>
          <w:lang w:val="en-US" w:eastAsia="zh-CN" w:bidi="ar-SA"/>
        </w:rPr>
      </w:pPr>
      <w:r>
        <w:rPr>
          <w:rFonts w:hint="eastAsia" w:ascii="Calibri" w:hAnsi="Calibri" w:eastAsia="宋体" w:cs="Times New Roman"/>
          <w:b w:val="0"/>
          <w:bCs/>
          <w:color w:val="auto"/>
          <w:kern w:val="44"/>
          <w:sz w:val="24"/>
          <w:szCs w:val="24"/>
          <w:highlight w:val="none"/>
          <w:lang w:val="en-US" w:eastAsia="zh-CN" w:bidi="ar-SA"/>
        </w:rPr>
        <w:t>7.</w:t>
      </w:r>
      <w:r>
        <w:rPr>
          <w:rFonts w:hint="eastAsia" w:ascii="Calibri" w:hAnsi="Calibri" w:cs="Times New Roman"/>
          <w:b w:val="0"/>
          <w:bCs/>
          <w:color w:val="auto"/>
          <w:kern w:val="44"/>
          <w:sz w:val="24"/>
          <w:szCs w:val="24"/>
          <w:highlight w:val="none"/>
          <w:lang w:val="en-US" w:eastAsia="zh-CN" w:bidi="ar-SA"/>
        </w:rPr>
        <w:t>项目验收（考核）标准</w:t>
      </w:r>
      <w:r>
        <w:rPr>
          <w:rFonts w:hint="eastAsia" w:ascii="Calibri" w:hAnsi="Calibri" w:eastAsia="宋体" w:cs="Times New Roman"/>
          <w:b w:val="0"/>
          <w:bCs/>
          <w:color w:val="auto"/>
          <w:kern w:val="44"/>
          <w:sz w:val="24"/>
          <w:szCs w:val="24"/>
          <w:highlight w:val="none"/>
          <w:lang w:val="en-US" w:eastAsia="zh-CN" w:bidi="ar-SA"/>
        </w:rPr>
        <w:t>：</w:t>
      </w:r>
    </w:p>
    <w:p w14:paraId="40615909">
      <w:pPr>
        <w:pStyle w:val="18"/>
        <w:rPr>
          <w:rFonts w:hint="eastAsia" w:ascii="Calibri" w:hAnsi="Calibri" w:eastAsia="宋体" w:cs="Times New Roman"/>
          <w:b w:val="0"/>
          <w:bCs/>
          <w:color w:val="auto"/>
          <w:kern w:val="44"/>
          <w:sz w:val="24"/>
          <w:szCs w:val="24"/>
          <w:highlight w:val="none"/>
          <w:lang w:val="en-US" w:eastAsia="zh-CN" w:bidi="ar-SA"/>
        </w:rPr>
      </w:pPr>
      <w:r>
        <w:rPr>
          <w:rFonts w:hint="eastAsia" w:ascii="Calibri" w:hAnsi="Calibri" w:eastAsia="宋体" w:cs="Times New Roman"/>
          <w:b w:val="0"/>
          <w:bCs/>
          <w:color w:val="auto"/>
          <w:kern w:val="44"/>
          <w:sz w:val="24"/>
          <w:szCs w:val="24"/>
          <w:highlight w:val="none"/>
          <w:lang w:val="en-US" w:eastAsia="zh-CN" w:bidi="ar-SA"/>
        </w:rPr>
        <w:t>质量目标：符合国家现行有关规范及标准。</w:t>
      </w:r>
    </w:p>
    <w:p w14:paraId="615D6AA8">
      <w:pPr>
        <w:pStyle w:val="18"/>
        <w:numPr>
          <w:ilvl w:val="0"/>
          <w:numId w:val="1"/>
        </w:numPr>
        <w:rPr>
          <w:rFonts w:hint="eastAsia" w:ascii="Calibri" w:hAnsi="Calibri" w:cs="Times New Roman"/>
          <w:b w:val="0"/>
          <w:bCs/>
          <w:color w:val="auto"/>
          <w:kern w:val="44"/>
          <w:sz w:val="24"/>
          <w:szCs w:val="24"/>
          <w:highlight w:val="none"/>
          <w:lang w:val="en-US" w:eastAsia="zh-CN" w:bidi="ar-SA"/>
        </w:rPr>
      </w:pPr>
      <w:r>
        <w:rPr>
          <w:rFonts w:hint="eastAsia" w:ascii="Calibri" w:hAnsi="Calibri" w:cs="Times New Roman"/>
          <w:b w:val="0"/>
          <w:bCs/>
          <w:color w:val="auto"/>
          <w:kern w:val="44"/>
          <w:sz w:val="24"/>
          <w:szCs w:val="24"/>
          <w:highlight w:val="none"/>
          <w:lang w:val="en-US" w:eastAsia="zh-CN" w:bidi="ar-SA"/>
        </w:rPr>
        <w:t>其他未尽事宜在签订合同时明确。</w:t>
      </w:r>
    </w:p>
    <w:p w14:paraId="571F768A">
      <w:pPr>
        <w:pStyle w:val="18"/>
        <w:rPr>
          <w:rFonts w:hint="eastAsia" w:ascii="Calibri" w:hAnsi="Calibri" w:eastAsia="宋体" w:cs="Times New Roman"/>
          <w:b w:val="0"/>
          <w:bCs/>
          <w:color w:val="auto"/>
          <w:kern w:val="44"/>
          <w:sz w:val="24"/>
          <w:szCs w:val="24"/>
          <w:highlight w:val="none"/>
          <w:lang w:val="en-US" w:eastAsia="zh-CN" w:bidi="ar-SA"/>
        </w:rPr>
      </w:pPr>
      <w:r>
        <w:rPr>
          <w:rFonts w:hint="eastAsia" w:ascii="Calibri" w:hAnsi="Calibri" w:eastAsia="宋体" w:cs="Times New Roman"/>
          <w:b w:val="0"/>
          <w:bCs/>
          <w:color w:val="auto"/>
          <w:kern w:val="44"/>
          <w:sz w:val="24"/>
          <w:szCs w:val="24"/>
          <w:highlight w:val="none"/>
          <w:lang w:val="en-US" w:eastAsia="zh-CN" w:bidi="ar-SA"/>
        </w:rPr>
        <w:t>注意：投标人报价应包括满足本项目全部要求内容的费用（例如未列入的技术费用等均由投标人自主报价）。对报价的准确性负责，任何漏报、错报等风险均由投标人承担；投标人的报价应充分考虑市场的价格因素，应包含服务人员报酬及社会保险费用、管理费、培训费、利润、税费、风险其他相关费用等全部费用。</w:t>
      </w:r>
    </w:p>
    <w:p w14:paraId="1B372ED3">
      <w:pPr>
        <w:pStyle w:val="20"/>
        <w:numPr>
          <w:ilvl w:val="0"/>
          <w:numId w:val="0"/>
        </w:numPr>
        <w:rPr>
          <w:rFonts w:hint="default"/>
          <w:color w:val="auto"/>
          <w:lang w:val="en-US" w:eastAsia="zh-CN"/>
        </w:rPr>
      </w:pPr>
    </w:p>
    <w:p w14:paraId="0E67034A">
      <w:pPr>
        <w:keepNext w:val="0"/>
        <w:keepLines w:val="0"/>
        <w:pageBreakBefore w:val="0"/>
        <w:widowControl/>
        <w:kinsoku/>
        <w:wordWrap/>
        <w:overflowPunct/>
        <w:topLinePunct w:val="0"/>
        <w:autoSpaceDE/>
        <w:autoSpaceDN/>
        <w:bidi w:val="0"/>
        <w:adjustRightInd/>
        <w:snapToGrid/>
        <w:spacing w:after="156" w:afterLines="50" w:line="480" w:lineRule="exact"/>
        <w:jc w:val="center"/>
        <w:textAlignment w:val="auto"/>
        <w:rPr>
          <w:rFonts w:hint="eastAsia" w:asciiTheme="minorEastAsia" w:hAnsiTheme="minorEastAsia" w:eastAsiaTheme="minorEastAsia" w:cstheme="minorEastAsia"/>
          <w:b/>
          <w:bCs/>
          <w:color w:val="auto"/>
          <w:sz w:val="32"/>
          <w:szCs w:val="32"/>
          <w:lang w:val="en-US" w:eastAsia="zh-CN"/>
        </w:rPr>
      </w:pPr>
    </w:p>
    <w:p w14:paraId="53061287">
      <w:pPr>
        <w:rPr>
          <w:rFonts w:hint="eastAsia"/>
          <w:color w:val="auto"/>
          <w:sz w:val="30"/>
          <w:szCs w:val="30"/>
          <w:lang w:val="en-US" w:eastAsia="zh-CN"/>
        </w:rPr>
      </w:pPr>
      <w:bookmarkStart w:id="20" w:name="_Toc6156"/>
      <w:bookmarkStart w:id="21" w:name="_Toc4244"/>
      <w:r>
        <w:rPr>
          <w:rFonts w:hint="eastAsia"/>
          <w:color w:val="auto"/>
          <w:sz w:val="30"/>
          <w:szCs w:val="30"/>
          <w:lang w:val="en-US" w:eastAsia="zh-CN"/>
        </w:rPr>
        <w:br w:type="page"/>
      </w:r>
    </w:p>
    <w:p w14:paraId="2FC5EEDF">
      <w:pPr>
        <w:pStyle w:val="2"/>
        <w:keepNext/>
        <w:keepLines/>
        <w:pageBreakBefore w:val="0"/>
        <w:widowControl w:val="0"/>
        <w:kinsoku/>
        <w:wordWrap/>
        <w:overflowPunct/>
        <w:topLinePunct w:val="0"/>
        <w:autoSpaceDE/>
        <w:autoSpaceDN/>
        <w:bidi w:val="0"/>
        <w:adjustRightInd/>
        <w:snapToGrid/>
        <w:spacing w:line="560" w:lineRule="exact"/>
        <w:jc w:val="center"/>
        <w:textAlignment w:val="auto"/>
        <w:rPr>
          <w:rFonts w:hint="eastAsia"/>
          <w:color w:val="auto"/>
          <w:sz w:val="30"/>
          <w:szCs w:val="30"/>
        </w:rPr>
      </w:pPr>
      <w:r>
        <w:rPr>
          <w:rFonts w:hint="eastAsia"/>
          <w:color w:val="auto"/>
          <w:sz w:val="30"/>
          <w:szCs w:val="30"/>
          <w:lang w:val="en-US" w:eastAsia="zh-CN"/>
        </w:rPr>
        <w:t>第四章</w:t>
      </w:r>
      <w:r>
        <w:rPr>
          <w:rFonts w:hint="eastAsia"/>
          <w:color w:val="auto"/>
          <w:sz w:val="30"/>
          <w:szCs w:val="30"/>
          <w:lang w:val="zh-CN"/>
        </w:rPr>
        <w:t xml:space="preserve"> </w:t>
      </w:r>
      <w:r>
        <w:rPr>
          <w:rFonts w:hint="eastAsia"/>
          <w:color w:val="auto"/>
          <w:sz w:val="30"/>
          <w:szCs w:val="30"/>
          <w:lang w:val="zh-CN" w:eastAsia="zh-CN"/>
        </w:rPr>
        <w:t xml:space="preserve"> 评标方法、步骤及标准</w:t>
      </w:r>
      <w:bookmarkEnd w:id="20"/>
      <w:bookmarkEnd w:id="21"/>
    </w:p>
    <w:p w14:paraId="3976F080">
      <w:pPr>
        <w:keepNext w:val="0"/>
        <w:keepLines w:val="0"/>
        <w:pageBreakBefore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b w:val="0"/>
          <w:bCs w:val="0"/>
          <w:color w:val="auto"/>
          <w:sz w:val="21"/>
          <w:szCs w:val="21"/>
          <w:lang w:val="zh-CN" w:eastAsia="zh-CN"/>
        </w:rPr>
      </w:pPr>
      <w:bookmarkStart w:id="22" w:name="_Toc1396"/>
      <w:r>
        <w:rPr>
          <w:rFonts w:hint="eastAsia" w:ascii="宋体" w:hAnsi="宋体" w:eastAsia="宋体" w:cs="宋体"/>
          <w:b w:val="0"/>
          <w:bCs w:val="0"/>
          <w:color w:val="auto"/>
          <w:sz w:val="21"/>
          <w:szCs w:val="21"/>
          <w:lang w:val="zh-CN" w:eastAsia="zh-CN"/>
        </w:rPr>
        <w:t>根据《中华人民共和国政府采购法》、《中华人民共和国政府采购法实施条例》、《政府采购货物和服务招标投标管理办法》（财政部令第 87 号）等有关法律、法规和规章的规定，确定以下评标方法、步骤及标准。</w:t>
      </w:r>
      <w:bookmarkEnd w:id="22"/>
      <w:r>
        <w:rPr>
          <w:rFonts w:hint="eastAsia" w:ascii="宋体" w:hAnsi="宋体" w:eastAsia="宋体" w:cs="宋体"/>
          <w:b w:val="0"/>
          <w:bCs w:val="0"/>
          <w:color w:val="auto"/>
          <w:sz w:val="21"/>
          <w:szCs w:val="21"/>
          <w:lang w:val="zh-CN" w:eastAsia="zh-CN"/>
        </w:rPr>
        <w:t xml:space="preserve">  </w:t>
      </w:r>
    </w:p>
    <w:p w14:paraId="51A8CA40">
      <w:pPr>
        <w:bidi w:val="0"/>
        <w:ind w:firstLine="221" w:firstLineChars="100"/>
        <w:rPr>
          <w:rFonts w:hint="eastAsia"/>
          <w:b/>
          <w:bCs/>
          <w:color w:val="auto"/>
          <w:sz w:val="22"/>
          <w:szCs w:val="24"/>
        </w:rPr>
      </w:pPr>
      <w:bookmarkStart w:id="23" w:name="_Toc17992"/>
      <w:bookmarkStart w:id="24" w:name="_Toc7146"/>
      <w:r>
        <w:rPr>
          <w:rFonts w:hint="eastAsia"/>
          <w:b/>
          <w:bCs/>
          <w:color w:val="auto"/>
          <w:sz w:val="22"/>
          <w:szCs w:val="24"/>
        </w:rPr>
        <w:t>一、评标方法</w:t>
      </w:r>
      <w:bookmarkEnd w:id="23"/>
      <w:bookmarkEnd w:id="24"/>
      <w:r>
        <w:rPr>
          <w:rFonts w:hint="eastAsia"/>
          <w:b/>
          <w:bCs/>
          <w:color w:val="auto"/>
          <w:sz w:val="22"/>
          <w:szCs w:val="24"/>
        </w:rPr>
        <w:t xml:space="preserve">  </w:t>
      </w:r>
    </w:p>
    <w:p w14:paraId="58A73C22">
      <w:pPr>
        <w:keepNext w:val="0"/>
        <w:keepLines w:val="0"/>
        <w:pageBreakBefore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b w:val="0"/>
          <w:bCs w:val="0"/>
          <w:color w:val="auto"/>
          <w:sz w:val="21"/>
          <w:szCs w:val="21"/>
          <w:lang w:val="zh-CN" w:eastAsia="zh-CN"/>
        </w:rPr>
      </w:pPr>
      <w:bookmarkStart w:id="25" w:name="_Toc10481"/>
      <w:r>
        <w:rPr>
          <w:rFonts w:hint="eastAsia" w:ascii="宋体" w:hAnsi="宋体" w:eastAsia="宋体" w:cs="宋体"/>
          <w:b w:val="0"/>
          <w:bCs w:val="0"/>
          <w:color w:val="auto"/>
          <w:sz w:val="21"/>
          <w:szCs w:val="21"/>
          <w:lang w:val="zh-CN" w:eastAsia="zh-CN"/>
        </w:rPr>
        <w:t>本次评标采用综合评分法（百分制），即在最大限度地满足招标文件实质性要求前提下，按照招标文件规定的各项因素进行综合评审后，以得分高低依次排序。</w:t>
      </w:r>
      <w:bookmarkEnd w:id="25"/>
    </w:p>
    <w:p w14:paraId="32762297">
      <w:pPr>
        <w:bidi w:val="0"/>
        <w:ind w:firstLine="422" w:firstLineChars="200"/>
        <w:rPr>
          <w:rFonts w:hint="eastAsia"/>
          <w:color w:val="auto"/>
        </w:rPr>
      </w:pPr>
      <w:bookmarkStart w:id="26" w:name="_Toc24936"/>
      <w:bookmarkStart w:id="27" w:name="_Toc14588"/>
      <w:r>
        <w:rPr>
          <w:rFonts w:hint="eastAsia" w:ascii="宋体" w:hAnsi="宋体" w:eastAsia="宋体" w:cs="宋体"/>
          <w:b/>
          <w:color w:val="auto"/>
          <w:sz w:val="21"/>
          <w:szCs w:val="21"/>
        </w:rPr>
        <w:t>二、评标步骤</w:t>
      </w:r>
      <w:bookmarkEnd w:id="26"/>
      <w:bookmarkEnd w:id="27"/>
      <w:r>
        <w:rPr>
          <w:rFonts w:hint="eastAsia" w:ascii="宋体" w:hAnsi="宋体" w:eastAsia="宋体" w:cs="宋体"/>
          <w:b/>
          <w:color w:val="auto"/>
          <w:sz w:val="21"/>
          <w:szCs w:val="21"/>
        </w:rPr>
        <w:t xml:space="preserve"> </w:t>
      </w:r>
      <w:r>
        <w:rPr>
          <w:rFonts w:hint="eastAsia"/>
          <w:color w:val="auto"/>
        </w:rPr>
        <w:t xml:space="preserve"> </w:t>
      </w:r>
    </w:p>
    <w:p w14:paraId="199A7471">
      <w:pPr>
        <w:keepNext w:val="0"/>
        <w:keepLines w:val="0"/>
        <w:pageBreakBefore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b w:val="0"/>
          <w:bCs w:val="0"/>
          <w:color w:val="auto"/>
          <w:sz w:val="21"/>
          <w:szCs w:val="21"/>
          <w:lang w:val="zh-CN" w:eastAsia="zh-CN"/>
        </w:rPr>
      </w:pPr>
      <w:bookmarkStart w:id="28" w:name="_Toc10870"/>
      <w:r>
        <w:rPr>
          <w:rFonts w:hint="eastAsia" w:ascii="宋体" w:hAnsi="宋体" w:cs="宋体"/>
          <w:b w:val="0"/>
          <w:bCs w:val="0"/>
          <w:color w:val="auto"/>
          <w:sz w:val="21"/>
          <w:szCs w:val="21"/>
          <w:lang w:val="zh-CN" w:eastAsia="zh-CN"/>
        </w:rPr>
        <w:t>招标人</w:t>
      </w:r>
      <w:r>
        <w:rPr>
          <w:rFonts w:hint="eastAsia" w:ascii="宋体" w:hAnsi="宋体" w:eastAsia="宋体" w:cs="宋体"/>
          <w:b w:val="0"/>
          <w:bCs w:val="0"/>
          <w:color w:val="auto"/>
          <w:sz w:val="21"/>
          <w:szCs w:val="21"/>
          <w:lang w:val="zh-CN" w:eastAsia="zh-CN"/>
        </w:rPr>
        <w:t>或采购代理机构依据法律法规和招标文件的规定对投标人进行资格审查。评标委员会对投标文件的评审分为符合性检查、商务评议、技术评议和价格评议。</w:t>
      </w:r>
      <w:bookmarkEnd w:id="28"/>
      <w:r>
        <w:rPr>
          <w:rFonts w:hint="eastAsia" w:ascii="宋体" w:hAnsi="宋体" w:eastAsia="宋体" w:cs="宋体"/>
          <w:b w:val="0"/>
          <w:bCs w:val="0"/>
          <w:color w:val="auto"/>
          <w:sz w:val="21"/>
          <w:szCs w:val="21"/>
          <w:lang w:val="zh-CN" w:eastAsia="zh-CN"/>
        </w:rPr>
        <w:t xml:space="preserve">   </w:t>
      </w:r>
    </w:p>
    <w:p w14:paraId="78DADFAB">
      <w:pPr>
        <w:keepNext w:val="0"/>
        <w:keepLines w:val="0"/>
        <w:pageBreakBefore w:val="0"/>
        <w:kinsoku/>
        <w:wordWrap/>
        <w:overflowPunct/>
        <w:topLinePunct w:val="0"/>
        <w:autoSpaceDE/>
        <w:autoSpaceDN/>
        <w:bidi w:val="0"/>
        <w:adjustRightInd/>
        <w:snapToGrid/>
        <w:spacing w:line="480" w:lineRule="exact"/>
        <w:ind w:firstLine="422" w:firstLineChars="200"/>
        <w:jc w:val="left"/>
        <w:textAlignment w:val="auto"/>
        <w:rPr>
          <w:rFonts w:hint="eastAsia" w:ascii="宋体" w:hAnsi="宋体" w:eastAsia="宋体" w:cs="宋体"/>
          <w:b/>
          <w:bCs w:val="0"/>
          <w:color w:val="auto"/>
          <w:sz w:val="21"/>
          <w:szCs w:val="21"/>
          <w:lang w:val="zh-CN" w:eastAsia="zh-CN"/>
        </w:rPr>
      </w:pPr>
      <w:bookmarkStart w:id="29" w:name="_Toc21541"/>
      <w:r>
        <w:rPr>
          <w:rFonts w:hint="eastAsia" w:ascii="宋体" w:hAnsi="宋体" w:eastAsia="宋体" w:cs="宋体"/>
          <w:b/>
          <w:bCs w:val="0"/>
          <w:color w:val="auto"/>
          <w:sz w:val="21"/>
          <w:szCs w:val="21"/>
        </w:rPr>
        <w:t>（</w:t>
      </w:r>
      <w:r>
        <w:rPr>
          <w:rFonts w:hint="eastAsia" w:ascii="宋体" w:hAnsi="宋体" w:eastAsia="宋体" w:cs="宋体"/>
          <w:b/>
          <w:bCs w:val="0"/>
          <w:color w:val="auto"/>
          <w:sz w:val="21"/>
          <w:szCs w:val="21"/>
          <w:lang w:val="zh-CN" w:eastAsia="zh-CN"/>
        </w:rPr>
        <w:t>一）投标文件初审</w:t>
      </w:r>
      <w:bookmarkEnd w:id="29"/>
      <w:r>
        <w:rPr>
          <w:rFonts w:hint="eastAsia" w:ascii="宋体" w:hAnsi="宋体" w:eastAsia="宋体" w:cs="宋体"/>
          <w:b/>
          <w:bCs w:val="0"/>
          <w:color w:val="auto"/>
          <w:sz w:val="21"/>
          <w:szCs w:val="21"/>
          <w:lang w:val="zh-CN" w:eastAsia="zh-CN"/>
        </w:rPr>
        <w:t xml:space="preserve"> </w:t>
      </w:r>
    </w:p>
    <w:p w14:paraId="026408AD">
      <w:pPr>
        <w:keepNext w:val="0"/>
        <w:keepLines w:val="0"/>
        <w:pageBreakBefore w:val="0"/>
        <w:kinsoku/>
        <w:wordWrap/>
        <w:overflowPunct/>
        <w:topLinePunct w:val="0"/>
        <w:autoSpaceDE/>
        <w:autoSpaceDN/>
        <w:bidi w:val="0"/>
        <w:adjustRightInd/>
        <w:snapToGrid/>
        <w:spacing w:line="480" w:lineRule="exact"/>
        <w:ind w:firstLine="422" w:firstLineChars="200"/>
        <w:jc w:val="left"/>
        <w:textAlignment w:val="auto"/>
        <w:rPr>
          <w:rFonts w:hint="eastAsia" w:ascii="宋体" w:hAnsi="宋体" w:eastAsia="宋体" w:cs="宋体"/>
          <w:b/>
          <w:bCs w:val="0"/>
          <w:color w:val="auto"/>
          <w:sz w:val="21"/>
          <w:szCs w:val="21"/>
          <w:lang w:val="zh-CN" w:eastAsia="zh-CN"/>
        </w:rPr>
      </w:pPr>
      <w:bookmarkStart w:id="30" w:name="_Toc29685"/>
      <w:r>
        <w:rPr>
          <w:rFonts w:hint="eastAsia" w:ascii="宋体" w:hAnsi="宋体" w:eastAsia="宋体" w:cs="宋体"/>
          <w:b/>
          <w:bCs w:val="0"/>
          <w:color w:val="auto"/>
          <w:sz w:val="21"/>
          <w:szCs w:val="21"/>
          <w:lang w:val="zh-CN" w:eastAsia="zh-CN"/>
        </w:rPr>
        <w:t>1、资格审查</w:t>
      </w:r>
      <w:bookmarkEnd w:id="30"/>
      <w:r>
        <w:rPr>
          <w:rFonts w:hint="eastAsia" w:ascii="宋体" w:hAnsi="宋体" w:eastAsia="宋体" w:cs="宋体"/>
          <w:b/>
          <w:bCs w:val="0"/>
          <w:color w:val="auto"/>
          <w:sz w:val="21"/>
          <w:szCs w:val="21"/>
          <w:lang w:val="zh-CN" w:eastAsia="zh-CN"/>
        </w:rPr>
        <w:t xml:space="preserve">   </w:t>
      </w:r>
    </w:p>
    <w:p w14:paraId="12B9CC5E">
      <w:pPr>
        <w:keepNext w:val="0"/>
        <w:keepLines w:val="0"/>
        <w:pageBreakBefore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b w:val="0"/>
          <w:bCs w:val="0"/>
          <w:color w:val="auto"/>
          <w:sz w:val="21"/>
          <w:szCs w:val="21"/>
          <w:lang w:val="zh-CN" w:eastAsia="zh-CN"/>
        </w:rPr>
      </w:pPr>
      <w:bookmarkStart w:id="31" w:name="_Toc14432"/>
      <w:r>
        <w:rPr>
          <w:rFonts w:hint="eastAsia" w:ascii="宋体" w:hAnsi="宋体" w:cs="宋体"/>
          <w:b w:val="0"/>
          <w:bCs w:val="0"/>
          <w:color w:val="auto"/>
          <w:sz w:val="21"/>
          <w:szCs w:val="21"/>
          <w:lang w:val="zh-CN" w:eastAsia="zh-CN"/>
        </w:rPr>
        <w:t>招标人</w:t>
      </w:r>
      <w:r>
        <w:rPr>
          <w:rFonts w:hint="eastAsia" w:ascii="宋体" w:hAnsi="宋体" w:eastAsia="宋体" w:cs="宋体"/>
          <w:b w:val="0"/>
          <w:bCs w:val="0"/>
          <w:color w:val="auto"/>
          <w:sz w:val="21"/>
          <w:szCs w:val="21"/>
          <w:lang w:val="zh-CN" w:eastAsia="zh-CN"/>
        </w:rPr>
        <w:t>或采购代理机构依据法律法规和招标文件的规定，对投标文件中的资格证明材料等进行审查，以确定投标人是否具备投标资格，具体评审因素详见《资格审查表》。</w:t>
      </w:r>
      <w:bookmarkEnd w:id="31"/>
      <w:r>
        <w:rPr>
          <w:rFonts w:hint="eastAsia" w:ascii="宋体" w:hAnsi="宋体" w:eastAsia="宋体" w:cs="宋体"/>
          <w:b w:val="0"/>
          <w:bCs w:val="0"/>
          <w:color w:val="auto"/>
          <w:sz w:val="21"/>
          <w:szCs w:val="21"/>
          <w:lang w:val="zh-CN" w:eastAsia="zh-CN"/>
        </w:rPr>
        <w:t xml:space="preserve"> </w:t>
      </w:r>
    </w:p>
    <w:p w14:paraId="30E07CFB">
      <w:pPr>
        <w:pStyle w:val="4"/>
        <w:bidi w:val="0"/>
        <w:rPr>
          <w:rFonts w:hint="eastAsia"/>
          <w:color w:val="auto"/>
          <w:lang w:val="zh-CN" w:eastAsia="zh-CN"/>
        </w:rPr>
      </w:pPr>
      <w:r>
        <w:rPr>
          <w:rFonts w:hint="eastAsia"/>
          <w:color w:val="auto"/>
          <w:lang w:val="en-US" w:eastAsia="zh-CN"/>
        </w:rPr>
        <w:t xml:space="preserve">资格审查表 </w:t>
      </w:r>
    </w:p>
    <w:tbl>
      <w:tblPr>
        <w:tblStyle w:val="15"/>
        <w:tblW w:w="9173" w:type="dxa"/>
        <w:tblInd w:w="-141" w:type="dxa"/>
        <w:tblLayout w:type="fixed"/>
        <w:tblCellMar>
          <w:top w:w="57" w:type="dxa"/>
          <w:left w:w="108" w:type="dxa"/>
          <w:bottom w:w="57" w:type="dxa"/>
          <w:right w:w="108" w:type="dxa"/>
        </w:tblCellMar>
      </w:tblPr>
      <w:tblGrid>
        <w:gridCol w:w="731"/>
        <w:gridCol w:w="4265"/>
        <w:gridCol w:w="4177"/>
      </w:tblGrid>
      <w:tr w14:paraId="56768D30">
        <w:tblPrEx>
          <w:tblCellMar>
            <w:top w:w="57" w:type="dxa"/>
            <w:left w:w="108" w:type="dxa"/>
            <w:bottom w:w="57" w:type="dxa"/>
            <w:right w:w="108" w:type="dxa"/>
          </w:tblCellMar>
        </w:tblPrEx>
        <w:trPr>
          <w:trHeight w:val="479" w:hRule="atLeast"/>
        </w:trPr>
        <w:tc>
          <w:tcPr>
            <w:tcW w:w="731" w:type="dxa"/>
            <w:tcBorders>
              <w:top w:val="single" w:color="auto" w:sz="4" w:space="0"/>
              <w:left w:val="single" w:color="auto" w:sz="4" w:space="0"/>
              <w:bottom w:val="single" w:color="auto" w:sz="4" w:space="0"/>
              <w:right w:val="single" w:color="auto" w:sz="4" w:space="0"/>
            </w:tcBorders>
            <w:noWrap w:val="0"/>
            <w:vAlign w:val="center"/>
          </w:tcPr>
          <w:p w14:paraId="113F5914">
            <w:pPr>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b w:val="0"/>
                <w:bCs w:val="0"/>
                <w:color w:val="auto"/>
                <w:sz w:val="21"/>
                <w:szCs w:val="21"/>
                <w:lang w:val="zh-CN" w:eastAsia="zh-CN"/>
              </w:rPr>
            </w:pPr>
            <w:r>
              <w:rPr>
                <w:rFonts w:hint="eastAsia" w:ascii="宋体" w:hAnsi="宋体" w:eastAsia="宋体" w:cs="宋体"/>
                <w:b w:val="0"/>
                <w:bCs w:val="0"/>
                <w:color w:val="auto"/>
                <w:sz w:val="21"/>
                <w:szCs w:val="21"/>
                <w:lang w:val="zh-CN" w:eastAsia="zh-CN"/>
              </w:rPr>
              <w:t>序号</w:t>
            </w:r>
          </w:p>
        </w:tc>
        <w:tc>
          <w:tcPr>
            <w:tcW w:w="4265" w:type="dxa"/>
            <w:tcBorders>
              <w:top w:val="single" w:color="auto" w:sz="4" w:space="0"/>
              <w:left w:val="single" w:color="auto" w:sz="4" w:space="0"/>
              <w:bottom w:val="single" w:color="auto" w:sz="4" w:space="0"/>
              <w:right w:val="single" w:color="auto" w:sz="4" w:space="0"/>
            </w:tcBorders>
            <w:noWrap w:val="0"/>
            <w:vAlign w:val="center"/>
          </w:tcPr>
          <w:p w14:paraId="1EDE476E">
            <w:pPr>
              <w:widowControl/>
              <w:jc w:val="center"/>
              <w:rPr>
                <w:rFonts w:hint="eastAsia" w:ascii="宋体" w:hAnsi="宋体" w:eastAsia="宋体" w:cs="宋体"/>
                <w:b w:val="0"/>
                <w:bCs w:val="0"/>
                <w:color w:val="auto"/>
                <w:sz w:val="21"/>
                <w:szCs w:val="21"/>
                <w:lang w:val="zh-CN" w:eastAsia="zh-CN"/>
              </w:rPr>
            </w:pPr>
            <w:r>
              <w:rPr>
                <w:rFonts w:hint="eastAsia" w:ascii="宋体" w:hAnsi="宋体" w:cs="宋体"/>
                <w:b/>
                <w:bCs/>
                <w:color w:val="auto"/>
                <w:szCs w:val="21"/>
              </w:rPr>
              <w:t>评审因素</w:t>
            </w:r>
          </w:p>
        </w:tc>
        <w:tc>
          <w:tcPr>
            <w:tcW w:w="4177" w:type="dxa"/>
            <w:tcBorders>
              <w:top w:val="single" w:color="auto" w:sz="4" w:space="0"/>
              <w:left w:val="nil"/>
              <w:bottom w:val="single" w:color="auto" w:sz="4" w:space="0"/>
              <w:right w:val="single" w:color="auto" w:sz="4" w:space="0"/>
            </w:tcBorders>
            <w:noWrap w:val="0"/>
            <w:vAlign w:val="center"/>
          </w:tcPr>
          <w:p w14:paraId="7AF992CC">
            <w:pPr>
              <w:widowControl/>
              <w:jc w:val="center"/>
              <w:rPr>
                <w:rFonts w:hint="eastAsia" w:ascii="宋体" w:hAnsi="宋体" w:eastAsia="宋体" w:cs="宋体"/>
                <w:b w:val="0"/>
                <w:bCs w:val="0"/>
                <w:color w:val="auto"/>
                <w:sz w:val="21"/>
                <w:szCs w:val="21"/>
                <w:lang w:val="zh-CN" w:eastAsia="zh-CN"/>
              </w:rPr>
            </w:pPr>
            <w:r>
              <w:rPr>
                <w:rFonts w:hint="eastAsia" w:ascii="宋体" w:hAnsi="宋体" w:cs="宋体"/>
                <w:b/>
                <w:bCs/>
                <w:color w:val="auto"/>
                <w:szCs w:val="21"/>
              </w:rPr>
              <w:t>评审标准</w:t>
            </w:r>
          </w:p>
        </w:tc>
      </w:tr>
      <w:tr w14:paraId="1FDC6C3E">
        <w:tblPrEx>
          <w:tblCellMar>
            <w:top w:w="57" w:type="dxa"/>
            <w:left w:w="108" w:type="dxa"/>
            <w:bottom w:w="57" w:type="dxa"/>
            <w:right w:w="108" w:type="dxa"/>
          </w:tblCellMar>
        </w:tblPrEx>
        <w:trPr>
          <w:trHeight w:val="190" w:hRule="atLeast"/>
        </w:trPr>
        <w:tc>
          <w:tcPr>
            <w:tcW w:w="731" w:type="dxa"/>
            <w:vMerge w:val="restart"/>
            <w:tcBorders>
              <w:top w:val="single" w:color="auto" w:sz="4" w:space="0"/>
              <w:left w:val="single" w:color="auto" w:sz="4" w:space="0"/>
              <w:right w:val="single" w:color="auto" w:sz="4" w:space="0"/>
            </w:tcBorders>
            <w:noWrap w:val="0"/>
            <w:vAlign w:val="center"/>
          </w:tcPr>
          <w:p w14:paraId="54966220">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val="0"/>
                <w:bCs w:val="0"/>
                <w:color w:val="auto"/>
                <w:sz w:val="21"/>
                <w:szCs w:val="21"/>
                <w:lang w:val="zh-CN" w:eastAsia="zh-CN"/>
              </w:rPr>
            </w:pPr>
            <w:r>
              <w:rPr>
                <w:rFonts w:hint="eastAsia" w:ascii="宋体" w:hAnsi="宋体" w:eastAsia="宋体" w:cs="宋体"/>
                <w:b w:val="0"/>
                <w:bCs w:val="0"/>
                <w:color w:val="auto"/>
                <w:sz w:val="21"/>
                <w:szCs w:val="21"/>
                <w:lang w:val="zh-CN" w:eastAsia="zh-CN"/>
              </w:rPr>
              <w:t>1</w:t>
            </w:r>
          </w:p>
        </w:tc>
        <w:tc>
          <w:tcPr>
            <w:tcW w:w="4265" w:type="dxa"/>
            <w:tcBorders>
              <w:top w:val="single" w:color="auto" w:sz="4" w:space="0"/>
              <w:left w:val="single" w:color="auto" w:sz="4" w:space="0"/>
              <w:right w:val="single" w:color="auto" w:sz="4" w:space="0"/>
            </w:tcBorders>
            <w:noWrap w:val="0"/>
            <w:vAlign w:val="center"/>
          </w:tcPr>
          <w:p w14:paraId="5BFC7361">
            <w:pPr>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b w:val="0"/>
                <w:bCs w:val="0"/>
                <w:color w:val="auto"/>
                <w:sz w:val="21"/>
                <w:szCs w:val="21"/>
                <w:lang w:val="zh-CN" w:eastAsia="zh-CN"/>
              </w:rPr>
            </w:pPr>
            <w:r>
              <w:rPr>
                <w:rFonts w:hint="eastAsia" w:ascii="宋体" w:hAnsi="宋体" w:eastAsia="宋体" w:cs="宋体"/>
                <w:b w:val="0"/>
                <w:bCs w:val="0"/>
                <w:color w:val="auto"/>
                <w:sz w:val="21"/>
                <w:szCs w:val="21"/>
                <w:lang w:val="zh-CN" w:eastAsia="zh-CN"/>
              </w:rPr>
              <w:t>具有独立承担民事责任的能力；</w:t>
            </w:r>
          </w:p>
        </w:tc>
        <w:tc>
          <w:tcPr>
            <w:tcW w:w="4177" w:type="dxa"/>
            <w:tcBorders>
              <w:top w:val="single" w:color="auto" w:sz="4" w:space="0"/>
              <w:left w:val="nil"/>
              <w:bottom w:val="single" w:color="auto" w:sz="4" w:space="0"/>
              <w:right w:val="single" w:color="auto" w:sz="4" w:space="0"/>
            </w:tcBorders>
            <w:noWrap w:val="0"/>
            <w:vAlign w:val="center"/>
          </w:tcPr>
          <w:p w14:paraId="082E09FA">
            <w:pPr>
              <w:keepNext w:val="0"/>
              <w:keepLines w:val="0"/>
              <w:pageBreakBefore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cs="宋体"/>
                <w:b w:val="0"/>
                <w:bCs w:val="0"/>
                <w:color w:val="auto"/>
                <w:sz w:val="21"/>
                <w:szCs w:val="21"/>
                <w:lang w:val="zh-CN" w:eastAsia="zh-CN"/>
              </w:rPr>
            </w:pPr>
            <w:r>
              <w:rPr>
                <w:rFonts w:hint="eastAsia" w:ascii="宋体" w:hAnsi="宋体" w:eastAsia="宋体" w:cs="宋体"/>
                <w:b w:val="0"/>
                <w:bCs w:val="0"/>
                <w:color w:val="auto"/>
                <w:sz w:val="21"/>
                <w:szCs w:val="21"/>
                <w:lang w:val="zh-CN" w:eastAsia="zh-CN"/>
              </w:rPr>
              <w:t>（提供有效的营业执照、事业单位提供事业单位法人证书、等证明文件</w:t>
            </w:r>
            <w:r>
              <w:rPr>
                <w:rFonts w:hint="eastAsia" w:ascii="宋体" w:hAnsi="宋体" w:cs="宋体"/>
                <w:b w:val="0"/>
                <w:bCs w:val="0"/>
                <w:color w:val="auto"/>
                <w:sz w:val="21"/>
                <w:szCs w:val="21"/>
                <w:lang w:val="zh-CN" w:eastAsia="zh-CN"/>
              </w:rPr>
              <w:t>；</w:t>
            </w:r>
          </w:p>
          <w:p w14:paraId="6B6E2C05">
            <w:pPr>
              <w:keepNext w:val="0"/>
              <w:keepLines w:val="0"/>
              <w:pageBreakBefore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b w:val="0"/>
                <w:bCs w:val="0"/>
                <w:color w:val="auto"/>
                <w:sz w:val="21"/>
                <w:szCs w:val="21"/>
                <w:lang w:val="zh-CN" w:eastAsia="zh-CN"/>
              </w:rPr>
            </w:pPr>
            <w:r>
              <w:rPr>
                <w:rFonts w:hint="eastAsia" w:ascii="宋体" w:hAnsi="宋体" w:cs="宋体"/>
                <w:b w:val="0"/>
                <w:bCs w:val="0"/>
                <w:color w:val="auto"/>
                <w:sz w:val="21"/>
                <w:szCs w:val="21"/>
                <w:lang w:val="zh-CN" w:eastAsia="zh-CN"/>
              </w:rPr>
              <w:t>提供银行基本开户许可证或基本存款帐户信息。</w:t>
            </w:r>
            <w:r>
              <w:rPr>
                <w:rFonts w:hint="eastAsia" w:ascii="宋体" w:hAnsi="宋体" w:eastAsia="宋体" w:cs="宋体"/>
                <w:b w:val="0"/>
                <w:bCs w:val="0"/>
                <w:color w:val="auto"/>
                <w:sz w:val="21"/>
                <w:szCs w:val="21"/>
                <w:lang w:val="zh-CN" w:eastAsia="zh-CN"/>
              </w:rPr>
              <w:t>）</w:t>
            </w:r>
          </w:p>
        </w:tc>
      </w:tr>
      <w:tr w14:paraId="0D602804">
        <w:tblPrEx>
          <w:tblCellMar>
            <w:top w:w="57" w:type="dxa"/>
            <w:left w:w="108" w:type="dxa"/>
            <w:bottom w:w="57" w:type="dxa"/>
            <w:right w:w="108" w:type="dxa"/>
          </w:tblCellMar>
        </w:tblPrEx>
        <w:trPr>
          <w:trHeight w:val="99" w:hRule="atLeast"/>
        </w:trPr>
        <w:tc>
          <w:tcPr>
            <w:tcW w:w="731" w:type="dxa"/>
            <w:vMerge w:val="continue"/>
            <w:tcBorders>
              <w:left w:val="single" w:color="auto" w:sz="4" w:space="0"/>
              <w:right w:val="single" w:color="auto" w:sz="4" w:space="0"/>
            </w:tcBorders>
            <w:noWrap w:val="0"/>
            <w:vAlign w:val="center"/>
          </w:tcPr>
          <w:p w14:paraId="4D08D412">
            <w:pPr>
              <w:keepNext w:val="0"/>
              <w:keepLines w:val="0"/>
              <w:pageBreakBefore w:val="0"/>
              <w:kinsoku/>
              <w:wordWrap/>
              <w:overflowPunct/>
              <w:topLinePunct w:val="0"/>
              <w:autoSpaceDE/>
              <w:autoSpaceDN/>
              <w:bidi w:val="0"/>
              <w:adjustRightInd/>
              <w:snapToGrid/>
              <w:spacing w:line="480" w:lineRule="exact"/>
              <w:ind w:firstLine="420" w:firstLineChars="200"/>
              <w:jc w:val="center"/>
              <w:textAlignment w:val="auto"/>
              <w:rPr>
                <w:rFonts w:hint="eastAsia" w:ascii="宋体" w:hAnsi="宋体" w:eastAsia="宋体" w:cs="宋体"/>
                <w:b w:val="0"/>
                <w:bCs w:val="0"/>
                <w:color w:val="auto"/>
                <w:sz w:val="21"/>
                <w:szCs w:val="21"/>
                <w:lang w:val="zh-CN" w:eastAsia="zh-CN"/>
              </w:rPr>
            </w:pPr>
          </w:p>
        </w:tc>
        <w:tc>
          <w:tcPr>
            <w:tcW w:w="4265" w:type="dxa"/>
            <w:tcBorders>
              <w:top w:val="single" w:color="auto" w:sz="4" w:space="0"/>
              <w:left w:val="single" w:color="auto" w:sz="4" w:space="0"/>
              <w:bottom w:val="single" w:color="auto" w:sz="4" w:space="0"/>
              <w:right w:val="single" w:color="auto" w:sz="4" w:space="0"/>
            </w:tcBorders>
            <w:noWrap w:val="0"/>
            <w:vAlign w:val="center"/>
          </w:tcPr>
          <w:p w14:paraId="56BC37A3">
            <w:pPr>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b w:val="0"/>
                <w:bCs w:val="0"/>
                <w:color w:val="auto"/>
                <w:sz w:val="21"/>
                <w:szCs w:val="21"/>
                <w:lang w:val="zh-CN" w:eastAsia="zh-CN"/>
              </w:rPr>
            </w:pPr>
            <w:r>
              <w:rPr>
                <w:rFonts w:hint="eastAsia" w:ascii="宋体" w:hAnsi="宋体" w:eastAsia="宋体" w:cs="宋体"/>
                <w:b w:val="0"/>
                <w:bCs w:val="0"/>
                <w:color w:val="auto"/>
                <w:sz w:val="21"/>
                <w:szCs w:val="21"/>
                <w:lang w:val="zh-CN" w:eastAsia="zh-CN"/>
              </w:rPr>
              <w:t>具有良好的商业信誉和健全的财务会计制度；</w:t>
            </w:r>
          </w:p>
        </w:tc>
        <w:tc>
          <w:tcPr>
            <w:tcW w:w="4177" w:type="dxa"/>
            <w:tcBorders>
              <w:top w:val="single" w:color="auto" w:sz="4" w:space="0"/>
              <w:left w:val="nil"/>
              <w:bottom w:val="single" w:color="auto" w:sz="4" w:space="0"/>
              <w:right w:val="single" w:color="auto" w:sz="4" w:space="0"/>
            </w:tcBorders>
            <w:noWrap w:val="0"/>
            <w:vAlign w:val="center"/>
          </w:tcPr>
          <w:p w14:paraId="7BAD4E02">
            <w:pPr>
              <w:keepNext w:val="0"/>
              <w:keepLines w:val="0"/>
              <w:pageBreakBefore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b w:val="0"/>
                <w:bCs w:val="0"/>
                <w:color w:val="auto"/>
                <w:sz w:val="21"/>
                <w:szCs w:val="21"/>
                <w:lang w:val="zh-CN" w:eastAsia="zh-CN"/>
              </w:rPr>
            </w:pPr>
            <w:r>
              <w:rPr>
                <w:rFonts w:hint="eastAsia" w:ascii="宋体" w:hAnsi="宋体" w:eastAsia="宋体" w:cs="宋体"/>
                <w:b w:val="0"/>
                <w:bCs w:val="0"/>
                <w:color w:val="auto"/>
                <w:sz w:val="21"/>
                <w:szCs w:val="21"/>
                <w:lang w:val="zh-CN" w:eastAsia="zh-CN"/>
              </w:rPr>
              <w:t>（提供</w:t>
            </w:r>
            <w:r>
              <w:rPr>
                <w:rFonts w:hint="eastAsia" w:ascii="宋体" w:hAnsi="宋体" w:eastAsia="宋体" w:cs="宋体"/>
                <w:b w:val="0"/>
                <w:bCs w:val="0"/>
                <w:color w:val="auto"/>
                <w:sz w:val="21"/>
                <w:szCs w:val="21"/>
                <w:lang w:val="en-US" w:eastAsia="zh-CN"/>
              </w:rPr>
              <w:t>附件：基本资格条件承诺函）</w:t>
            </w:r>
          </w:p>
        </w:tc>
      </w:tr>
      <w:tr w14:paraId="2D8D9B0C">
        <w:tblPrEx>
          <w:tblCellMar>
            <w:top w:w="57" w:type="dxa"/>
            <w:left w:w="108" w:type="dxa"/>
            <w:bottom w:w="57" w:type="dxa"/>
            <w:right w:w="108" w:type="dxa"/>
          </w:tblCellMar>
        </w:tblPrEx>
        <w:trPr>
          <w:trHeight w:val="90" w:hRule="atLeast"/>
        </w:trPr>
        <w:tc>
          <w:tcPr>
            <w:tcW w:w="731" w:type="dxa"/>
            <w:vMerge w:val="continue"/>
            <w:tcBorders>
              <w:left w:val="single" w:color="auto" w:sz="4" w:space="0"/>
              <w:right w:val="single" w:color="auto" w:sz="4" w:space="0"/>
            </w:tcBorders>
            <w:noWrap w:val="0"/>
            <w:vAlign w:val="center"/>
          </w:tcPr>
          <w:p w14:paraId="31E3691E">
            <w:pPr>
              <w:keepNext w:val="0"/>
              <w:keepLines w:val="0"/>
              <w:pageBreakBefore w:val="0"/>
              <w:kinsoku/>
              <w:wordWrap/>
              <w:overflowPunct/>
              <w:topLinePunct w:val="0"/>
              <w:autoSpaceDE/>
              <w:autoSpaceDN/>
              <w:bidi w:val="0"/>
              <w:adjustRightInd/>
              <w:snapToGrid/>
              <w:spacing w:line="480" w:lineRule="exact"/>
              <w:ind w:firstLine="420" w:firstLineChars="200"/>
              <w:jc w:val="center"/>
              <w:textAlignment w:val="auto"/>
              <w:rPr>
                <w:rFonts w:hint="eastAsia" w:ascii="宋体" w:hAnsi="宋体" w:eastAsia="宋体" w:cs="宋体"/>
                <w:b w:val="0"/>
                <w:bCs w:val="0"/>
                <w:color w:val="auto"/>
                <w:sz w:val="21"/>
                <w:szCs w:val="21"/>
                <w:lang w:val="zh-CN" w:eastAsia="zh-CN"/>
              </w:rPr>
            </w:pPr>
          </w:p>
        </w:tc>
        <w:tc>
          <w:tcPr>
            <w:tcW w:w="4265" w:type="dxa"/>
            <w:tcBorders>
              <w:top w:val="single" w:color="auto" w:sz="4" w:space="0"/>
              <w:left w:val="single" w:color="auto" w:sz="4" w:space="0"/>
              <w:bottom w:val="single" w:color="auto" w:sz="4" w:space="0"/>
              <w:right w:val="single" w:color="auto" w:sz="4" w:space="0"/>
            </w:tcBorders>
            <w:noWrap w:val="0"/>
            <w:vAlign w:val="center"/>
          </w:tcPr>
          <w:p w14:paraId="0E864BE9">
            <w:pPr>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b w:val="0"/>
                <w:bCs w:val="0"/>
                <w:color w:val="auto"/>
                <w:sz w:val="21"/>
                <w:szCs w:val="21"/>
                <w:lang w:val="zh-CN" w:eastAsia="zh-CN"/>
              </w:rPr>
            </w:pPr>
            <w:r>
              <w:rPr>
                <w:rFonts w:hint="eastAsia" w:ascii="宋体" w:hAnsi="宋体" w:eastAsia="宋体" w:cs="宋体"/>
                <w:b w:val="0"/>
                <w:bCs w:val="0"/>
                <w:color w:val="auto"/>
                <w:sz w:val="21"/>
                <w:szCs w:val="21"/>
                <w:lang w:val="zh-CN" w:eastAsia="zh-CN"/>
              </w:rPr>
              <w:t>具有履行合同所必需的设备和专业技术能力；</w:t>
            </w:r>
          </w:p>
        </w:tc>
        <w:tc>
          <w:tcPr>
            <w:tcW w:w="4177" w:type="dxa"/>
            <w:tcBorders>
              <w:top w:val="single" w:color="auto" w:sz="4" w:space="0"/>
              <w:left w:val="nil"/>
              <w:bottom w:val="single" w:color="auto" w:sz="4" w:space="0"/>
              <w:right w:val="single" w:color="auto" w:sz="4" w:space="0"/>
            </w:tcBorders>
            <w:noWrap w:val="0"/>
            <w:vAlign w:val="center"/>
          </w:tcPr>
          <w:p w14:paraId="4BAF9B5D">
            <w:pPr>
              <w:keepNext w:val="0"/>
              <w:keepLines w:val="0"/>
              <w:pageBreakBefore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b w:val="0"/>
                <w:bCs w:val="0"/>
                <w:color w:val="auto"/>
                <w:sz w:val="21"/>
                <w:szCs w:val="21"/>
                <w:lang w:val="zh-CN" w:eastAsia="zh-CN"/>
              </w:rPr>
            </w:pPr>
            <w:r>
              <w:rPr>
                <w:rFonts w:hint="eastAsia" w:ascii="宋体" w:hAnsi="宋体" w:eastAsia="宋体" w:cs="宋体"/>
                <w:b w:val="0"/>
                <w:bCs w:val="0"/>
                <w:color w:val="auto"/>
                <w:sz w:val="21"/>
                <w:szCs w:val="21"/>
                <w:lang w:val="zh-CN" w:eastAsia="zh-CN"/>
              </w:rPr>
              <w:t>（提供</w:t>
            </w:r>
            <w:r>
              <w:rPr>
                <w:rFonts w:hint="eastAsia" w:ascii="宋体" w:hAnsi="宋体" w:eastAsia="宋体" w:cs="宋体"/>
                <w:b w:val="0"/>
                <w:bCs w:val="0"/>
                <w:color w:val="auto"/>
                <w:sz w:val="21"/>
                <w:szCs w:val="21"/>
                <w:lang w:val="en-US" w:eastAsia="zh-CN"/>
              </w:rPr>
              <w:t>相关</w:t>
            </w:r>
            <w:r>
              <w:rPr>
                <w:rFonts w:hint="eastAsia" w:ascii="宋体" w:hAnsi="宋体" w:eastAsia="宋体" w:cs="宋体"/>
                <w:b w:val="0"/>
                <w:bCs w:val="0"/>
                <w:color w:val="auto"/>
                <w:sz w:val="21"/>
                <w:szCs w:val="21"/>
                <w:lang w:val="zh-CN" w:eastAsia="zh-CN"/>
              </w:rPr>
              <w:t>证明材料</w:t>
            </w:r>
            <w:r>
              <w:rPr>
                <w:rFonts w:hint="eastAsia" w:ascii="宋体" w:hAnsi="宋体" w:cs="宋体"/>
                <w:b w:val="0"/>
                <w:bCs w:val="0"/>
                <w:color w:val="auto"/>
                <w:sz w:val="21"/>
                <w:szCs w:val="21"/>
                <w:lang w:val="en-US" w:eastAsia="zh-CN"/>
              </w:rPr>
              <w:t>和承诺函</w:t>
            </w:r>
            <w:r>
              <w:rPr>
                <w:rFonts w:hint="eastAsia" w:ascii="宋体" w:hAnsi="宋体" w:eastAsia="宋体" w:cs="宋体"/>
                <w:b w:val="0"/>
                <w:bCs w:val="0"/>
                <w:color w:val="auto"/>
                <w:sz w:val="21"/>
                <w:szCs w:val="21"/>
                <w:lang w:val="zh-CN" w:eastAsia="zh-CN"/>
              </w:rPr>
              <w:t>，格式自拟）</w:t>
            </w:r>
          </w:p>
        </w:tc>
      </w:tr>
      <w:tr w14:paraId="38F061B6">
        <w:tblPrEx>
          <w:tblCellMar>
            <w:top w:w="57" w:type="dxa"/>
            <w:left w:w="108" w:type="dxa"/>
            <w:bottom w:w="57" w:type="dxa"/>
            <w:right w:w="108" w:type="dxa"/>
          </w:tblCellMar>
        </w:tblPrEx>
        <w:trPr>
          <w:trHeight w:val="459" w:hRule="atLeast"/>
        </w:trPr>
        <w:tc>
          <w:tcPr>
            <w:tcW w:w="731" w:type="dxa"/>
            <w:vMerge w:val="continue"/>
            <w:tcBorders>
              <w:left w:val="single" w:color="auto" w:sz="4" w:space="0"/>
              <w:right w:val="single" w:color="auto" w:sz="4" w:space="0"/>
            </w:tcBorders>
            <w:noWrap w:val="0"/>
            <w:vAlign w:val="center"/>
          </w:tcPr>
          <w:p w14:paraId="077AF9D6">
            <w:pPr>
              <w:keepNext w:val="0"/>
              <w:keepLines w:val="0"/>
              <w:pageBreakBefore w:val="0"/>
              <w:kinsoku/>
              <w:wordWrap/>
              <w:overflowPunct/>
              <w:topLinePunct w:val="0"/>
              <w:autoSpaceDE/>
              <w:autoSpaceDN/>
              <w:bidi w:val="0"/>
              <w:adjustRightInd/>
              <w:snapToGrid/>
              <w:spacing w:line="480" w:lineRule="exact"/>
              <w:ind w:firstLine="420" w:firstLineChars="200"/>
              <w:jc w:val="center"/>
              <w:textAlignment w:val="auto"/>
              <w:rPr>
                <w:rFonts w:hint="eastAsia" w:ascii="宋体" w:hAnsi="宋体" w:eastAsia="宋体" w:cs="宋体"/>
                <w:b w:val="0"/>
                <w:bCs w:val="0"/>
                <w:color w:val="auto"/>
                <w:sz w:val="21"/>
                <w:szCs w:val="21"/>
                <w:lang w:val="zh-CN" w:eastAsia="zh-CN"/>
              </w:rPr>
            </w:pPr>
          </w:p>
        </w:tc>
        <w:tc>
          <w:tcPr>
            <w:tcW w:w="4265" w:type="dxa"/>
            <w:tcBorders>
              <w:top w:val="single" w:color="auto" w:sz="4" w:space="0"/>
              <w:left w:val="single" w:color="auto" w:sz="4" w:space="0"/>
              <w:bottom w:val="single" w:color="auto" w:sz="4" w:space="0"/>
              <w:right w:val="single" w:color="auto" w:sz="4" w:space="0"/>
            </w:tcBorders>
            <w:noWrap w:val="0"/>
            <w:vAlign w:val="center"/>
          </w:tcPr>
          <w:p w14:paraId="2CF9F8F8">
            <w:pPr>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b w:val="0"/>
                <w:bCs w:val="0"/>
                <w:color w:val="auto"/>
                <w:sz w:val="21"/>
                <w:szCs w:val="21"/>
                <w:lang w:val="zh-CN" w:eastAsia="zh-CN"/>
              </w:rPr>
            </w:pPr>
            <w:r>
              <w:rPr>
                <w:rFonts w:hint="eastAsia" w:ascii="宋体" w:hAnsi="宋体" w:eastAsia="宋体" w:cs="宋体"/>
                <w:b w:val="0"/>
                <w:bCs w:val="0"/>
                <w:color w:val="auto"/>
                <w:sz w:val="21"/>
                <w:szCs w:val="21"/>
                <w:lang w:val="zh-CN" w:eastAsia="zh-CN"/>
              </w:rPr>
              <w:t>有依法缴纳税收和社会保障资金的良好记录；</w:t>
            </w:r>
          </w:p>
        </w:tc>
        <w:tc>
          <w:tcPr>
            <w:tcW w:w="4177" w:type="dxa"/>
            <w:tcBorders>
              <w:top w:val="single" w:color="auto" w:sz="4" w:space="0"/>
              <w:left w:val="nil"/>
              <w:bottom w:val="single" w:color="auto" w:sz="4" w:space="0"/>
              <w:right w:val="single" w:color="auto" w:sz="4" w:space="0"/>
            </w:tcBorders>
            <w:noWrap w:val="0"/>
            <w:vAlign w:val="center"/>
          </w:tcPr>
          <w:p w14:paraId="4DFEAC76">
            <w:pPr>
              <w:keepNext w:val="0"/>
              <w:keepLines w:val="0"/>
              <w:pageBreakBefore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b w:val="0"/>
                <w:bCs w:val="0"/>
                <w:color w:val="auto"/>
                <w:sz w:val="21"/>
                <w:szCs w:val="21"/>
                <w:lang w:val="zh-CN" w:eastAsia="zh-CN"/>
              </w:rPr>
            </w:pPr>
            <w:r>
              <w:rPr>
                <w:rFonts w:hint="eastAsia" w:ascii="宋体" w:hAnsi="宋体" w:eastAsia="宋体" w:cs="宋体"/>
                <w:b w:val="0"/>
                <w:bCs w:val="0"/>
                <w:color w:val="auto"/>
                <w:sz w:val="21"/>
                <w:szCs w:val="21"/>
                <w:lang w:val="zh-CN" w:eastAsia="zh-CN"/>
              </w:rPr>
              <w:t>（提供</w:t>
            </w:r>
            <w:r>
              <w:rPr>
                <w:rFonts w:hint="eastAsia" w:ascii="宋体" w:hAnsi="宋体" w:eastAsia="宋体" w:cs="宋体"/>
                <w:b w:val="0"/>
                <w:bCs w:val="0"/>
                <w:color w:val="auto"/>
                <w:sz w:val="21"/>
                <w:szCs w:val="21"/>
                <w:lang w:val="en-US" w:eastAsia="zh-CN"/>
              </w:rPr>
              <w:t>附件：基本资格条件承诺函</w:t>
            </w:r>
            <w:r>
              <w:rPr>
                <w:rFonts w:hint="eastAsia" w:ascii="宋体" w:hAnsi="宋体" w:eastAsia="宋体" w:cs="宋体"/>
                <w:b w:val="0"/>
                <w:bCs w:val="0"/>
                <w:color w:val="auto"/>
                <w:sz w:val="21"/>
                <w:szCs w:val="21"/>
                <w:lang w:val="zh-CN" w:eastAsia="zh-CN"/>
              </w:rPr>
              <w:t>）</w:t>
            </w:r>
          </w:p>
        </w:tc>
      </w:tr>
      <w:tr w14:paraId="436D379D">
        <w:tblPrEx>
          <w:tblCellMar>
            <w:top w:w="57" w:type="dxa"/>
            <w:left w:w="108" w:type="dxa"/>
            <w:bottom w:w="57" w:type="dxa"/>
            <w:right w:w="108" w:type="dxa"/>
          </w:tblCellMar>
        </w:tblPrEx>
        <w:trPr>
          <w:trHeight w:val="20" w:hRule="atLeast"/>
        </w:trPr>
        <w:tc>
          <w:tcPr>
            <w:tcW w:w="731" w:type="dxa"/>
            <w:vMerge w:val="continue"/>
            <w:tcBorders>
              <w:left w:val="single" w:color="auto" w:sz="4" w:space="0"/>
              <w:right w:val="single" w:color="auto" w:sz="4" w:space="0"/>
            </w:tcBorders>
            <w:noWrap w:val="0"/>
            <w:vAlign w:val="center"/>
          </w:tcPr>
          <w:p w14:paraId="5BD711F3">
            <w:pPr>
              <w:keepNext w:val="0"/>
              <w:keepLines w:val="0"/>
              <w:pageBreakBefore w:val="0"/>
              <w:kinsoku/>
              <w:wordWrap/>
              <w:overflowPunct/>
              <w:topLinePunct w:val="0"/>
              <w:autoSpaceDE/>
              <w:autoSpaceDN/>
              <w:bidi w:val="0"/>
              <w:adjustRightInd/>
              <w:snapToGrid/>
              <w:spacing w:line="480" w:lineRule="exact"/>
              <w:ind w:firstLine="420" w:firstLineChars="200"/>
              <w:jc w:val="center"/>
              <w:textAlignment w:val="auto"/>
              <w:rPr>
                <w:rFonts w:hint="eastAsia" w:ascii="宋体" w:hAnsi="宋体" w:eastAsia="宋体" w:cs="宋体"/>
                <w:b w:val="0"/>
                <w:bCs w:val="0"/>
                <w:color w:val="auto"/>
                <w:sz w:val="21"/>
                <w:szCs w:val="21"/>
                <w:lang w:val="zh-CN" w:eastAsia="zh-CN"/>
              </w:rPr>
            </w:pPr>
          </w:p>
        </w:tc>
        <w:tc>
          <w:tcPr>
            <w:tcW w:w="4265" w:type="dxa"/>
            <w:tcBorders>
              <w:top w:val="single" w:color="auto" w:sz="4" w:space="0"/>
              <w:left w:val="single" w:color="auto" w:sz="4" w:space="0"/>
              <w:bottom w:val="single" w:color="auto" w:sz="4" w:space="0"/>
              <w:right w:val="single" w:color="auto" w:sz="4" w:space="0"/>
            </w:tcBorders>
            <w:noWrap w:val="0"/>
            <w:vAlign w:val="center"/>
          </w:tcPr>
          <w:p w14:paraId="027EBF5B">
            <w:pPr>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b w:val="0"/>
                <w:bCs w:val="0"/>
                <w:color w:val="auto"/>
                <w:sz w:val="21"/>
                <w:szCs w:val="21"/>
                <w:lang w:val="zh-CN" w:eastAsia="zh-CN"/>
              </w:rPr>
            </w:pPr>
            <w:r>
              <w:rPr>
                <w:rFonts w:hint="eastAsia" w:ascii="宋体" w:hAnsi="宋体" w:eastAsia="宋体" w:cs="宋体"/>
                <w:b w:val="0"/>
                <w:bCs w:val="0"/>
                <w:color w:val="auto"/>
                <w:sz w:val="21"/>
                <w:szCs w:val="21"/>
                <w:lang w:val="zh-CN" w:eastAsia="zh-CN"/>
              </w:rPr>
              <w:t>参加采购活动前三年内，在经营活动中没有重大违法记录；</w:t>
            </w:r>
          </w:p>
        </w:tc>
        <w:tc>
          <w:tcPr>
            <w:tcW w:w="4177" w:type="dxa"/>
            <w:tcBorders>
              <w:top w:val="single" w:color="auto" w:sz="4" w:space="0"/>
              <w:left w:val="nil"/>
              <w:bottom w:val="single" w:color="auto" w:sz="4" w:space="0"/>
              <w:right w:val="single" w:color="auto" w:sz="4" w:space="0"/>
            </w:tcBorders>
            <w:noWrap w:val="0"/>
            <w:vAlign w:val="center"/>
          </w:tcPr>
          <w:p w14:paraId="5D1F10B7">
            <w:pPr>
              <w:keepNext w:val="0"/>
              <w:keepLines w:val="0"/>
              <w:pageBreakBefore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b w:val="0"/>
                <w:bCs w:val="0"/>
                <w:color w:val="auto"/>
                <w:sz w:val="21"/>
                <w:szCs w:val="21"/>
                <w:lang w:val="zh-CN" w:eastAsia="zh-CN"/>
              </w:rPr>
            </w:pPr>
            <w:r>
              <w:rPr>
                <w:rFonts w:hint="eastAsia" w:ascii="宋体" w:hAnsi="宋体" w:eastAsia="宋体" w:cs="宋体"/>
                <w:b w:val="0"/>
                <w:bCs w:val="0"/>
                <w:color w:val="auto"/>
                <w:sz w:val="21"/>
                <w:szCs w:val="21"/>
                <w:lang w:val="zh-CN" w:eastAsia="zh-CN"/>
              </w:rPr>
              <w:t>（提供</w:t>
            </w:r>
            <w:r>
              <w:rPr>
                <w:rFonts w:hint="eastAsia" w:ascii="宋体" w:hAnsi="宋体" w:eastAsia="宋体" w:cs="宋体"/>
                <w:b w:val="0"/>
                <w:bCs w:val="0"/>
                <w:color w:val="auto"/>
                <w:sz w:val="21"/>
                <w:szCs w:val="21"/>
                <w:lang w:val="en-US" w:eastAsia="zh-CN"/>
              </w:rPr>
              <w:t>附件：基本资格条件承诺函</w:t>
            </w:r>
            <w:r>
              <w:rPr>
                <w:rFonts w:hint="eastAsia" w:ascii="宋体" w:hAnsi="宋体" w:eastAsia="宋体" w:cs="宋体"/>
                <w:b w:val="0"/>
                <w:bCs w:val="0"/>
                <w:color w:val="auto"/>
                <w:sz w:val="21"/>
                <w:szCs w:val="21"/>
                <w:lang w:val="zh-CN" w:eastAsia="zh-CN"/>
              </w:rPr>
              <w:t>）</w:t>
            </w:r>
          </w:p>
        </w:tc>
      </w:tr>
      <w:tr w14:paraId="48622861">
        <w:tblPrEx>
          <w:tblCellMar>
            <w:top w:w="57" w:type="dxa"/>
            <w:left w:w="108" w:type="dxa"/>
            <w:bottom w:w="57" w:type="dxa"/>
            <w:right w:w="108" w:type="dxa"/>
          </w:tblCellMar>
        </w:tblPrEx>
        <w:trPr>
          <w:trHeight w:val="20" w:hRule="atLeast"/>
        </w:trPr>
        <w:tc>
          <w:tcPr>
            <w:tcW w:w="731" w:type="dxa"/>
            <w:tcBorders>
              <w:top w:val="single" w:color="auto" w:sz="4" w:space="0"/>
              <w:left w:val="single" w:color="auto" w:sz="4" w:space="0"/>
              <w:bottom w:val="single" w:color="auto" w:sz="4" w:space="0"/>
              <w:right w:val="single" w:color="auto" w:sz="4" w:space="0"/>
            </w:tcBorders>
            <w:noWrap w:val="0"/>
            <w:vAlign w:val="center"/>
          </w:tcPr>
          <w:p w14:paraId="3D8D955C">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val="0"/>
                <w:bCs w:val="0"/>
                <w:color w:val="auto"/>
                <w:sz w:val="21"/>
                <w:szCs w:val="21"/>
                <w:lang w:val="zh-CN" w:eastAsia="zh-CN"/>
              </w:rPr>
            </w:pPr>
            <w:r>
              <w:rPr>
                <w:rFonts w:hint="eastAsia" w:ascii="宋体" w:hAnsi="宋体" w:eastAsia="宋体" w:cs="宋体"/>
                <w:b w:val="0"/>
                <w:bCs w:val="0"/>
                <w:color w:val="auto"/>
                <w:sz w:val="21"/>
                <w:szCs w:val="21"/>
                <w:lang w:val="zh-CN" w:eastAsia="zh-CN"/>
              </w:rPr>
              <w:t>2</w:t>
            </w:r>
          </w:p>
        </w:tc>
        <w:tc>
          <w:tcPr>
            <w:tcW w:w="4265" w:type="dxa"/>
            <w:tcBorders>
              <w:top w:val="single" w:color="auto" w:sz="4" w:space="0"/>
              <w:left w:val="single" w:color="auto" w:sz="4" w:space="0"/>
              <w:bottom w:val="single" w:color="auto" w:sz="4" w:space="0"/>
              <w:right w:val="single" w:color="auto" w:sz="4" w:space="0"/>
            </w:tcBorders>
            <w:noWrap w:val="0"/>
            <w:vAlign w:val="center"/>
          </w:tcPr>
          <w:p w14:paraId="1B68E322">
            <w:pPr>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b w:val="0"/>
                <w:bCs w:val="0"/>
                <w:color w:val="auto"/>
                <w:sz w:val="21"/>
                <w:szCs w:val="21"/>
                <w:lang w:val="zh-CN" w:eastAsia="zh-CN"/>
              </w:rPr>
            </w:pPr>
            <w:r>
              <w:rPr>
                <w:rFonts w:hint="eastAsia" w:ascii="宋体" w:hAnsi="宋体" w:eastAsia="宋体" w:cs="宋体"/>
                <w:b w:val="0"/>
                <w:bCs w:val="0"/>
                <w:color w:val="auto"/>
                <w:sz w:val="21"/>
                <w:szCs w:val="21"/>
                <w:lang w:val="zh-CN" w:eastAsia="zh-CN"/>
              </w:rPr>
              <w:t xml:space="preserve">单位负责人为同一人或者存在直接控股、管理关系的不同投标人，不得参加本项目同一合同项下的政府采购活动。 </w:t>
            </w:r>
          </w:p>
        </w:tc>
        <w:tc>
          <w:tcPr>
            <w:tcW w:w="4177" w:type="dxa"/>
            <w:tcBorders>
              <w:top w:val="single" w:color="auto" w:sz="4" w:space="0"/>
              <w:left w:val="nil"/>
              <w:bottom w:val="single" w:color="auto" w:sz="4" w:space="0"/>
              <w:right w:val="single" w:color="auto" w:sz="4" w:space="0"/>
            </w:tcBorders>
            <w:noWrap w:val="0"/>
            <w:vAlign w:val="center"/>
          </w:tcPr>
          <w:p w14:paraId="4634B7C6">
            <w:pPr>
              <w:keepNext w:val="0"/>
              <w:keepLines w:val="0"/>
              <w:pageBreakBefore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b w:val="0"/>
                <w:bCs w:val="0"/>
                <w:color w:val="auto"/>
                <w:sz w:val="21"/>
                <w:szCs w:val="21"/>
                <w:lang w:val="zh-CN" w:eastAsia="zh-CN"/>
              </w:rPr>
            </w:pPr>
            <w:r>
              <w:rPr>
                <w:rFonts w:hint="eastAsia" w:ascii="宋体" w:hAnsi="宋体" w:eastAsia="宋体" w:cs="宋体"/>
                <w:b w:val="0"/>
                <w:bCs w:val="0"/>
                <w:color w:val="auto"/>
                <w:sz w:val="21"/>
                <w:szCs w:val="21"/>
                <w:lang w:val="zh-CN" w:eastAsia="zh-CN"/>
              </w:rPr>
              <w:t>（提供承诺函，格式自拟）</w:t>
            </w:r>
          </w:p>
        </w:tc>
      </w:tr>
      <w:tr w14:paraId="3A63C496">
        <w:tblPrEx>
          <w:tblCellMar>
            <w:top w:w="57" w:type="dxa"/>
            <w:left w:w="108" w:type="dxa"/>
            <w:bottom w:w="57" w:type="dxa"/>
            <w:right w:w="108" w:type="dxa"/>
          </w:tblCellMar>
        </w:tblPrEx>
        <w:trPr>
          <w:trHeight w:val="20" w:hRule="atLeast"/>
        </w:trPr>
        <w:tc>
          <w:tcPr>
            <w:tcW w:w="731" w:type="dxa"/>
            <w:tcBorders>
              <w:top w:val="single" w:color="auto" w:sz="4" w:space="0"/>
              <w:left w:val="single" w:color="auto" w:sz="4" w:space="0"/>
              <w:bottom w:val="single" w:color="auto" w:sz="4" w:space="0"/>
              <w:right w:val="single" w:color="auto" w:sz="4" w:space="0"/>
            </w:tcBorders>
            <w:noWrap w:val="0"/>
            <w:vAlign w:val="center"/>
          </w:tcPr>
          <w:p w14:paraId="4976E6D8">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val="0"/>
                <w:bCs w:val="0"/>
                <w:color w:val="auto"/>
                <w:sz w:val="21"/>
                <w:szCs w:val="21"/>
                <w:lang w:val="zh-CN" w:eastAsia="zh-CN"/>
              </w:rPr>
            </w:pPr>
            <w:r>
              <w:rPr>
                <w:rFonts w:hint="eastAsia" w:ascii="宋体" w:hAnsi="宋体" w:eastAsia="宋体" w:cs="宋体"/>
                <w:b w:val="0"/>
                <w:bCs w:val="0"/>
                <w:color w:val="auto"/>
                <w:sz w:val="21"/>
                <w:szCs w:val="21"/>
                <w:lang w:val="zh-CN" w:eastAsia="zh-CN"/>
              </w:rPr>
              <w:t>3</w:t>
            </w:r>
          </w:p>
        </w:tc>
        <w:tc>
          <w:tcPr>
            <w:tcW w:w="4265" w:type="dxa"/>
            <w:tcBorders>
              <w:top w:val="single" w:color="auto" w:sz="4" w:space="0"/>
              <w:left w:val="single" w:color="auto" w:sz="4" w:space="0"/>
              <w:bottom w:val="single" w:color="auto" w:sz="4" w:space="0"/>
              <w:right w:val="single" w:color="auto" w:sz="4" w:space="0"/>
            </w:tcBorders>
            <w:noWrap w:val="0"/>
            <w:vAlign w:val="center"/>
          </w:tcPr>
          <w:p w14:paraId="03B7FFCF">
            <w:pPr>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b w:val="0"/>
                <w:bCs w:val="0"/>
                <w:color w:val="auto"/>
                <w:sz w:val="21"/>
                <w:szCs w:val="21"/>
                <w:lang w:val="zh-CN" w:eastAsia="zh-CN"/>
              </w:rPr>
            </w:pPr>
            <w:r>
              <w:rPr>
                <w:rFonts w:hint="eastAsia" w:ascii="宋体" w:hAnsi="宋体" w:eastAsia="宋体" w:cs="宋体"/>
                <w:b w:val="0"/>
                <w:bCs w:val="0"/>
                <w:color w:val="auto"/>
                <w:sz w:val="21"/>
                <w:szCs w:val="21"/>
                <w:lang w:val="zh-CN" w:eastAsia="zh-CN"/>
              </w:rPr>
              <w:t>为本采购项目提供整体设计、规范编制或者项目管理、监理、检测等服务的，不得再参加本项目的其他招标采购活动。</w:t>
            </w:r>
          </w:p>
        </w:tc>
        <w:tc>
          <w:tcPr>
            <w:tcW w:w="4177" w:type="dxa"/>
            <w:tcBorders>
              <w:top w:val="single" w:color="auto" w:sz="4" w:space="0"/>
              <w:left w:val="nil"/>
              <w:bottom w:val="single" w:color="auto" w:sz="4" w:space="0"/>
              <w:right w:val="single" w:color="auto" w:sz="4" w:space="0"/>
            </w:tcBorders>
            <w:noWrap w:val="0"/>
            <w:vAlign w:val="center"/>
          </w:tcPr>
          <w:p w14:paraId="0388D340">
            <w:pPr>
              <w:keepNext w:val="0"/>
              <w:keepLines w:val="0"/>
              <w:pageBreakBefore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b w:val="0"/>
                <w:bCs w:val="0"/>
                <w:color w:val="auto"/>
                <w:sz w:val="21"/>
                <w:szCs w:val="21"/>
                <w:lang w:val="zh-CN" w:eastAsia="zh-CN"/>
              </w:rPr>
            </w:pPr>
            <w:r>
              <w:rPr>
                <w:rFonts w:hint="eastAsia" w:ascii="宋体" w:hAnsi="宋体" w:eastAsia="宋体" w:cs="宋体"/>
                <w:b w:val="0"/>
                <w:bCs w:val="0"/>
                <w:color w:val="auto"/>
                <w:sz w:val="21"/>
                <w:szCs w:val="21"/>
                <w:lang w:val="zh-CN" w:eastAsia="zh-CN"/>
              </w:rPr>
              <w:t>（提供承诺函，格式自拟）</w:t>
            </w:r>
          </w:p>
        </w:tc>
      </w:tr>
      <w:tr w14:paraId="4E89A07A">
        <w:tblPrEx>
          <w:tblCellMar>
            <w:top w:w="57" w:type="dxa"/>
            <w:left w:w="108" w:type="dxa"/>
            <w:bottom w:w="57" w:type="dxa"/>
            <w:right w:w="108" w:type="dxa"/>
          </w:tblCellMar>
        </w:tblPrEx>
        <w:trPr>
          <w:trHeight w:val="20" w:hRule="atLeast"/>
        </w:trPr>
        <w:tc>
          <w:tcPr>
            <w:tcW w:w="731" w:type="dxa"/>
            <w:tcBorders>
              <w:top w:val="single" w:color="auto" w:sz="4" w:space="0"/>
              <w:left w:val="single" w:color="auto" w:sz="4" w:space="0"/>
              <w:bottom w:val="single" w:color="auto" w:sz="4" w:space="0"/>
              <w:right w:val="single" w:color="auto" w:sz="4" w:space="0"/>
            </w:tcBorders>
            <w:noWrap w:val="0"/>
            <w:vAlign w:val="center"/>
          </w:tcPr>
          <w:p w14:paraId="7A232329">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val="0"/>
                <w:bCs w:val="0"/>
                <w:color w:val="auto"/>
                <w:sz w:val="21"/>
                <w:szCs w:val="21"/>
                <w:lang w:val="zh-CN" w:eastAsia="zh-CN"/>
              </w:rPr>
            </w:pPr>
            <w:r>
              <w:rPr>
                <w:rFonts w:hint="eastAsia" w:ascii="宋体" w:hAnsi="宋体" w:eastAsia="宋体" w:cs="宋体"/>
                <w:b w:val="0"/>
                <w:bCs w:val="0"/>
                <w:color w:val="auto"/>
                <w:sz w:val="21"/>
                <w:szCs w:val="21"/>
                <w:lang w:val="zh-CN" w:eastAsia="zh-CN"/>
              </w:rPr>
              <w:t>4</w:t>
            </w:r>
          </w:p>
        </w:tc>
        <w:tc>
          <w:tcPr>
            <w:tcW w:w="4265" w:type="dxa"/>
            <w:tcBorders>
              <w:top w:val="single" w:color="auto" w:sz="4" w:space="0"/>
              <w:left w:val="single" w:color="auto" w:sz="4" w:space="0"/>
              <w:bottom w:val="single" w:color="auto" w:sz="4" w:space="0"/>
              <w:right w:val="single" w:color="auto" w:sz="4" w:space="0"/>
            </w:tcBorders>
            <w:noWrap w:val="0"/>
            <w:vAlign w:val="center"/>
          </w:tcPr>
          <w:p w14:paraId="5BC95B05">
            <w:pPr>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b w:val="0"/>
                <w:bCs w:val="0"/>
                <w:color w:val="auto"/>
                <w:sz w:val="21"/>
                <w:szCs w:val="21"/>
                <w:lang w:val="zh-CN" w:eastAsia="zh-CN"/>
              </w:rPr>
            </w:pPr>
            <w:r>
              <w:rPr>
                <w:rFonts w:hint="eastAsia" w:ascii="宋体" w:hAnsi="宋体" w:eastAsia="宋体" w:cs="宋体"/>
                <w:b w:val="0"/>
                <w:bCs w:val="0"/>
                <w:color w:val="auto"/>
                <w:sz w:val="21"/>
                <w:szCs w:val="21"/>
                <w:lang w:val="en-US" w:eastAsia="zh-CN"/>
              </w:rPr>
              <w:t>投标人未被列入“信用中国”网站(www.creditchina.gov.cn)失信被执行人、重大税收违法案件当事人记录名单、政府采购严重违法失信行为信息记录名单。</w:t>
            </w:r>
          </w:p>
        </w:tc>
        <w:tc>
          <w:tcPr>
            <w:tcW w:w="4177" w:type="dxa"/>
            <w:tcBorders>
              <w:top w:val="single" w:color="auto" w:sz="4" w:space="0"/>
              <w:left w:val="nil"/>
              <w:bottom w:val="single" w:color="auto" w:sz="4" w:space="0"/>
              <w:right w:val="single" w:color="auto" w:sz="4" w:space="0"/>
            </w:tcBorders>
            <w:noWrap w:val="0"/>
            <w:vAlign w:val="center"/>
          </w:tcPr>
          <w:p w14:paraId="74C2192C">
            <w:pPr>
              <w:keepNext w:val="0"/>
              <w:keepLines w:val="0"/>
              <w:pageBreakBefore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b w:val="0"/>
                <w:bCs w:val="0"/>
                <w:color w:val="auto"/>
                <w:sz w:val="21"/>
                <w:szCs w:val="21"/>
                <w:lang w:val="zh-CN" w:eastAsia="zh-CN"/>
              </w:rPr>
            </w:pPr>
            <w:r>
              <w:rPr>
                <w:rFonts w:hint="eastAsia" w:ascii="宋体" w:hAnsi="宋体" w:eastAsia="宋体" w:cs="宋体"/>
                <w:b w:val="0"/>
                <w:bCs w:val="0"/>
                <w:color w:val="auto"/>
                <w:sz w:val="21"/>
                <w:szCs w:val="21"/>
                <w:lang w:val="zh-CN" w:eastAsia="zh-CN"/>
              </w:rPr>
              <w:t>（提供</w:t>
            </w:r>
            <w:r>
              <w:rPr>
                <w:rFonts w:hint="eastAsia" w:ascii="宋体" w:hAnsi="宋体" w:eastAsia="宋体" w:cs="宋体"/>
                <w:b w:val="0"/>
                <w:bCs w:val="0"/>
                <w:color w:val="auto"/>
                <w:sz w:val="21"/>
                <w:szCs w:val="21"/>
                <w:lang w:val="en-US" w:eastAsia="zh-CN"/>
              </w:rPr>
              <w:t>基本资格条件承诺函</w:t>
            </w:r>
            <w:r>
              <w:rPr>
                <w:rFonts w:hint="eastAsia" w:ascii="宋体" w:hAnsi="宋体" w:cs="宋体"/>
                <w:b w:val="0"/>
                <w:bCs w:val="0"/>
                <w:color w:val="auto"/>
                <w:sz w:val="21"/>
                <w:szCs w:val="21"/>
                <w:lang w:val="en-US" w:eastAsia="zh-CN"/>
              </w:rPr>
              <w:t>和网页截图</w:t>
            </w:r>
            <w:r>
              <w:rPr>
                <w:rFonts w:hint="eastAsia" w:ascii="宋体" w:hAnsi="宋体" w:eastAsia="宋体" w:cs="宋体"/>
                <w:b w:val="0"/>
                <w:bCs w:val="0"/>
                <w:color w:val="auto"/>
                <w:sz w:val="21"/>
                <w:szCs w:val="21"/>
                <w:lang w:val="zh-CN" w:eastAsia="zh-CN"/>
              </w:rPr>
              <w:t>）</w:t>
            </w:r>
          </w:p>
        </w:tc>
      </w:tr>
      <w:tr w14:paraId="33438D38">
        <w:tblPrEx>
          <w:tblCellMar>
            <w:top w:w="57" w:type="dxa"/>
            <w:left w:w="108" w:type="dxa"/>
            <w:bottom w:w="57" w:type="dxa"/>
            <w:right w:w="108" w:type="dxa"/>
          </w:tblCellMar>
        </w:tblPrEx>
        <w:trPr>
          <w:trHeight w:val="699" w:hRule="atLeast"/>
        </w:trPr>
        <w:tc>
          <w:tcPr>
            <w:tcW w:w="731" w:type="dxa"/>
            <w:tcBorders>
              <w:top w:val="single" w:color="auto" w:sz="4" w:space="0"/>
              <w:left w:val="single" w:color="auto" w:sz="4" w:space="0"/>
              <w:bottom w:val="single" w:color="auto" w:sz="4" w:space="0"/>
              <w:right w:val="single" w:color="auto" w:sz="4" w:space="0"/>
            </w:tcBorders>
            <w:noWrap w:val="0"/>
            <w:vAlign w:val="center"/>
          </w:tcPr>
          <w:p w14:paraId="230FE2AA">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val="0"/>
                <w:bCs w:val="0"/>
                <w:color w:val="auto"/>
                <w:sz w:val="21"/>
                <w:szCs w:val="21"/>
                <w:lang w:val="zh-CN" w:eastAsia="zh-CN"/>
              </w:rPr>
            </w:pPr>
            <w:r>
              <w:rPr>
                <w:rFonts w:hint="eastAsia" w:ascii="宋体" w:hAnsi="宋体" w:eastAsia="宋体" w:cs="宋体"/>
                <w:b w:val="0"/>
                <w:bCs w:val="0"/>
                <w:color w:val="auto"/>
                <w:sz w:val="21"/>
                <w:szCs w:val="21"/>
                <w:lang w:val="zh-CN" w:eastAsia="zh-CN"/>
              </w:rPr>
              <w:t>5</w:t>
            </w:r>
          </w:p>
        </w:tc>
        <w:tc>
          <w:tcPr>
            <w:tcW w:w="4265" w:type="dxa"/>
            <w:tcBorders>
              <w:top w:val="single" w:color="auto" w:sz="4" w:space="0"/>
              <w:left w:val="single" w:color="auto" w:sz="4" w:space="0"/>
              <w:bottom w:val="single" w:color="auto" w:sz="4" w:space="0"/>
              <w:right w:val="single" w:color="auto" w:sz="4" w:space="0"/>
            </w:tcBorders>
            <w:noWrap w:val="0"/>
            <w:vAlign w:val="center"/>
          </w:tcPr>
          <w:p w14:paraId="29DFE77B">
            <w:pPr>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供应商具备建设行政主管部门核发的电力工程施工总承包或输变电工程专业承包叁级及以上资质，同时具备承装(修、试)电力设施承装类、承修类、承试类许可四级及以上等级，具备有效的安全生产许可证。拟派的项目经理须具备建设行政主管部门核发的机电工程专业贰级或以上注册建造师资格（不含临时证），具备有效的安全生产考核合格证书（B证），且未担任其他在建工程项目的项目经理。技术负责人具有相关专业中级或以上职称，施工员、质检（质量）员、材料员、资料员、安全员具备岗位证书，安全员具备安全生产考核合格证书（C证）</w:t>
            </w:r>
            <w:r>
              <w:rPr>
                <w:rFonts w:hint="eastAsia" w:ascii="宋体" w:hAnsi="宋体" w:eastAsia="宋体" w:cs="宋体"/>
                <w:b w:val="0"/>
                <w:bCs w:val="0"/>
                <w:color w:val="auto"/>
                <w:sz w:val="21"/>
                <w:szCs w:val="21"/>
                <w:lang w:val="en-US" w:eastAsia="zh-CN"/>
              </w:rPr>
              <w:t>。</w:t>
            </w:r>
          </w:p>
        </w:tc>
        <w:tc>
          <w:tcPr>
            <w:tcW w:w="4177" w:type="dxa"/>
            <w:tcBorders>
              <w:top w:val="single" w:color="auto" w:sz="4" w:space="0"/>
              <w:left w:val="nil"/>
              <w:bottom w:val="single" w:color="auto" w:sz="4" w:space="0"/>
              <w:right w:val="single" w:color="auto" w:sz="4" w:space="0"/>
            </w:tcBorders>
            <w:noWrap w:val="0"/>
            <w:vAlign w:val="center"/>
          </w:tcPr>
          <w:p w14:paraId="73F4B4A1">
            <w:pPr>
              <w:keepNext w:val="0"/>
              <w:keepLines w:val="0"/>
              <w:pageBreakBefore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b w:val="0"/>
                <w:bCs w:val="0"/>
                <w:color w:val="auto"/>
                <w:sz w:val="21"/>
                <w:szCs w:val="21"/>
                <w:lang w:val="zh-CN" w:eastAsia="zh-CN"/>
              </w:rPr>
            </w:pPr>
            <w:r>
              <w:rPr>
                <w:rFonts w:hint="eastAsia" w:ascii="宋体" w:hAnsi="宋体" w:cs="宋体"/>
                <w:b w:val="0"/>
                <w:bCs w:val="0"/>
                <w:color w:val="auto"/>
                <w:sz w:val="21"/>
                <w:szCs w:val="21"/>
                <w:lang w:val="en-US" w:eastAsia="zh-CN"/>
              </w:rPr>
              <w:t>（提供证明材料；未担任其他在建工程承诺函</w:t>
            </w:r>
            <w:r>
              <w:rPr>
                <w:rFonts w:hint="eastAsia" w:ascii="宋体" w:hAnsi="宋体" w:eastAsia="宋体" w:cs="宋体"/>
                <w:b w:val="0"/>
                <w:bCs w:val="0"/>
                <w:color w:val="auto"/>
                <w:sz w:val="21"/>
                <w:szCs w:val="21"/>
                <w:lang w:val="zh-CN" w:eastAsia="zh-CN"/>
              </w:rPr>
              <w:t>，格式自拟</w:t>
            </w:r>
            <w:r>
              <w:rPr>
                <w:rFonts w:hint="eastAsia" w:ascii="宋体" w:hAnsi="宋体" w:cs="宋体"/>
                <w:b w:val="0"/>
                <w:bCs w:val="0"/>
                <w:color w:val="auto"/>
                <w:sz w:val="21"/>
                <w:szCs w:val="21"/>
                <w:lang w:val="en-US" w:eastAsia="zh-CN"/>
              </w:rPr>
              <w:t>）</w:t>
            </w:r>
          </w:p>
        </w:tc>
      </w:tr>
      <w:tr w14:paraId="61D97A8C">
        <w:tblPrEx>
          <w:tblCellMar>
            <w:top w:w="57" w:type="dxa"/>
            <w:left w:w="108" w:type="dxa"/>
            <w:bottom w:w="57" w:type="dxa"/>
            <w:right w:w="108" w:type="dxa"/>
          </w:tblCellMar>
        </w:tblPrEx>
        <w:trPr>
          <w:trHeight w:val="699" w:hRule="atLeast"/>
        </w:trPr>
        <w:tc>
          <w:tcPr>
            <w:tcW w:w="731" w:type="dxa"/>
            <w:tcBorders>
              <w:top w:val="single" w:color="auto" w:sz="4" w:space="0"/>
              <w:left w:val="single" w:color="auto" w:sz="4" w:space="0"/>
              <w:bottom w:val="single" w:color="auto" w:sz="4" w:space="0"/>
              <w:right w:val="single" w:color="auto" w:sz="4" w:space="0"/>
            </w:tcBorders>
            <w:noWrap w:val="0"/>
            <w:vAlign w:val="center"/>
          </w:tcPr>
          <w:p w14:paraId="64373D08">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val="0"/>
                <w:bCs w:val="0"/>
                <w:color w:val="auto"/>
                <w:sz w:val="21"/>
                <w:szCs w:val="21"/>
                <w:lang w:val="zh-CN" w:eastAsia="zh-CN"/>
              </w:rPr>
            </w:pPr>
            <w:r>
              <w:rPr>
                <w:rFonts w:hint="eastAsia" w:ascii="宋体" w:hAnsi="宋体" w:eastAsia="宋体" w:cs="宋体"/>
                <w:b w:val="0"/>
                <w:bCs w:val="0"/>
                <w:color w:val="auto"/>
                <w:sz w:val="21"/>
                <w:szCs w:val="21"/>
                <w:lang w:val="en-US" w:eastAsia="zh-CN"/>
              </w:rPr>
              <w:t>6</w:t>
            </w:r>
          </w:p>
        </w:tc>
        <w:tc>
          <w:tcPr>
            <w:tcW w:w="4265" w:type="dxa"/>
            <w:tcBorders>
              <w:top w:val="single" w:color="auto" w:sz="4" w:space="0"/>
              <w:left w:val="single" w:color="auto" w:sz="4" w:space="0"/>
              <w:bottom w:val="single" w:color="auto" w:sz="4" w:space="0"/>
              <w:right w:val="single" w:color="auto" w:sz="4" w:space="0"/>
            </w:tcBorders>
            <w:noWrap w:val="0"/>
            <w:vAlign w:val="center"/>
          </w:tcPr>
          <w:p w14:paraId="2E77452F">
            <w:pPr>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s="宋体"/>
                <w:b w:val="0"/>
                <w:bCs w:val="0"/>
                <w:color w:val="auto"/>
                <w:sz w:val="21"/>
                <w:szCs w:val="21"/>
                <w:lang w:val="zh-CN" w:eastAsia="zh-CN"/>
              </w:rPr>
            </w:pPr>
            <w:r>
              <w:rPr>
                <w:rFonts w:hint="eastAsia" w:ascii="宋体" w:hAnsi="宋体" w:eastAsia="宋体" w:cs="宋体"/>
                <w:b w:val="0"/>
                <w:bCs w:val="0"/>
                <w:color w:val="auto"/>
                <w:sz w:val="21"/>
                <w:szCs w:val="21"/>
                <w:lang w:val="en-US" w:eastAsia="zh-CN"/>
              </w:rPr>
              <w:t>本项目不接受联合体投标，不允许分包、转包</w:t>
            </w:r>
          </w:p>
        </w:tc>
        <w:tc>
          <w:tcPr>
            <w:tcW w:w="4177" w:type="dxa"/>
            <w:tcBorders>
              <w:top w:val="single" w:color="auto" w:sz="4" w:space="0"/>
              <w:left w:val="nil"/>
              <w:bottom w:val="single" w:color="auto" w:sz="4" w:space="0"/>
              <w:right w:val="single" w:color="auto" w:sz="4" w:space="0"/>
            </w:tcBorders>
            <w:noWrap w:val="0"/>
            <w:vAlign w:val="center"/>
          </w:tcPr>
          <w:p w14:paraId="3689014B">
            <w:pPr>
              <w:keepNext w:val="0"/>
              <w:keepLines w:val="0"/>
              <w:pageBreakBefore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b w:val="0"/>
                <w:bCs w:val="0"/>
                <w:color w:val="auto"/>
                <w:sz w:val="21"/>
                <w:szCs w:val="21"/>
                <w:lang w:val="zh-CN" w:eastAsia="zh-CN"/>
              </w:rPr>
            </w:pPr>
            <w:r>
              <w:rPr>
                <w:rFonts w:hint="eastAsia" w:ascii="宋体" w:hAnsi="宋体" w:eastAsia="宋体" w:cs="宋体"/>
                <w:b w:val="0"/>
                <w:bCs w:val="0"/>
                <w:color w:val="auto"/>
                <w:sz w:val="21"/>
                <w:szCs w:val="21"/>
                <w:lang w:val="zh-CN" w:eastAsia="zh-CN"/>
              </w:rPr>
              <w:t>（提供相关承诺，</w:t>
            </w:r>
            <w:r>
              <w:rPr>
                <w:rFonts w:hint="eastAsia" w:ascii="宋体" w:hAnsi="宋体" w:eastAsia="宋体" w:cs="宋体"/>
                <w:b w:val="0"/>
                <w:bCs w:val="0"/>
                <w:color w:val="auto"/>
                <w:sz w:val="21"/>
                <w:szCs w:val="21"/>
                <w:lang w:val="en-US" w:eastAsia="zh-CN"/>
              </w:rPr>
              <w:t>格式自拟</w:t>
            </w:r>
            <w:r>
              <w:rPr>
                <w:rFonts w:hint="eastAsia" w:ascii="宋体" w:hAnsi="宋体" w:eastAsia="宋体" w:cs="宋体"/>
                <w:b w:val="0"/>
                <w:bCs w:val="0"/>
                <w:color w:val="auto"/>
                <w:sz w:val="21"/>
                <w:szCs w:val="21"/>
                <w:lang w:val="zh-CN" w:eastAsia="zh-CN"/>
              </w:rPr>
              <w:t>）</w:t>
            </w:r>
          </w:p>
        </w:tc>
      </w:tr>
    </w:tbl>
    <w:p w14:paraId="77B0CF77">
      <w:pPr>
        <w:keepNext w:val="0"/>
        <w:keepLines w:val="0"/>
        <w:pageBreakBefore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b w:val="0"/>
          <w:bCs w:val="0"/>
          <w:color w:val="auto"/>
          <w:sz w:val="21"/>
          <w:szCs w:val="21"/>
          <w:lang w:val="zh-CN" w:eastAsia="zh-CN"/>
        </w:rPr>
      </w:pPr>
      <w:r>
        <w:rPr>
          <w:rFonts w:hint="eastAsia" w:ascii="宋体" w:hAnsi="宋体" w:eastAsia="宋体" w:cs="宋体"/>
          <w:b w:val="0"/>
          <w:bCs w:val="0"/>
          <w:color w:val="auto"/>
          <w:sz w:val="21"/>
          <w:szCs w:val="21"/>
          <w:lang w:val="zh-CN" w:eastAsia="zh-CN"/>
        </w:rPr>
        <w:t xml:space="preserve"> 备注：   </w:t>
      </w:r>
    </w:p>
    <w:p w14:paraId="4DDEB224">
      <w:pPr>
        <w:keepNext w:val="0"/>
        <w:keepLines w:val="0"/>
        <w:pageBreakBefore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b w:val="0"/>
          <w:bCs w:val="0"/>
          <w:color w:val="auto"/>
          <w:sz w:val="21"/>
          <w:szCs w:val="21"/>
          <w:lang w:val="zh-CN" w:eastAsia="zh-CN"/>
        </w:rPr>
      </w:pPr>
      <w:r>
        <w:rPr>
          <w:rFonts w:hint="eastAsia" w:ascii="宋体" w:hAnsi="宋体" w:eastAsia="宋体" w:cs="宋体"/>
          <w:b w:val="0"/>
          <w:bCs w:val="0"/>
          <w:color w:val="auto"/>
          <w:sz w:val="21"/>
          <w:szCs w:val="21"/>
          <w:lang w:val="zh-CN" w:eastAsia="zh-CN"/>
        </w:rPr>
        <w:t xml:space="preserve">（1）所有证书、证明文件包括按要求提供的官网截图必须是真实可查证的，须注明资料来源。资格证明文件应为原件的扫描件，投标文件中须编入清晰的扫描件或复印件。所有证明材料须清晰可辨认，如因证明材料模糊无法辨认，缺页、漏页导致无法进行评审认定的责任由投标人自负。如发现弄虚作假将按照有关规定严肃处理。  </w:t>
      </w:r>
    </w:p>
    <w:p w14:paraId="27E4F317">
      <w:pPr>
        <w:keepNext w:val="0"/>
        <w:keepLines w:val="0"/>
        <w:pageBreakBefore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b w:val="0"/>
          <w:bCs w:val="0"/>
          <w:color w:val="auto"/>
          <w:sz w:val="21"/>
          <w:szCs w:val="21"/>
          <w:lang w:val="zh-CN" w:eastAsia="zh-CN"/>
        </w:rPr>
      </w:pPr>
      <w:r>
        <w:rPr>
          <w:rFonts w:hint="eastAsia" w:ascii="宋体" w:hAnsi="宋体" w:eastAsia="宋体" w:cs="宋体"/>
          <w:b w:val="0"/>
          <w:bCs w:val="0"/>
          <w:color w:val="auto"/>
          <w:sz w:val="21"/>
          <w:szCs w:val="21"/>
          <w:lang w:val="zh-CN" w:eastAsia="zh-CN"/>
        </w:rPr>
        <w:t xml:space="preserve">证明材料仅限于投标单位本身，参股或控股单位及独立法人子公司的材料不能作为证明材料，但投标单位兼并的企业的材料可作为证明材料。   </w:t>
      </w:r>
    </w:p>
    <w:p w14:paraId="2A83DDEA">
      <w:pPr>
        <w:keepNext w:val="0"/>
        <w:keepLines w:val="0"/>
        <w:pageBreakBefore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b w:val="0"/>
          <w:bCs w:val="0"/>
          <w:color w:val="auto"/>
          <w:sz w:val="21"/>
          <w:szCs w:val="21"/>
          <w:lang w:val="zh-CN" w:eastAsia="zh-CN"/>
        </w:rPr>
      </w:pPr>
      <w:r>
        <w:rPr>
          <w:rFonts w:hint="eastAsia" w:ascii="宋体" w:hAnsi="宋体" w:eastAsia="宋体" w:cs="宋体"/>
          <w:b w:val="0"/>
          <w:bCs w:val="0"/>
          <w:color w:val="auto"/>
          <w:sz w:val="21"/>
          <w:szCs w:val="21"/>
          <w:lang w:val="zh-CN" w:eastAsia="zh-CN"/>
        </w:rPr>
        <w:t>对于投标文件中有任意一条不满足上表要求的将导致其投标无效，不进入下一项评审。</w:t>
      </w:r>
    </w:p>
    <w:p w14:paraId="3E4B4FE6">
      <w:pPr>
        <w:keepNext w:val="0"/>
        <w:keepLines w:val="0"/>
        <w:pageBreakBefore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b w:val="0"/>
          <w:bCs w:val="0"/>
          <w:color w:val="auto"/>
          <w:sz w:val="21"/>
          <w:szCs w:val="21"/>
          <w:lang w:val="zh-CN" w:eastAsia="zh-CN"/>
        </w:rPr>
      </w:pPr>
      <w:r>
        <w:rPr>
          <w:rFonts w:hint="eastAsia" w:ascii="宋体" w:hAnsi="宋体" w:eastAsia="宋体" w:cs="宋体"/>
          <w:b w:val="0"/>
          <w:bCs w:val="0"/>
          <w:color w:val="auto"/>
          <w:sz w:val="21"/>
          <w:szCs w:val="21"/>
          <w:lang w:val="zh-CN" w:eastAsia="zh-CN"/>
        </w:rPr>
        <w:t xml:space="preserve">2、符合性检查   </w:t>
      </w:r>
    </w:p>
    <w:p w14:paraId="66F0CA54">
      <w:pPr>
        <w:keepNext w:val="0"/>
        <w:keepLines w:val="0"/>
        <w:pageBreakBefore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cs="宋体"/>
          <w:b w:val="0"/>
          <w:bCs w:val="0"/>
          <w:color w:val="auto"/>
          <w:sz w:val="21"/>
          <w:szCs w:val="21"/>
          <w:lang w:val="zh-CN" w:eastAsia="zh-CN"/>
        </w:rPr>
      </w:pPr>
      <w:r>
        <w:rPr>
          <w:rFonts w:hint="eastAsia" w:ascii="宋体" w:hAnsi="宋体" w:eastAsia="宋体" w:cs="宋体"/>
          <w:b w:val="0"/>
          <w:bCs w:val="0"/>
          <w:color w:val="auto"/>
          <w:sz w:val="21"/>
          <w:szCs w:val="21"/>
          <w:lang w:val="zh-CN" w:eastAsia="zh-CN"/>
        </w:rPr>
        <w:t>评标委员会依据招标文件的规定，从投标文件的有效性、完整性和对招标文件的响应程度进行审查，以确定是否对招标文件的实质性要求作出响应，具体评审因素详见《符合性检查表》</w:t>
      </w:r>
      <w:r>
        <w:rPr>
          <w:rFonts w:hint="eastAsia" w:ascii="宋体" w:hAnsi="宋体" w:cs="宋体"/>
          <w:b w:val="0"/>
          <w:bCs w:val="0"/>
          <w:color w:val="auto"/>
          <w:sz w:val="21"/>
          <w:szCs w:val="21"/>
          <w:lang w:val="zh-CN" w:eastAsia="zh-CN"/>
        </w:rPr>
        <w:t>。</w:t>
      </w:r>
    </w:p>
    <w:p w14:paraId="53EA7DF6">
      <w:pPr>
        <w:keepNext w:val="0"/>
        <w:keepLines w:val="0"/>
        <w:pageBreakBefore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cs="宋体"/>
          <w:b w:val="0"/>
          <w:bCs w:val="0"/>
          <w:color w:val="auto"/>
          <w:sz w:val="21"/>
          <w:szCs w:val="21"/>
          <w:lang w:val="zh-CN" w:eastAsia="zh-CN"/>
        </w:rPr>
      </w:pPr>
    </w:p>
    <w:p w14:paraId="44263203">
      <w:pPr>
        <w:pStyle w:val="4"/>
        <w:bidi w:val="0"/>
        <w:rPr>
          <w:rFonts w:hint="eastAsia"/>
          <w:color w:val="auto"/>
          <w:lang w:val="zh-CN" w:eastAsia="zh-CN"/>
        </w:rPr>
      </w:pPr>
      <w:r>
        <w:rPr>
          <w:rFonts w:hint="eastAsia"/>
          <w:color w:val="auto"/>
          <w:lang w:val="zh-CN" w:eastAsia="zh-CN"/>
        </w:rPr>
        <w:t>符合性审查表：</w:t>
      </w:r>
    </w:p>
    <w:tbl>
      <w:tblPr>
        <w:tblStyle w:val="15"/>
        <w:tblW w:w="8643" w:type="dxa"/>
        <w:tblInd w:w="-141" w:type="dxa"/>
        <w:tblLayout w:type="fixed"/>
        <w:tblCellMar>
          <w:top w:w="57" w:type="dxa"/>
          <w:left w:w="108" w:type="dxa"/>
          <w:bottom w:w="57" w:type="dxa"/>
          <w:right w:w="108" w:type="dxa"/>
        </w:tblCellMar>
      </w:tblPr>
      <w:tblGrid>
        <w:gridCol w:w="731"/>
        <w:gridCol w:w="3877"/>
        <w:gridCol w:w="4035"/>
      </w:tblGrid>
      <w:tr w14:paraId="76B00C32">
        <w:tblPrEx>
          <w:tblCellMar>
            <w:top w:w="57" w:type="dxa"/>
            <w:left w:w="108" w:type="dxa"/>
            <w:bottom w:w="57" w:type="dxa"/>
            <w:right w:w="108" w:type="dxa"/>
          </w:tblCellMar>
        </w:tblPrEx>
        <w:trPr>
          <w:trHeight w:val="385" w:hRule="atLeast"/>
        </w:trPr>
        <w:tc>
          <w:tcPr>
            <w:tcW w:w="731" w:type="dxa"/>
            <w:tcBorders>
              <w:top w:val="single" w:color="auto" w:sz="4" w:space="0"/>
              <w:left w:val="single" w:color="auto" w:sz="4" w:space="0"/>
              <w:bottom w:val="single" w:color="auto" w:sz="4" w:space="0"/>
              <w:right w:val="single" w:color="auto" w:sz="4" w:space="0"/>
            </w:tcBorders>
            <w:noWrap w:val="0"/>
            <w:vAlign w:val="center"/>
          </w:tcPr>
          <w:p w14:paraId="07136465">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val="0"/>
                <w:bCs w:val="0"/>
                <w:color w:val="auto"/>
                <w:sz w:val="21"/>
                <w:szCs w:val="21"/>
                <w:lang w:val="zh-CN" w:eastAsia="zh-CN"/>
              </w:rPr>
            </w:pPr>
            <w:r>
              <w:rPr>
                <w:rFonts w:hint="eastAsia" w:ascii="宋体" w:hAnsi="宋体" w:eastAsia="宋体" w:cs="宋体"/>
                <w:b w:val="0"/>
                <w:bCs w:val="0"/>
                <w:color w:val="auto"/>
                <w:sz w:val="21"/>
                <w:szCs w:val="21"/>
                <w:lang w:val="zh-CN" w:eastAsia="zh-CN"/>
              </w:rPr>
              <w:t>序号</w:t>
            </w:r>
          </w:p>
        </w:tc>
        <w:tc>
          <w:tcPr>
            <w:tcW w:w="3877" w:type="dxa"/>
            <w:tcBorders>
              <w:top w:val="single" w:color="auto" w:sz="4" w:space="0"/>
              <w:left w:val="single" w:color="auto" w:sz="4" w:space="0"/>
              <w:bottom w:val="single" w:color="auto" w:sz="4" w:space="0"/>
              <w:right w:val="single" w:color="auto" w:sz="4" w:space="0"/>
            </w:tcBorders>
            <w:noWrap w:val="0"/>
            <w:vAlign w:val="center"/>
          </w:tcPr>
          <w:p w14:paraId="30D099C8">
            <w:pPr>
              <w:widowControl/>
              <w:jc w:val="center"/>
              <w:rPr>
                <w:rFonts w:hint="eastAsia" w:ascii="宋体" w:hAnsi="宋体" w:eastAsia="宋体" w:cs="宋体"/>
                <w:b w:val="0"/>
                <w:bCs w:val="0"/>
                <w:color w:val="auto"/>
                <w:sz w:val="21"/>
                <w:szCs w:val="21"/>
                <w:lang w:val="zh-CN" w:eastAsia="zh-CN"/>
              </w:rPr>
            </w:pPr>
            <w:r>
              <w:rPr>
                <w:rFonts w:hint="eastAsia" w:ascii="宋体" w:hAnsi="宋体" w:cs="宋体"/>
                <w:b/>
                <w:bCs/>
                <w:color w:val="auto"/>
                <w:szCs w:val="21"/>
              </w:rPr>
              <w:t>评审因素</w:t>
            </w:r>
          </w:p>
        </w:tc>
        <w:tc>
          <w:tcPr>
            <w:tcW w:w="4035" w:type="dxa"/>
            <w:tcBorders>
              <w:top w:val="single" w:color="auto" w:sz="4" w:space="0"/>
              <w:left w:val="nil"/>
              <w:bottom w:val="single" w:color="auto" w:sz="4" w:space="0"/>
              <w:right w:val="single" w:color="auto" w:sz="4" w:space="0"/>
            </w:tcBorders>
            <w:noWrap w:val="0"/>
            <w:vAlign w:val="center"/>
          </w:tcPr>
          <w:p w14:paraId="2520E987">
            <w:pPr>
              <w:widowControl/>
              <w:jc w:val="center"/>
              <w:rPr>
                <w:rFonts w:hint="eastAsia" w:ascii="宋体" w:hAnsi="宋体" w:eastAsia="宋体" w:cs="宋体"/>
                <w:b w:val="0"/>
                <w:bCs w:val="0"/>
                <w:color w:val="auto"/>
                <w:sz w:val="21"/>
                <w:szCs w:val="21"/>
                <w:lang w:val="en-US" w:eastAsia="zh-CN"/>
              </w:rPr>
            </w:pPr>
            <w:r>
              <w:rPr>
                <w:rFonts w:hint="eastAsia" w:ascii="宋体" w:hAnsi="宋体" w:cs="宋体"/>
                <w:b/>
                <w:bCs/>
                <w:color w:val="auto"/>
                <w:szCs w:val="21"/>
              </w:rPr>
              <w:t>评审标准</w:t>
            </w:r>
          </w:p>
        </w:tc>
      </w:tr>
      <w:tr w14:paraId="0308A8A2">
        <w:tblPrEx>
          <w:tblCellMar>
            <w:top w:w="57" w:type="dxa"/>
            <w:left w:w="108" w:type="dxa"/>
            <w:bottom w:w="57" w:type="dxa"/>
            <w:right w:w="108" w:type="dxa"/>
          </w:tblCellMar>
        </w:tblPrEx>
        <w:trPr>
          <w:trHeight w:val="385" w:hRule="atLeast"/>
        </w:trPr>
        <w:tc>
          <w:tcPr>
            <w:tcW w:w="731" w:type="dxa"/>
            <w:tcBorders>
              <w:top w:val="single" w:color="auto" w:sz="4" w:space="0"/>
              <w:left w:val="single" w:color="auto" w:sz="4" w:space="0"/>
              <w:bottom w:val="single" w:color="auto" w:sz="4" w:space="0"/>
              <w:right w:val="single" w:color="auto" w:sz="4" w:space="0"/>
            </w:tcBorders>
            <w:noWrap w:val="0"/>
            <w:vAlign w:val="center"/>
          </w:tcPr>
          <w:p w14:paraId="5BF34CFE">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val="0"/>
                <w:bCs w:val="0"/>
                <w:color w:val="auto"/>
                <w:sz w:val="21"/>
                <w:szCs w:val="21"/>
                <w:lang w:val="zh-CN" w:eastAsia="zh-CN"/>
              </w:rPr>
            </w:pPr>
            <w:r>
              <w:rPr>
                <w:rFonts w:hint="eastAsia" w:ascii="宋体" w:hAnsi="宋体" w:eastAsia="宋体" w:cs="宋体"/>
                <w:b w:val="0"/>
                <w:bCs w:val="0"/>
                <w:color w:val="auto"/>
                <w:sz w:val="21"/>
                <w:szCs w:val="21"/>
                <w:lang w:val="zh-CN" w:eastAsia="zh-CN"/>
              </w:rPr>
              <w:t>1</w:t>
            </w:r>
          </w:p>
        </w:tc>
        <w:tc>
          <w:tcPr>
            <w:tcW w:w="3877" w:type="dxa"/>
            <w:tcBorders>
              <w:top w:val="single" w:color="auto" w:sz="4" w:space="0"/>
              <w:left w:val="single" w:color="auto" w:sz="4" w:space="0"/>
              <w:bottom w:val="single" w:color="auto" w:sz="4" w:space="0"/>
              <w:right w:val="single" w:color="auto" w:sz="4" w:space="0"/>
            </w:tcBorders>
            <w:noWrap w:val="0"/>
            <w:vAlign w:val="center"/>
          </w:tcPr>
          <w:p w14:paraId="0AFF95CC">
            <w:pPr>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b w:val="0"/>
                <w:bCs w:val="0"/>
                <w:color w:val="auto"/>
                <w:sz w:val="21"/>
                <w:szCs w:val="21"/>
                <w:lang w:val="zh-CN" w:eastAsia="zh-CN"/>
              </w:rPr>
            </w:pPr>
            <w:r>
              <w:rPr>
                <w:rFonts w:hint="eastAsia"/>
                <w:color w:val="auto"/>
              </w:rPr>
              <w:t>投标文件要求</w:t>
            </w:r>
          </w:p>
        </w:tc>
        <w:tc>
          <w:tcPr>
            <w:tcW w:w="4035" w:type="dxa"/>
            <w:tcBorders>
              <w:top w:val="single" w:color="auto" w:sz="4" w:space="0"/>
              <w:left w:val="nil"/>
              <w:bottom w:val="single" w:color="auto" w:sz="4" w:space="0"/>
              <w:right w:val="single" w:color="auto" w:sz="4" w:space="0"/>
            </w:tcBorders>
            <w:shd w:val="clear" w:color="auto" w:fill="auto"/>
            <w:noWrap w:val="0"/>
            <w:vAlign w:val="center"/>
          </w:tcPr>
          <w:p w14:paraId="7203F803">
            <w:pPr>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b w:val="0"/>
                <w:bCs w:val="0"/>
                <w:color w:val="auto"/>
                <w:kern w:val="2"/>
                <w:sz w:val="21"/>
                <w:szCs w:val="21"/>
                <w:lang w:val="zh-CN" w:eastAsia="zh-CN" w:bidi="ar-SA"/>
              </w:rPr>
            </w:pPr>
            <w:r>
              <w:rPr>
                <w:rFonts w:hint="eastAsia"/>
                <w:color w:val="auto"/>
              </w:rPr>
              <w:t>投标文件按照招标文件要求加密、签署、盖章。</w:t>
            </w:r>
          </w:p>
        </w:tc>
      </w:tr>
      <w:tr w14:paraId="199C9E4B">
        <w:tblPrEx>
          <w:tblCellMar>
            <w:top w:w="57" w:type="dxa"/>
            <w:left w:w="108" w:type="dxa"/>
            <w:bottom w:w="57" w:type="dxa"/>
            <w:right w:w="108" w:type="dxa"/>
          </w:tblCellMar>
        </w:tblPrEx>
        <w:trPr>
          <w:trHeight w:val="340" w:hRule="atLeast"/>
        </w:trPr>
        <w:tc>
          <w:tcPr>
            <w:tcW w:w="731" w:type="dxa"/>
            <w:tcBorders>
              <w:top w:val="nil"/>
              <w:left w:val="single" w:color="auto" w:sz="4" w:space="0"/>
              <w:bottom w:val="single" w:color="auto" w:sz="4" w:space="0"/>
              <w:right w:val="single" w:color="auto" w:sz="4" w:space="0"/>
            </w:tcBorders>
            <w:noWrap w:val="0"/>
            <w:vAlign w:val="center"/>
          </w:tcPr>
          <w:p w14:paraId="11D19E32">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val="0"/>
                <w:bCs w:val="0"/>
                <w:color w:val="auto"/>
                <w:sz w:val="21"/>
                <w:szCs w:val="21"/>
                <w:lang w:val="zh-CN" w:eastAsia="zh-CN"/>
              </w:rPr>
            </w:pPr>
            <w:r>
              <w:rPr>
                <w:rFonts w:hint="eastAsia" w:ascii="宋体" w:hAnsi="宋体" w:eastAsia="宋体" w:cs="宋体"/>
                <w:b w:val="0"/>
                <w:bCs w:val="0"/>
                <w:color w:val="auto"/>
                <w:sz w:val="21"/>
                <w:szCs w:val="21"/>
                <w:lang w:val="zh-CN" w:eastAsia="zh-CN"/>
              </w:rPr>
              <w:t>2</w:t>
            </w:r>
          </w:p>
        </w:tc>
        <w:tc>
          <w:tcPr>
            <w:tcW w:w="3877" w:type="dxa"/>
            <w:tcBorders>
              <w:top w:val="nil"/>
              <w:left w:val="nil"/>
              <w:bottom w:val="single" w:color="auto" w:sz="4" w:space="0"/>
              <w:right w:val="single" w:color="auto" w:sz="4" w:space="0"/>
            </w:tcBorders>
            <w:noWrap w:val="0"/>
            <w:vAlign w:val="center"/>
          </w:tcPr>
          <w:p w14:paraId="4339C6FC">
            <w:pPr>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b w:val="0"/>
                <w:bCs w:val="0"/>
                <w:color w:val="auto"/>
                <w:sz w:val="21"/>
                <w:szCs w:val="21"/>
                <w:lang w:val="zh-CN" w:eastAsia="zh-CN"/>
              </w:rPr>
            </w:pPr>
            <w:r>
              <w:rPr>
                <w:rFonts w:hint="eastAsia"/>
                <w:color w:val="auto"/>
              </w:rPr>
              <w:t>企业法定代表人或委托代理人身份证明。</w:t>
            </w:r>
          </w:p>
        </w:tc>
        <w:tc>
          <w:tcPr>
            <w:tcW w:w="4035" w:type="dxa"/>
            <w:tcBorders>
              <w:top w:val="nil"/>
              <w:left w:val="nil"/>
              <w:bottom w:val="single" w:color="auto" w:sz="4" w:space="0"/>
              <w:right w:val="single" w:color="auto" w:sz="4" w:space="0"/>
            </w:tcBorders>
            <w:shd w:val="clear" w:color="auto" w:fill="auto"/>
            <w:noWrap w:val="0"/>
            <w:vAlign w:val="center"/>
          </w:tcPr>
          <w:p w14:paraId="7823138B">
            <w:pPr>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b w:val="0"/>
                <w:bCs w:val="0"/>
                <w:color w:val="auto"/>
                <w:kern w:val="2"/>
                <w:sz w:val="21"/>
                <w:szCs w:val="21"/>
                <w:lang w:val="zh-CN" w:eastAsia="zh-CN" w:bidi="ar-SA"/>
              </w:rPr>
            </w:pPr>
            <w:r>
              <w:rPr>
                <w:rFonts w:hint="eastAsia"/>
                <w:color w:val="auto"/>
              </w:rPr>
              <w:t>企业法定代表人有合法有效的证明文件及其身份证明或委托代理人有合法有效的委托书及其身份证明。</w:t>
            </w:r>
          </w:p>
        </w:tc>
      </w:tr>
      <w:tr w14:paraId="4A0406AB">
        <w:tblPrEx>
          <w:tblCellMar>
            <w:top w:w="57" w:type="dxa"/>
            <w:left w:w="108" w:type="dxa"/>
            <w:bottom w:w="57" w:type="dxa"/>
            <w:right w:w="108" w:type="dxa"/>
          </w:tblCellMar>
        </w:tblPrEx>
        <w:trPr>
          <w:trHeight w:val="340" w:hRule="atLeast"/>
        </w:trPr>
        <w:tc>
          <w:tcPr>
            <w:tcW w:w="731" w:type="dxa"/>
            <w:tcBorders>
              <w:top w:val="single" w:color="auto" w:sz="4" w:space="0"/>
              <w:left w:val="single" w:color="auto" w:sz="4" w:space="0"/>
              <w:bottom w:val="single" w:color="auto" w:sz="4" w:space="0"/>
              <w:right w:val="single" w:color="auto" w:sz="4" w:space="0"/>
            </w:tcBorders>
            <w:noWrap w:val="0"/>
            <w:vAlign w:val="center"/>
          </w:tcPr>
          <w:p w14:paraId="6E4F13B7">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val="0"/>
                <w:bCs w:val="0"/>
                <w:color w:val="auto"/>
                <w:sz w:val="21"/>
                <w:szCs w:val="21"/>
                <w:lang w:val="zh-CN" w:eastAsia="zh-CN"/>
              </w:rPr>
            </w:pPr>
            <w:r>
              <w:rPr>
                <w:rFonts w:hint="eastAsia" w:ascii="宋体" w:hAnsi="宋体" w:eastAsia="宋体" w:cs="宋体"/>
                <w:b w:val="0"/>
                <w:bCs w:val="0"/>
                <w:color w:val="auto"/>
                <w:sz w:val="21"/>
                <w:szCs w:val="21"/>
                <w:lang w:val="zh-CN" w:eastAsia="zh-CN"/>
              </w:rPr>
              <w:t>3</w:t>
            </w:r>
          </w:p>
        </w:tc>
        <w:tc>
          <w:tcPr>
            <w:tcW w:w="3877" w:type="dxa"/>
            <w:tcBorders>
              <w:top w:val="single" w:color="auto" w:sz="4" w:space="0"/>
              <w:left w:val="single" w:color="auto" w:sz="4" w:space="0"/>
              <w:bottom w:val="single" w:color="auto" w:sz="4" w:space="0"/>
              <w:right w:val="single" w:color="auto" w:sz="4" w:space="0"/>
            </w:tcBorders>
            <w:noWrap w:val="0"/>
            <w:vAlign w:val="center"/>
          </w:tcPr>
          <w:p w14:paraId="73648903">
            <w:pPr>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b w:val="0"/>
                <w:bCs w:val="0"/>
                <w:color w:val="auto"/>
                <w:sz w:val="21"/>
                <w:szCs w:val="21"/>
                <w:lang w:val="zh-CN" w:eastAsia="zh-CN"/>
              </w:rPr>
            </w:pPr>
            <w:r>
              <w:rPr>
                <w:rFonts w:hint="eastAsia"/>
                <w:color w:val="auto"/>
              </w:rPr>
              <w:t>投标报价</w:t>
            </w:r>
          </w:p>
        </w:tc>
        <w:tc>
          <w:tcPr>
            <w:tcW w:w="403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BA35D58">
            <w:pPr>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b w:val="0"/>
                <w:bCs w:val="0"/>
                <w:color w:val="auto"/>
                <w:kern w:val="2"/>
                <w:sz w:val="21"/>
                <w:szCs w:val="21"/>
                <w:lang w:val="zh-CN" w:eastAsia="zh-CN" w:bidi="ar-SA"/>
              </w:rPr>
            </w:pPr>
            <w:r>
              <w:rPr>
                <w:rFonts w:hint="eastAsia"/>
                <w:color w:val="auto"/>
              </w:rPr>
              <w:t>按照招标文件要求进行报价，报价未超过预算价及最高限价。</w:t>
            </w:r>
          </w:p>
        </w:tc>
      </w:tr>
      <w:tr w14:paraId="774C36BE">
        <w:tblPrEx>
          <w:tblCellMar>
            <w:top w:w="57" w:type="dxa"/>
            <w:left w:w="108" w:type="dxa"/>
            <w:bottom w:w="57" w:type="dxa"/>
            <w:right w:w="108" w:type="dxa"/>
          </w:tblCellMar>
        </w:tblPrEx>
        <w:trPr>
          <w:trHeight w:val="340" w:hRule="atLeast"/>
        </w:trPr>
        <w:tc>
          <w:tcPr>
            <w:tcW w:w="731" w:type="dxa"/>
            <w:tcBorders>
              <w:top w:val="single" w:color="auto" w:sz="4" w:space="0"/>
              <w:left w:val="single" w:color="auto" w:sz="4" w:space="0"/>
              <w:bottom w:val="single" w:color="auto" w:sz="4" w:space="0"/>
              <w:right w:val="single" w:color="auto" w:sz="4" w:space="0"/>
            </w:tcBorders>
            <w:noWrap w:val="0"/>
            <w:vAlign w:val="center"/>
          </w:tcPr>
          <w:p w14:paraId="2094C36E">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4</w:t>
            </w:r>
          </w:p>
        </w:tc>
        <w:tc>
          <w:tcPr>
            <w:tcW w:w="3877" w:type="dxa"/>
            <w:tcBorders>
              <w:top w:val="single" w:color="auto" w:sz="4" w:space="0"/>
              <w:left w:val="nil"/>
              <w:bottom w:val="single" w:color="auto" w:sz="4" w:space="0"/>
              <w:right w:val="single" w:color="auto" w:sz="4" w:space="0"/>
            </w:tcBorders>
            <w:noWrap w:val="0"/>
            <w:vAlign w:val="center"/>
          </w:tcPr>
          <w:p w14:paraId="2E267DB0">
            <w:pPr>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b w:val="0"/>
                <w:bCs w:val="0"/>
                <w:color w:val="auto"/>
                <w:sz w:val="21"/>
                <w:szCs w:val="21"/>
                <w:lang w:val="en-US" w:eastAsia="zh-CN"/>
              </w:rPr>
            </w:pPr>
            <w:r>
              <w:rPr>
                <w:rFonts w:hint="eastAsia"/>
                <w:color w:val="auto"/>
              </w:rPr>
              <w:t>投标有效期</w:t>
            </w:r>
          </w:p>
        </w:tc>
        <w:tc>
          <w:tcPr>
            <w:tcW w:w="4035" w:type="dxa"/>
            <w:tcBorders>
              <w:top w:val="single" w:color="auto" w:sz="4" w:space="0"/>
              <w:left w:val="nil"/>
              <w:bottom w:val="single" w:color="auto" w:sz="4" w:space="0"/>
              <w:right w:val="single" w:color="auto" w:sz="4" w:space="0"/>
            </w:tcBorders>
            <w:shd w:val="clear" w:color="auto" w:fill="auto"/>
            <w:noWrap w:val="0"/>
            <w:vAlign w:val="center"/>
          </w:tcPr>
          <w:p w14:paraId="3C23D20E">
            <w:pPr>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b w:val="0"/>
                <w:bCs w:val="0"/>
                <w:color w:val="auto"/>
                <w:kern w:val="2"/>
                <w:sz w:val="21"/>
                <w:szCs w:val="21"/>
                <w:lang w:val="zh-CN" w:eastAsia="zh-CN" w:bidi="ar-SA"/>
              </w:rPr>
            </w:pPr>
            <w:r>
              <w:rPr>
                <w:rFonts w:hint="eastAsia"/>
                <w:color w:val="auto"/>
                <w:lang w:eastAsia="zh-CN"/>
              </w:rPr>
              <w:t>投标人</w:t>
            </w:r>
            <w:r>
              <w:rPr>
                <w:rFonts w:hint="eastAsia"/>
                <w:color w:val="auto"/>
              </w:rPr>
              <w:t>投标有效期（要求见</w:t>
            </w:r>
            <w:r>
              <w:rPr>
                <w:rFonts w:hint="eastAsia"/>
                <w:color w:val="auto"/>
                <w:lang w:eastAsia="zh-CN"/>
              </w:rPr>
              <w:t>投标人</w:t>
            </w:r>
            <w:r>
              <w:rPr>
                <w:rFonts w:hint="eastAsia"/>
                <w:color w:val="auto"/>
              </w:rPr>
              <w:t>须知前附表）满足招标文件要求。</w:t>
            </w:r>
          </w:p>
        </w:tc>
      </w:tr>
      <w:tr w14:paraId="0139A158">
        <w:tblPrEx>
          <w:tblCellMar>
            <w:top w:w="57" w:type="dxa"/>
            <w:left w:w="108" w:type="dxa"/>
            <w:bottom w:w="57" w:type="dxa"/>
            <w:right w:w="108" w:type="dxa"/>
          </w:tblCellMar>
        </w:tblPrEx>
        <w:trPr>
          <w:trHeight w:val="340" w:hRule="atLeast"/>
        </w:trPr>
        <w:tc>
          <w:tcPr>
            <w:tcW w:w="731" w:type="dxa"/>
            <w:tcBorders>
              <w:top w:val="single" w:color="auto" w:sz="4" w:space="0"/>
              <w:left w:val="single" w:color="auto" w:sz="4" w:space="0"/>
              <w:bottom w:val="single" w:color="auto" w:sz="4" w:space="0"/>
              <w:right w:val="single" w:color="auto" w:sz="4" w:space="0"/>
            </w:tcBorders>
            <w:noWrap w:val="0"/>
            <w:vAlign w:val="center"/>
          </w:tcPr>
          <w:p w14:paraId="7EEDBBF0">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val="0"/>
                <w:bCs w:val="0"/>
                <w:color w:val="auto"/>
                <w:sz w:val="21"/>
                <w:szCs w:val="21"/>
                <w:lang w:val="zh-CN" w:eastAsia="zh-CN"/>
              </w:rPr>
            </w:pPr>
            <w:r>
              <w:rPr>
                <w:rFonts w:hint="eastAsia" w:ascii="宋体" w:hAnsi="宋体" w:eastAsia="宋体" w:cs="宋体"/>
                <w:b w:val="0"/>
                <w:bCs w:val="0"/>
                <w:color w:val="auto"/>
                <w:sz w:val="21"/>
                <w:szCs w:val="21"/>
                <w:lang w:val="en-US" w:eastAsia="zh-CN"/>
              </w:rPr>
              <w:t>5</w:t>
            </w:r>
          </w:p>
        </w:tc>
        <w:tc>
          <w:tcPr>
            <w:tcW w:w="3877" w:type="dxa"/>
            <w:tcBorders>
              <w:top w:val="single" w:color="auto" w:sz="4" w:space="0"/>
              <w:left w:val="nil"/>
              <w:bottom w:val="single" w:color="auto" w:sz="4" w:space="0"/>
              <w:right w:val="single" w:color="auto" w:sz="4" w:space="0"/>
            </w:tcBorders>
            <w:noWrap w:val="0"/>
            <w:vAlign w:val="center"/>
          </w:tcPr>
          <w:p w14:paraId="06D42BE9">
            <w:pPr>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b w:val="0"/>
                <w:bCs w:val="0"/>
                <w:color w:val="auto"/>
                <w:sz w:val="21"/>
                <w:szCs w:val="21"/>
                <w:lang w:val="en-US" w:eastAsia="zh-CN"/>
              </w:rPr>
            </w:pPr>
            <w:r>
              <w:rPr>
                <w:rFonts w:hint="eastAsia"/>
                <w:color w:val="auto"/>
                <w:lang w:eastAsia="zh-CN"/>
              </w:rPr>
              <w:t>投标人</w:t>
            </w:r>
            <w:r>
              <w:rPr>
                <w:rFonts w:hint="eastAsia"/>
                <w:color w:val="auto"/>
              </w:rPr>
              <w:t>合同履约期限</w:t>
            </w:r>
          </w:p>
        </w:tc>
        <w:tc>
          <w:tcPr>
            <w:tcW w:w="403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950356A">
            <w:pPr>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b w:val="0"/>
                <w:bCs w:val="0"/>
                <w:color w:val="auto"/>
                <w:kern w:val="2"/>
                <w:sz w:val="21"/>
                <w:szCs w:val="21"/>
                <w:lang w:val="zh-CN" w:eastAsia="zh-CN" w:bidi="ar-SA"/>
              </w:rPr>
            </w:pPr>
            <w:r>
              <w:rPr>
                <w:rFonts w:hint="eastAsia"/>
                <w:color w:val="auto"/>
                <w:lang w:eastAsia="zh-CN"/>
              </w:rPr>
              <w:t>投标人</w:t>
            </w:r>
            <w:r>
              <w:rPr>
                <w:rFonts w:hint="eastAsia"/>
                <w:color w:val="auto"/>
              </w:rPr>
              <w:t>合同履约期限（要求见招标公告）的响应符合招标文件要求。</w:t>
            </w:r>
          </w:p>
        </w:tc>
      </w:tr>
      <w:tr w14:paraId="6847D9FB">
        <w:tblPrEx>
          <w:tblCellMar>
            <w:top w:w="57" w:type="dxa"/>
            <w:left w:w="108" w:type="dxa"/>
            <w:bottom w:w="57" w:type="dxa"/>
            <w:right w:w="108" w:type="dxa"/>
          </w:tblCellMar>
        </w:tblPrEx>
        <w:trPr>
          <w:trHeight w:val="340" w:hRule="atLeast"/>
        </w:trPr>
        <w:tc>
          <w:tcPr>
            <w:tcW w:w="731" w:type="dxa"/>
            <w:tcBorders>
              <w:top w:val="single" w:color="auto" w:sz="4" w:space="0"/>
              <w:left w:val="single" w:color="auto" w:sz="4" w:space="0"/>
              <w:bottom w:val="single" w:color="auto" w:sz="4" w:space="0"/>
              <w:right w:val="single" w:color="auto" w:sz="4" w:space="0"/>
            </w:tcBorders>
            <w:noWrap w:val="0"/>
            <w:vAlign w:val="center"/>
          </w:tcPr>
          <w:p w14:paraId="155A7840">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宋体" w:hAnsi="宋体" w:eastAsia="宋体" w:cs="宋体"/>
                <w:b w:val="0"/>
                <w:bCs w:val="0"/>
                <w:color w:val="auto"/>
                <w:sz w:val="21"/>
                <w:szCs w:val="21"/>
                <w:lang w:val="en-US" w:eastAsia="zh-CN"/>
              </w:rPr>
            </w:pPr>
            <w:bookmarkStart w:id="32" w:name="_Toc20538"/>
            <w:r>
              <w:rPr>
                <w:rFonts w:hint="eastAsia" w:ascii="宋体" w:hAnsi="宋体" w:cs="宋体"/>
                <w:b w:val="0"/>
                <w:bCs w:val="0"/>
                <w:color w:val="auto"/>
                <w:sz w:val="21"/>
                <w:szCs w:val="21"/>
                <w:lang w:val="en-US" w:eastAsia="zh-CN"/>
              </w:rPr>
              <w:t>6</w:t>
            </w:r>
          </w:p>
        </w:tc>
        <w:tc>
          <w:tcPr>
            <w:tcW w:w="3877" w:type="dxa"/>
            <w:tcBorders>
              <w:top w:val="single" w:color="auto" w:sz="4" w:space="0"/>
              <w:left w:val="nil"/>
              <w:bottom w:val="single" w:color="auto" w:sz="4" w:space="0"/>
              <w:right w:val="single" w:color="auto" w:sz="4" w:space="0"/>
            </w:tcBorders>
            <w:noWrap w:val="0"/>
            <w:vAlign w:val="center"/>
          </w:tcPr>
          <w:p w14:paraId="24948131">
            <w:pPr>
              <w:keepNext w:val="0"/>
              <w:keepLines w:val="0"/>
              <w:pageBreakBefore w:val="0"/>
              <w:kinsoku/>
              <w:wordWrap/>
              <w:overflowPunct/>
              <w:topLinePunct w:val="0"/>
              <w:autoSpaceDE/>
              <w:autoSpaceDN/>
              <w:bidi w:val="0"/>
              <w:adjustRightInd/>
              <w:snapToGrid/>
              <w:spacing w:line="480" w:lineRule="exact"/>
              <w:jc w:val="left"/>
              <w:textAlignment w:val="auto"/>
              <w:rPr>
                <w:rFonts w:hint="eastAsia"/>
                <w:color w:val="auto"/>
                <w:lang w:eastAsia="zh-CN"/>
              </w:rPr>
            </w:pPr>
            <w:r>
              <w:rPr>
                <w:rFonts w:hint="eastAsia"/>
                <w:color w:val="auto"/>
                <w:lang w:eastAsia="zh-CN"/>
              </w:rPr>
              <w:t>响应文件格式、内容</w:t>
            </w:r>
          </w:p>
        </w:tc>
        <w:tc>
          <w:tcPr>
            <w:tcW w:w="403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000C3E9">
            <w:pPr>
              <w:keepNext w:val="0"/>
              <w:keepLines w:val="0"/>
              <w:pageBreakBefore w:val="0"/>
              <w:kinsoku/>
              <w:wordWrap/>
              <w:overflowPunct/>
              <w:topLinePunct w:val="0"/>
              <w:autoSpaceDE/>
              <w:autoSpaceDN/>
              <w:bidi w:val="0"/>
              <w:adjustRightInd/>
              <w:snapToGrid/>
              <w:spacing w:line="480" w:lineRule="exact"/>
              <w:jc w:val="left"/>
              <w:textAlignment w:val="auto"/>
              <w:rPr>
                <w:rFonts w:hint="eastAsia"/>
                <w:color w:val="auto"/>
                <w:lang w:val="zh-CN" w:eastAsia="zh-CN"/>
              </w:rPr>
            </w:pPr>
            <w:r>
              <w:rPr>
                <w:rFonts w:hint="eastAsia"/>
                <w:color w:val="auto"/>
                <w:lang w:eastAsia="zh-CN"/>
              </w:rPr>
              <w:t>符合“第六章 响应文件格式”的要求，实质性内容齐全、关键字迹清晰可辨。</w:t>
            </w:r>
          </w:p>
        </w:tc>
      </w:tr>
      <w:tr w14:paraId="36697378">
        <w:tblPrEx>
          <w:tblCellMar>
            <w:top w:w="57" w:type="dxa"/>
            <w:left w:w="108" w:type="dxa"/>
            <w:bottom w:w="57" w:type="dxa"/>
            <w:right w:w="108" w:type="dxa"/>
          </w:tblCellMar>
        </w:tblPrEx>
        <w:trPr>
          <w:trHeight w:val="340" w:hRule="atLeast"/>
        </w:trPr>
        <w:tc>
          <w:tcPr>
            <w:tcW w:w="731" w:type="dxa"/>
            <w:tcBorders>
              <w:top w:val="single" w:color="auto" w:sz="4" w:space="0"/>
              <w:left w:val="single" w:color="auto" w:sz="4" w:space="0"/>
              <w:bottom w:val="single" w:color="auto" w:sz="4" w:space="0"/>
              <w:right w:val="single" w:color="auto" w:sz="4" w:space="0"/>
            </w:tcBorders>
            <w:noWrap w:val="0"/>
            <w:vAlign w:val="center"/>
          </w:tcPr>
          <w:p w14:paraId="4B6DEF67">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7</w:t>
            </w:r>
          </w:p>
        </w:tc>
        <w:tc>
          <w:tcPr>
            <w:tcW w:w="3877" w:type="dxa"/>
            <w:tcBorders>
              <w:top w:val="single" w:color="auto" w:sz="4" w:space="0"/>
              <w:left w:val="nil"/>
              <w:bottom w:val="single" w:color="auto" w:sz="4" w:space="0"/>
              <w:right w:val="single" w:color="auto" w:sz="4" w:space="0"/>
            </w:tcBorders>
            <w:noWrap w:val="0"/>
            <w:vAlign w:val="center"/>
          </w:tcPr>
          <w:p w14:paraId="592254B0">
            <w:pPr>
              <w:keepNext w:val="0"/>
              <w:keepLines w:val="0"/>
              <w:pageBreakBefore w:val="0"/>
              <w:kinsoku/>
              <w:wordWrap/>
              <w:overflowPunct/>
              <w:topLinePunct w:val="0"/>
              <w:autoSpaceDE/>
              <w:autoSpaceDN/>
              <w:bidi w:val="0"/>
              <w:adjustRightInd/>
              <w:snapToGrid/>
              <w:spacing w:line="480" w:lineRule="exact"/>
              <w:jc w:val="left"/>
              <w:textAlignment w:val="auto"/>
              <w:rPr>
                <w:rFonts w:hint="eastAsia"/>
                <w:color w:val="auto"/>
              </w:rPr>
            </w:pPr>
            <w:r>
              <w:rPr>
                <w:rFonts w:hint="eastAsia"/>
                <w:color w:val="auto"/>
                <w:lang w:eastAsia="zh-CN"/>
              </w:rPr>
              <w:t>投标人</w:t>
            </w:r>
            <w:r>
              <w:rPr>
                <w:rFonts w:hint="eastAsia"/>
                <w:color w:val="auto"/>
              </w:rPr>
              <w:t>未附有</w:t>
            </w:r>
            <w:r>
              <w:rPr>
                <w:rFonts w:hint="eastAsia"/>
                <w:color w:val="auto"/>
                <w:lang w:eastAsia="zh-CN"/>
              </w:rPr>
              <w:t>招标人</w:t>
            </w:r>
            <w:r>
              <w:rPr>
                <w:rFonts w:hint="eastAsia"/>
                <w:color w:val="auto"/>
              </w:rPr>
              <w:t>不能接受的条件。</w:t>
            </w:r>
          </w:p>
        </w:tc>
        <w:tc>
          <w:tcPr>
            <w:tcW w:w="403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AD709C6">
            <w:pPr>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Times New Roman" w:hAnsi="Times New Roman" w:eastAsia="宋体" w:cs="Times New Roman"/>
                <w:color w:val="auto"/>
                <w:kern w:val="2"/>
                <w:sz w:val="21"/>
                <w:szCs w:val="22"/>
                <w:lang w:val="zh-CN" w:eastAsia="zh-CN" w:bidi="ar-SA"/>
              </w:rPr>
            </w:pPr>
            <w:r>
              <w:rPr>
                <w:rFonts w:hint="eastAsia"/>
                <w:color w:val="auto"/>
                <w:lang w:eastAsia="zh-CN"/>
              </w:rPr>
              <w:t>投标人</w:t>
            </w:r>
            <w:r>
              <w:rPr>
                <w:rFonts w:hint="eastAsia"/>
                <w:color w:val="auto"/>
              </w:rPr>
              <w:t>未附有</w:t>
            </w:r>
            <w:r>
              <w:rPr>
                <w:rFonts w:hint="eastAsia"/>
                <w:color w:val="auto"/>
                <w:lang w:eastAsia="zh-CN"/>
              </w:rPr>
              <w:t>招标人</w:t>
            </w:r>
            <w:r>
              <w:rPr>
                <w:rFonts w:hint="eastAsia"/>
                <w:color w:val="auto"/>
              </w:rPr>
              <w:t>不能接受的条件</w:t>
            </w:r>
            <w:r>
              <w:rPr>
                <w:rFonts w:hint="eastAsia"/>
                <w:color w:val="auto"/>
                <w:lang w:eastAsia="zh-CN"/>
              </w:rPr>
              <w:t>，提供</w:t>
            </w:r>
            <w:r>
              <w:rPr>
                <w:rFonts w:hint="eastAsia"/>
                <w:color w:val="auto"/>
              </w:rPr>
              <w:t>诚信投标承诺书。</w:t>
            </w:r>
          </w:p>
        </w:tc>
      </w:tr>
      <w:tr w14:paraId="77C904C7">
        <w:tblPrEx>
          <w:tblCellMar>
            <w:top w:w="57" w:type="dxa"/>
            <w:left w:w="108" w:type="dxa"/>
            <w:bottom w:w="57" w:type="dxa"/>
            <w:right w:w="108" w:type="dxa"/>
          </w:tblCellMar>
        </w:tblPrEx>
        <w:trPr>
          <w:trHeight w:val="340" w:hRule="atLeast"/>
        </w:trPr>
        <w:tc>
          <w:tcPr>
            <w:tcW w:w="731" w:type="dxa"/>
            <w:tcBorders>
              <w:top w:val="single" w:color="auto" w:sz="4" w:space="0"/>
              <w:left w:val="single" w:color="auto" w:sz="4" w:space="0"/>
              <w:bottom w:val="single" w:color="auto" w:sz="4" w:space="0"/>
              <w:right w:val="single" w:color="auto" w:sz="4" w:space="0"/>
            </w:tcBorders>
            <w:noWrap w:val="0"/>
            <w:vAlign w:val="center"/>
          </w:tcPr>
          <w:p w14:paraId="36419DCD">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8</w:t>
            </w:r>
          </w:p>
        </w:tc>
        <w:tc>
          <w:tcPr>
            <w:tcW w:w="3877" w:type="dxa"/>
            <w:tcBorders>
              <w:top w:val="single" w:color="auto" w:sz="4" w:space="0"/>
              <w:left w:val="nil"/>
              <w:bottom w:val="single" w:color="auto" w:sz="4" w:space="0"/>
              <w:right w:val="single" w:color="auto" w:sz="4" w:space="0"/>
            </w:tcBorders>
            <w:noWrap w:val="0"/>
            <w:vAlign w:val="center"/>
          </w:tcPr>
          <w:p w14:paraId="0089AE8A">
            <w:pPr>
              <w:keepNext w:val="0"/>
              <w:keepLines w:val="0"/>
              <w:pageBreakBefore w:val="0"/>
              <w:kinsoku/>
              <w:wordWrap/>
              <w:overflowPunct/>
              <w:topLinePunct w:val="0"/>
              <w:autoSpaceDE/>
              <w:autoSpaceDN/>
              <w:bidi w:val="0"/>
              <w:adjustRightInd/>
              <w:snapToGrid/>
              <w:spacing w:line="480" w:lineRule="exact"/>
              <w:jc w:val="left"/>
              <w:textAlignment w:val="auto"/>
              <w:rPr>
                <w:rFonts w:hint="eastAsia"/>
                <w:color w:val="auto"/>
              </w:rPr>
            </w:pPr>
            <w:r>
              <w:rPr>
                <w:rFonts w:hint="eastAsia"/>
                <w:color w:val="auto"/>
              </w:rPr>
              <w:t>招标文件规定的其他实质性要求。</w:t>
            </w:r>
          </w:p>
        </w:tc>
        <w:tc>
          <w:tcPr>
            <w:tcW w:w="403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E553B55">
            <w:pPr>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Times New Roman" w:hAnsi="Times New Roman" w:eastAsia="宋体" w:cs="Times New Roman"/>
                <w:color w:val="auto"/>
                <w:kern w:val="2"/>
                <w:sz w:val="21"/>
                <w:szCs w:val="22"/>
                <w:lang w:val="zh-CN" w:eastAsia="zh-CN" w:bidi="ar-SA"/>
              </w:rPr>
            </w:pPr>
            <w:r>
              <w:rPr>
                <w:rFonts w:hint="eastAsia"/>
                <w:color w:val="auto"/>
              </w:rPr>
              <w:t>招标文件规定的其他实质性要求。</w:t>
            </w:r>
          </w:p>
        </w:tc>
      </w:tr>
    </w:tbl>
    <w:p w14:paraId="5C8FBF6E">
      <w:pPr>
        <w:keepNext w:val="0"/>
        <w:keepLines w:val="0"/>
        <w:pageBreakBefore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b w:val="0"/>
          <w:bCs w:val="0"/>
          <w:color w:val="auto"/>
          <w:sz w:val="21"/>
          <w:szCs w:val="21"/>
          <w:lang w:val="zh-CN" w:eastAsia="zh-CN"/>
        </w:rPr>
      </w:pPr>
      <w:r>
        <w:rPr>
          <w:rFonts w:hint="eastAsia" w:ascii="宋体" w:hAnsi="宋体" w:eastAsia="宋体" w:cs="宋体"/>
          <w:b w:val="0"/>
          <w:bCs w:val="0"/>
          <w:color w:val="auto"/>
          <w:sz w:val="21"/>
          <w:szCs w:val="21"/>
          <w:lang w:val="zh-CN" w:eastAsia="zh-CN"/>
        </w:rPr>
        <w:t>说明：</w:t>
      </w:r>
      <w:bookmarkEnd w:id="32"/>
      <w:r>
        <w:rPr>
          <w:rFonts w:hint="eastAsia" w:ascii="宋体" w:hAnsi="宋体" w:eastAsia="宋体" w:cs="宋体"/>
          <w:b w:val="0"/>
          <w:bCs w:val="0"/>
          <w:color w:val="auto"/>
          <w:sz w:val="21"/>
          <w:szCs w:val="21"/>
          <w:lang w:val="zh-CN" w:eastAsia="zh-CN"/>
        </w:rPr>
        <w:t xml:space="preserve">   </w:t>
      </w:r>
    </w:p>
    <w:p w14:paraId="3C6ADFF4">
      <w:pPr>
        <w:keepNext w:val="0"/>
        <w:keepLines w:val="0"/>
        <w:pageBreakBefore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b w:val="0"/>
          <w:bCs w:val="0"/>
          <w:color w:val="auto"/>
          <w:sz w:val="21"/>
          <w:szCs w:val="21"/>
          <w:lang w:val="zh-CN" w:eastAsia="zh-CN"/>
        </w:rPr>
      </w:pPr>
      <w:bookmarkStart w:id="33" w:name="_Toc10058"/>
      <w:r>
        <w:rPr>
          <w:rFonts w:hint="eastAsia" w:ascii="宋体" w:hAnsi="宋体" w:eastAsia="宋体" w:cs="宋体"/>
          <w:b w:val="0"/>
          <w:bCs w:val="0"/>
          <w:color w:val="auto"/>
          <w:sz w:val="21"/>
          <w:szCs w:val="21"/>
          <w:lang w:val="zh-CN" w:eastAsia="zh-CN"/>
        </w:rPr>
        <w:t>1）评标委员会分别对每一投标文件依据上表进行检查。</w:t>
      </w:r>
      <w:bookmarkEnd w:id="33"/>
      <w:r>
        <w:rPr>
          <w:rFonts w:hint="eastAsia" w:ascii="宋体" w:hAnsi="宋体" w:eastAsia="宋体" w:cs="宋体"/>
          <w:b w:val="0"/>
          <w:bCs w:val="0"/>
          <w:color w:val="auto"/>
          <w:sz w:val="21"/>
          <w:szCs w:val="21"/>
          <w:lang w:val="zh-CN" w:eastAsia="zh-CN"/>
        </w:rPr>
        <w:t xml:space="preserve">   </w:t>
      </w:r>
    </w:p>
    <w:p w14:paraId="796A7BAC">
      <w:pPr>
        <w:keepNext w:val="0"/>
        <w:keepLines w:val="0"/>
        <w:pageBreakBefore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b w:val="0"/>
          <w:bCs w:val="0"/>
          <w:color w:val="auto"/>
          <w:sz w:val="21"/>
          <w:szCs w:val="21"/>
          <w:lang w:val="zh-CN" w:eastAsia="zh-CN"/>
        </w:rPr>
      </w:pPr>
      <w:bookmarkStart w:id="34" w:name="_Toc7276"/>
      <w:r>
        <w:rPr>
          <w:rFonts w:hint="eastAsia" w:ascii="宋体" w:hAnsi="宋体" w:eastAsia="宋体" w:cs="宋体"/>
          <w:b w:val="0"/>
          <w:bCs w:val="0"/>
          <w:color w:val="auto"/>
          <w:sz w:val="21"/>
          <w:szCs w:val="21"/>
          <w:lang w:val="zh-CN" w:eastAsia="zh-CN"/>
        </w:rPr>
        <w:t>2）评标委员会决定投标的响应性只根据投标文件本身的真实无误的内容，而不依据外部的证据， 但投标文件有不真实不正确的内容时除外。</w:t>
      </w:r>
      <w:bookmarkEnd w:id="34"/>
      <w:r>
        <w:rPr>
          <w:rFonts w:hint="eastAsia" w:ascii="宋体" w:hAnsi="宋体" w:eastAsia="宋体" w:cs="宋体"/>
          <w:b w:val="0"/>
          <w:bCs w:val="0"/>
          <w:color w:val="auto"/>
          <w:sz w:val="21"/>
          <w:szCs w:val="21"/>
          <w:lang w:val="zh-CN" w:eastAsia="zh-CN"/>
        </w:rPr>
        <w:t xml:space="preserve">  </w:t>
      </w:r>
    </w:p>
    <w:p w14:paraId="28D06668">
      <w:pPr>
        <w:keepNext w:val="0"/>
        <w:keepLines w:val="0"/>
        <w:pageBreakBefore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b w:val="0"/>
          <w:bCs w:val="0"/>
          <w:color w:val="auto"/>
          <w:sz w:val="21"/>
          <w:szCs w:val="21"/>
          <w:lang w:val="zh-CN" w:eastAsia="zh-CN"/>
        </w:rPr>
      </w:pPr>
      <w:bookmarkStart w:id="35" w:name="_Toc2950"/>
      <w:r>
        <w:rPr>
          <w:rFonts w:hint="eastAsia" w:ascii="宋体" w:hAnsi="宋体" w:eastAsia="宋体" w:cs="宋体"/>
          <w:b w:val="0"/>
          <w:bCs w:val="0"/>
          <w:color w:val="auto"/>
          <w:sz w:val="21"/>
          <w:szCs w:val="21"/>
          <w:lang w:val="en-US" w:eastAsia="zh-CN"/>
        </w:rPr>
        <w:t>3</w:t>
      </w:r>
      <w:r>
        <w:rPr>
          <w:rFonts w:hint="eastAsia" w:ascii="宋体" w:hAnsi="宋体" w:eastAsia="宋体" w:cs="宋体"/>
          <w:b w:val="0"/>
          <w:bCs w:val="0"/>
          <w:color w:val="auto"/>
          <w:sz w:val="21"/>
          <w:szCs w:val="21"/>
          <w:lang w:val="zh-CN" w:eastAsia="zh-CN"/>
        </w:rPr>
        <w:t>）对于投标文件中有任意一条不满足要求将导致其投标无效，不进入下一项评审。</w:t>
      </w:r>
      <w:bookmarkEnd w:id="35"/>
    </w:p>
    <w:p w14:paraId="6A81E8FB">
      <w:pPr>
        <w:keepNext w:val="0"/>
        <w:keepLines w:val="0"/>
        <w:pageBreakBefore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b w:val="0"/>
          <w:bCs w:val="0"/>
          <w:color w:val="auto"/>
          <w:sz w:val="21"/>
          <w:szCs w:val="21"/>
          <w:lang w:val="zh-CN" w:eastAsia="zh-CN"/>
        </w:rPr>
      </w:pPr>
      <w:bookmarkStart w:id="36" w:name="_Toc23149"/>
      <w:r>
        <w:rPr>
          <w:rFonts w:hint="eastAsia" w:ascii="宋体" w:hAnsi="宋体" w:eastAsia="宋体" w:cs="宋体"/>
          <w:b w:val="0"/>
          <w:bCs w:val="0"/>
          <w:color w:val="auto"/>
          <w:sz w:val="21"/>
          <w:szCs w:val="21"/>
          <w:lang w:val="zh-CN" w:eastAsia="zh-CN"/>
        </w:rPr>
        <w:t>（二）澄清有关问题</w:t>
      </w:r>
      <w:bookmarkEnd w:id="36"/>
      <w:r>
        <w:rPr>
          <w:rFonts w:hint="eastAsia" w:ascii="宋体" w:hAnsi="宋体" w:eastAsia="宋体" w:cs="宋体"/>
          <w:b w:val="0"/>
          <w:bCs w:val="0"/>
          <w:color w:val="auto"/>
          <w:sz w:val="21"/>
          <w:szCs w:val="21"/>
          <w:lang w:val="zh-CN" w:eastAsia="zh-CN"/>
        </w:rPr>
        <w:t xml:space="preserve">  </w:t>
      </w:r>
    </w:p>
    <w:p w14:paraId="08ABB143">
      <w:pPr>
        <w:keepNext w:val="0"/>
        <w:keepLines w:val="0"/>
        <w:pageBreakBefore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b w:val="0"/>
          <w:bCs w:val="0"/>
          <w:color w:val="auto"/>
          <w:sz w:val="21"/>
          <w:szCs w:val="21"/>
          <w:lang w:val="zh-CN" w:eastAsia="zh-CN"/>
        </w:rPr>
      </w:pPr>
      <w:bookmarkStart w:id="37" w:name="_Toc16904"/>
      <w:r>
        <w:rPr>
          <w:rFonts w:hint="eastAsia" w:ascii="宋体" w:hAnsi="宋体" w:eastAsia="宋体" w:cs="宋体"/>
          <w:b w:val="0"/>
          <w:bCs w:val="0"/>
          <w:color w:val="auto"/>
          <w:sz w:val="21"/>
          <w:szCs w:val="21"/>
          <w:lang w:val="zh-CN" w:eastAsia="zh-CN"/>
        </w:rPr>
        <w:t>评标委员会对投标文件中含义不明确、同类问题表述不一致或者有明显文字和计算错误的内容，以书面形式（应当由评标委员会专家签字或盖章）要求投标人做出必要的澄清、说明或者纠正。投标人的澄清、说明或者补正应当采用书面形式，由其授权的代表签字或盖章，并不得超出投标文件的范围或者改变投标文件的实质性内容。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bookmarkEnd w:id="37"/>
      <w:r>
        <w:rPr>
          <w:rFonts w:hint="eastAsia" w:ascii="宋体" w:hAnsi="宋体" w:eastAsia="宋体" w:cs="宋体"/>
          <w:b w:val="0"/>
          <w:bCs w:val="0"/>
          <w:color w:val="auto"/>
          <w:sz w:val="21"/>
          <w:szCs w:val="21"/>
          <w:lang w:val="zh-CN" w:eastAsia="zh-CN"/>
        </w:rPr>
        <w:t xml:space="preserve">  </w:t>
      </w:r>
    </w:p>
    <w:p w14:paraId="0BD2DAB7">
      <w:pPr>
        <w:keepNext w:val="0"/>
        <w:keepLines w:val="0"/>
        <w:pageBreakBefore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b w:val="0"/>
          <w:bCs w:val="0"/>
          <w:color w:val="auto"/>
          <w:sz w:val="21"/>
          <w:szCs w:val="21"/>
          <w:lang w:val="zh-CN" w:eastAsia="zh-CN"/>
        </w:rPr>
      </w:pPr>
      <w:bookmarkStart w:id="38" w:name="_Toc21368"/>
      <w:r>
        <w:rPr>
          <w:rFonts w:hint="eastAsia" w:ascii="宋体" w:hAnsi="宋体" w:eastAsia="宋体" w:cs="宋体"/>
          <w:b w:val="0"/>
          <w:bCs w:val="0"/>
          <w:color w:val="auto"/>
          <w:sz w:val="21"/>
          <w:szCs w:val="21"/>
          <w:lang w:val="zh-CN" w:eastAsia="zh-CN"/>
        </w:rPr>
        <w:t>（三）投标报价修正（如有）</w:t>
      </w:r>
      <w:bookmarkEnd w:id="38"/>
      <w:r>
        <w:rPr>
          <w:rFonts w:hint="eastAsia" w:ascii="宋体" w:hAnsi="宋体" w:eastAsia="宋体" w:cs="宋体"/>
          <w:b w:val="0"/>
          <w:bCs w:val="0"/>
          <w:color w:val="auto"/>
          <w:sz w:val="21"/>
          <w:szCs w:val="21"/>
          <w:lang w:val="zh-CN" w:eastAsia="zh-CN"/>
        </w:rPr>
        <w:t xml:space="preserve">  </w:t>
      </w:r>
    </w:p>
    <w:p w14:paraId="7F635FE9">
      <w:pPr>
        <w:keepNext w:val="0"/>
        <w:keepLines w:val="0"/>
        <w:pageBreakBefore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b w:val="0"/>
          <w:bCs w:val="0"/>
          <w:color w:val="auto"/>
          <w:sz w:val="21"/>
          <w:szCs w:val="21"/>
          <w:lang w:val="zh-CN" w:eastAsia="zh-CN"/>
        </w:rPr>
      </w:pPr>
      <w:bookmarkStart w:id="39" w:name="_Toc14035"/>
      <w:r>
        <w:rPr>
          <w:rFonts w:hint="eastAsia" w:ascii="宋体" w:hAnsi="宋体" w:eastAsia="宋体" w:cs="宋体"/>
          <w:b w:val="0"/>
          <w:bCs w:val="0"/>
          <w:color w:val="auto"/>
          <w:sz w:val="21"/>
          <w:szCs w:val="21"/>
          <w:lang w:val="zh-CN" w:eastAsia="zh-CN"/>
        </w:rPr>
        <w:t>投标文件报价出现前后不一致的，除招标文件另有规定外，按照下列规定修正：</w:t>
      </w:r>
      <w:bookmarkEnd w:id="39"/>
      <w:r>
        <w:rPr>
          <w:rFonts w:hint="eastAsia" w:ascii="宋体" w:hAnsi="宋体" w:eastAsia="宋体" w:cs="宋体"/>
          <w:b w:val="0"/>
          <w:bCs w:val="0"/>
          <w:color w:val="auto"/>
          <w:sz w:val="21"/>
          <w:szCs w:val="21"/>
          <w:lang w:val="zh-CN" w:eastAsia="zh-CN"/>
        </w:rPr>
        <w:t xml:space="preserve">   </w:t>
      </w:r>
    </w:p>
    <w:p w14:paraId="0497E4F9">
      <w:pPr>
        <w:keepNext w:val="0"/>
        <w:keepLines w:val="0"/>
        <w:pageBreakBefore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b w:val="0"/>
          <w:bCs w:val="0"/>
          <w:color w:val="auto"/>
          <w:sz w:val="21"/>
          <w:szCs w:val="21"/>
          <w:lang w:val="zh-CN" w:eastAsia="zh-CN"/>
        </w:rPr>
      </w:pPr>
      <w:bookmarkStart w:id="40" w:name="_Toc13422"/>
      <w:r>
        <w:rPr>
          <w:rFonts w:hint="eastAsia" w:ascii="宋体" w:hAnsi="宋体" w:eastAsia="宋体" w:cs="宋体"/>
          <w:b w:val="0"/>
          <w:bCs w:val="0"/>
          <w:color w:val="auto"/>
          <w:sz w:val="21"/>
          <w:szCs w:val="21"/>
          <w:lang w:val="zh-CN" w:eastAsia="zh-CN"/>
        </w:rPr>
        <w:t>1、投标文件中开标一览表（报价表）内容与投标文件中相应内容不一致的，以开标一览表（报价表）为准；</w:t>
      </w:r>
      <w:bookmarkEnd w:id="40"/>
      <w:r>
        <w:rPr>
          <w:rFonts w:hint="eastAsia" w:ascii="宋体" w:hAnsi="宋体" w:eastAsia="宋体" w:cs="宋体"/>
          <w:b w:val="0"/>
          <w:bCs w:val="0"/>
          <w:color w:val="auto"/>
          <w:sz w:val="21"/>
          <w:szCs w:val="21"/>
          <w:lang w:val="zh-CN" w:eastAsia="zh-CN"/>
        </w:rPr>
        <w:t xml:space="preserve">  </w:t>
      </w:r>
    </w:p>
    <w:p w14:paraId="3AE0380B">
      <w:pPr>
        <w:keepNext w:val="0"/>
        <w:keepLines w:val="0"/>
        <w:pageBreakBefore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b w:val="0"/>
          <w:bCs w:val="0"/>
          <w:color w:val="auto"/>
          <w:sz w:val="21"/>
          <w:szCs w:val="21"/>
          <w:lang w:val="zh-CN" w:eastAsia="zh-CN"/>
        </w:rPr>
      </w:pPr>
      <w:bookmarkStart w:id="41" w:name="_Toc14473"/>
      <w:r>
        <w:rPr>
          <w:rFonts w:hint="eastAsia" w:ascii="宋体" w:hAnsi="宋体" w:eastAsia="宋体" w:cs="宋体"/>
          <w:b w:val="0"/>
          <w:bCs w:val="0"/>
          <w:color w:val="auto"/>
          <w:sz w:val="21"/>
          <w:szCs w:val="21"/>
          <w:lang w:val="zh-CN" w:eastAsia="zh-CN"/>
        </w:rPr>
        <w:t>2、大写金额和小写金额不一致的，以大写金额为准；</w:t>
      </w:r>
      <w:bookmarkEnd w:id="41"/>
      <w:r>
        <w:rPr>
          <w:rFonts w:hint="eastAsia" w:ascii="宋体" w:hAnsi="宋体" w:eastAsia="宋体" w:cs="宋体"/>
          <w:b w:val="0"/>
          <w:bCs w:val="0"/>
          <w:color w:val="auto"/>
          <w:sz w:val="21"/>
          <w:szCs w:val="21"/>
          <w:lang w:val="zh-CN" w:eastAsia="zh-CN"/>
        </w:rPr>
        <w:t xml:space="preserve"> </w:t>
      </w:r>
    </w:p>
    <w:p w14:paraId="3B8A53E9">
      <w:pPr>
        <w:keepNext w:val="0"/>
        <w:keepLines w:val="0"/>
        <w:pageBreakBefore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b w:val="0"/>
          <w:bCs w:val="0"/>
          <w:color w:val="auto"/>
          <w:sz w:val="21"/>
          <w:szCs w:val="21"/>
          <w:lang w:val="zh-CN" w:eastAsia="zh-CN"/>
        </w:rPr>
      </w:pPr>
      <w:bookmarkStart w:id="42" w:name="_Toc6566"/>
      <w:r>
        <w:rPr>
          <w:rFonts w:hint="eastAsia" w:ascii="宋体" w:hAnsi="宋体" w:eastAsia="宋体" w:cs="宋体"/>
          <w:b w:val="0"/>
          <w:bCs w:val="0"/>
          <w:color w:val="auto"/>
          <w:sz w:val="21"/>
          <w:szCs w:val="21"/>
          <w:lang w:val="zh-CN" w:eastAsia="zh-CN"/>
        </w:rPr>
        <w:t>3、单价金额小数点或者百分比有明显错位的，以开标一览表的总价为准，并修改单价；</w:t>
      </w:r>
      <w:bookmarkEnd w:id="42"/>
      <w:r>
        <w:rPr>
          <w:rFonts w:hint="eastAsia" w:ascii="宋体" w:hAnsi="宋体" w:eastAsia="宋体" w:cs="宋体"/>
          <w:b w:val="0"/>
          <w:bCs w:val="0"/>
          <w:color w:val="auto"/>
          <w:sz w:val="21"/>
          <w:szCs w:val="21"/>
          <w:lang w:val="zh-CN" w:eastAsia="zh-CN"/>
        </w:rPr>
        <w:t xml:space="preserve">   </w:t>
      </w:r>
    </w:p>
    <w:p w14:paraId="4945B43D">
      <w:pPr>
        <w:keepNext w:val="0"/>
        <w:keepLines w:val="0"/>
        <w:pageBreakBefore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b w:val="0"/>
          <w:bCs w:val="0"/>
          <w:color w:val="auto"/>
          <w:sz w:val="21"/>
          <w:szCs w:val="21"/>
          <w:lang w:val="zh-CN" w:eastAsia="zh-CN"/>
        </w:rPr>
      </w:pPr>
      <w:bookmarkStart w:id="43" w:name="_Toc16756"/>
      <w:r>
        <w:rPr>
          <w:rFonts w:hint="eastAsia" w:ascii="宋体" w:hAnsi="宋体" w:eastAsia="宋体" w:cs="宋体"/>
          <w:b w:val="0"/>
          <w:bCs w:val="0"/>
          <w:color w:val="auto"/>
          <w:sz w:val="21"/>
          <w:szCs w:val="21"/>
          <w:lang w:val="zh-CN" w:eastAsia="zh-CN"/>
        </w:rPr>
        <w:t>4、总价金额与按单价汇总金额不一致的，以单价金额计算结果为准。</w:t>
      </w:r>
      <w:bookmarkEnd w:id="43"/>
      <w:r>
        <w:rPr>
          <w:rFonts w:hint="eastAsia" w:ascii="宋体" w:hAnsi="宋体" w:eastAsia="宋体" w:cs="宋体"/>
          <w:b w:val="0"/>
          <w:bCs w:val="0"/>
          <w:color w:val="auto"/>
          <w:sz w:val="21"/>
          <w:szCs w:val="21"/>
          <w:lang w:val="zh-CN" w:eastAsia="zh-CN"/>
        </w:rPr>
        <w:t xml:space="preserve">   </w:t>
      </w:r>
    </w:p>
    <w:p w14:paraId="6A259DFC">
      <w:pPr>
        <w:keepNext w:val="0"/>
        <w:keepLines w:val="0"/>
        <w:pageBreakBefore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b w:val="0"/>
          <w:bCs w:val="0"/>
          <w:color w:val="auto"/>
          <w:sz w:val="21"/>
          <w:szCs w:val="21"/>
          <w:lang w:val="zh-CN" w:eastAsia="zh-CN"/>
        </w:rPr>
      </w:pPr>
      <w:bookmarkStart w:id="44" w:name="_Toc28234"/>
      <w:r>
        <w:rPr>
          <w:rFonts w:hint="eastAsia" w:ascii="宋体" w:hAnsi="宋体" w:eastAsia="宋体" w:cs="宋体"/>
          <w:b w:val="0"/>
          <w:bCs w:val="0"/>
          <w:color w:val="auto"/>
          <w:sz w:val="21"/>
          <w:szCs w:val="21"/>
          <w:lang w:val="zh-CN" w:eastAsia="zh-CN"/>
        </w:rPr>
        <w:t>同时出现两种以上不一致的，按照前款规定的顺序修正。修正后的报价按照《政府采购货物和服务招标投标管理办法》（财政部令第 87 号）第五十一条第二款的规定经投标人确认后产生约束力，投标人不确认的，其投标无效。</w:t>
      </w:r>
      <w:bookmarkEnd w:id="44"/>
      <w:r>
        <w:rPr>
          <w:rFonts w:hint="eastAsia" w:ascii="宋体" w:hAnsi="宋体" w:eastAsia="宋体" w:cs="宋体"/>
          <w:b w:val="0"/>
          <w:bCs w:val="0"/>
          <w:color w:val="auto"/>
          <w:sz w:val="21"/>
          <w:szCs w:val="21"/>
          <w:lang w:val="zh-CN" w:eastAsia="zh-CN"/>
        </w:rPr>
        <w:t xml:space="preserve">  </w:t>
      </w:r>
    </w:p>
    <w:p w14:paraId="409697BB">
      <w:pPr>
        <w:keepNext w:val="0"/>
        <w:keepLines w:val="0"/>
        <w:pageBreakBefore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b w:val="0"/>
          <w:bCs w:val="0"/>
          <w:color w:val="auto"/>
          <w:sz w:val="21"/>
          <w:szCs w:val="21"/>
          <w:lang w:val="zh-CN" w:eastAsia="zh-CN"/>
        </w:rPr>
      </w:pPr>
      <w:r>
        <w:rPr>
          <w:rFonts w:hint="eastAsia" w:ascii="宋体" w:hAnsi="宋体" w:cs="宋体"/>
          <w:b w:val="0"/>
          <w:bCs w:val="0"/>
          <w:color w:val="auto"/>
          <w:sz w:val="21"/>
          <w:szCs w:val="21"/>
          <w:lang w:val="zh-CN" w:eastAsia="zh-CN"/>
        </w:rPr>
        <w:t>（</w:t>
      </w:r>
      <w:r>
        <w:rPr>
          <w:rFonts w:hint="eastAsia" w:ascii="宋体" w:hAnsi="宋体" w:cs="宋体"/>
          <w:b w:val="0"/>
          <w:bCs w:val="0"/>
          <w:color w:val="auto"/>
          <w:sz w:val="21"/>
          <w:szCs w:val="21"/>
          <w:lang w:val="en-US" w:eastAsia="zh-CN"/>
        </w:rPr>
        <w:t>四</w:t>
      </w:r>
      <w:r>
        <w:rPr>
          <w:rFonts w:hint="eastAsia" w:ascii="宋体" w:hAnsi="宋体" w:cs="宋体"/>
          <w:b w:val="0"/>
          <w:bCs w:val="0"/>
          <w:color w:val="auto"/>
          <w:sz w:val="21"/>
          <w:szCs w:val="21"/>
          <w:lang w:val="zh-CN" w:eastAsia="zh-CN"/>
        </w:rPr>
        <w:t>）</w:t>
      </w:r>
      <w:r>
        <w:rPr>
          <w:rFonts w:hint="eastAsia" w:ascii="宋体" w:hAnsi="宋体" w:eastAsia="宋体" w:cs="宋体"/>
          <w:b w:val="0"/>
          <w:bCs w:val="0"/>
          <w:color w:val="auto"/>
          <w:sz w:val="21"/>
          <w:szCs w:val="21"/>
          <w:lang w:val="zh-CN" w:eastAsia="zh-CN"/>
        </w:rPr>
        <w:t>相同品牌处理原则</w:t>
      </w:r>
    </w:p>
    <w:p w14:paraId="21AC894D">
      <w:pPr>
        <w:keepNext w:val="0"/>
        <w:keepLines w:val="0"/>
        <w:pageBreakBefore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b w:val="0"/>
          <w:bCs w:val="0"/>
          <w:color w:val="auto"/>
          <w:sz w:val="21"/>
          <w:szCs w:val="21"/>
          <w:lang w:val="zh-CN" w:eastAsia="zh-CN"/>
        </w:rPr>
      </w:pPr>
      <w:r>
        <w:rPr>
          <w:rFonts w:hint="eastAsia" w:ascii="宋体" w:hAnsi="宋体" w:eastAsia="宋体" w:cs="宋体"/>
          <w:b w:val="0"/>
          <w:bCs w:val="0"/>
          <w:color w:val="auto"/>
          <w:sz w:val="21"/>
          <w:szCs w:val="21"/>
          <w:lang w:val="zh-CN" w:eastAsia="zh-CN"/>
        </w:rPr>
        <w:t>1、提供相同品牌产品且通过资格审查、符合性审查的不同投标人参加同一合同项下投标的，按一家投标人计算，评审后得分最高的同品牌投标人获得中标人推荐资格；评审得分相同的，由招标人确定或者招标人委托评标委员会以投票方式确定一个投标人获得中标人推荐资格，其他同品牌投标人不作为中标候选人。</w:t>
      </w:r>
    </w:p>
    <w:p w14:paraId="5BA60723">
      <w:pPr>
        <w:keepNext w:val="0"/>
        <w:keepLines w:val="0"/>
        <w:pageBreakBefore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b w:val="0"/>
          <w:bCs w:val="0"/>
          <w:color w:val="auto"/>
          <w:sz w:val="21"/>
          <w:szCs w:val="21"/>
          <w:lang w:val="zh-CN" w:eastAsia="zh-CN"/>
        </w:rPr>
      </w:pPr>
      <w:r>
        <w:rPr>
          <w:rFonts w:hint="eastAsia" w:ascii="宋体" w:hAnsi="宋体" w:eastAsia="宋体" w:cs="宋体"/>
          <w:b w:val="0"/>
          <w:bCs w:val="0"/>
          <w:color w:val="auto"/>
          <w:sz w:val="21"/>
          <w:szCs w:val="21"/>
          <w:lang w:val="zh-CN" w:eastAsia="zh-CN"/>
        </w:rPr>
        <w:t>2、非单一产品采购项目，招标人应当根据采购项目技术构成、产品价格比重等合理确定核心产品，并在招标文件中载明。多家投标人提供的核心产品品牌相同的，按</w:t>
      </w:r>
      <w:r>
        <w:rPr>
          <w:rFonts w:hint="eastAsia" w:ascii="宋体" w:hAnsi="宋体" w:cs="宋体"/>
          <w:b w:val="0"/>
          <w:bCs w:val="0"/>
          <w:color w:val="auto"/>
          <w:sz w:val="21"/>
          <w:szCs w:val="21"/>
          <w:lang w:val="en-US" w:eastAsia="zh-CN"/>
        </w:rPr>
        <w:t>此条</w:t>
      </w:r>
      <w:r>
        <w:rPr>
          <w:rFonts w:hint="eastAsia" w:ascii="宋体" w:hAnsi="宋体" w:eastAsia="宋体" w:cs="宋体"/>
          <w:b w:val="0"/>
          <w:bCs w:val="0"/>
          <w:color w:val="auto"/>
          <w:sz w:val="21"/>
          <w:szCs w:val="21"/>
          <w:lang w:val="zh-CN" w:eastAsia="zh-CN"/>
        </w:rPr>
        <w:t>1规定处理。</w:t>
      </w:r>
    </w:p>
    <w:p w14:paraId="6C48D79D">
      <w:pPr>
        <w:keepNext w:val="0"/>
        <w:keepLines w:val="0"/>
        <w:pageBreakBefore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b w:val="0"/>
          <w:bCs w:val="0"/>
          <w:color w:val="auto"/>
          <w:sz w:val="21"/>
          <w:szCs w:val="21"/>
          <w:lang w:val="zh-CN" w:eastAsia="zh-CN"/>
        </w:rPr>
      </w:pPr>
      <w:bookmarkStart w:id="45" w:name="_Toc10747"/>
      <w:r>
        <w:rPr>
          <w:rFonts w:hint="eastAsia" w:ascii="宋体" w:hAnsi="宋体" w:eastAsia="宋体" w:cs="宋体"/>
          <w:b w:val="0"/>
          <w:bCs w:val="0"/>
          <w:color w:val="auto"/>
          <w:sz w:val="21"/>
          <w:szCs w:val="21"/>
          <w:lang w:val="zh-CN" w:eastAsia="zh-CN"/>
        </w:rPr>
        <w:t>（</w:t>
      </w:r>
      <w:r>
        <w:rPr>
          <w:rFonts w:hint="eastAsia" w:ascii="宋体" w:hAnsi="宋体" w:cs="宋体"/>
          <w:b w:val="0"/>
          <w:bCs w:val="0"/>
          <w:color w:val="auto"/>
          <w:sz w:val="21"/>
          <w:szCs w:val="21"/>
          <w:lang w:val="en-US" w:eastAsia="zh-CN"/>
        </w:rPr>
        <w:t>五</w:t>
      </w:r>
      <w:r>
        <w:rPr>
          <w:rFonts w:hint="eastAsia" w:ascii="宋体" w:hAnsi="宋体" w:eastAsia="宋体" w:cs="宋体"/>
          <w:b w:val="0"/>
          <w:bCs w:val="0"/>
          <w:color w:val="auto"/>
          <w:sz w:val="21"/>
          <w:szCs w:val="21"/>
          <w:lang w:val="zh-CN" w:eastAsia="zh-CN"/>
        </w:rPr>
        <w:t>）比较与评价</w:t>
      </w:r>
      <w:bookmarkEnd w:id="45"/>
      <w:r>
        <w:rPr>
          <w:rFonts w:hint="eastAsia" w:ascii="宋体" w:hAnsi="宋体" w:eastAsia="宋体" w:cs="宋体"/>
          <w:b w:val="0"/>
          <w:bCs w:val="0"/>
          <w:color w:val="auto"/>
          <w:sz w:val="21"/>
          <w:szCs w:val="21"/>
          <w:lang w:val="zh-CN" w:eastAsia="zh-CN"/>
        </w:rPr>
        <w:t xml:space="preserve">  </w:t>
      </w:r>
    </w:p>
    <w:p w14:paraId="4574531F">
      <w:pPr>
        <w:keepNext w:val="0"/>
        <w:keepLines w:val="0"/>
        <w:pageBreakBefore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b w:val="0"/>
          <w:bCs w:val="0"/>
          <w:color w:val="auto"/>
          <w:sz w:val="21"/>
          <w:szCs w:val="21"/>
          <w:lang w:val="zh-CN" w:eastAsia="zh-CN"/>
        </w:rPr>
      </w:pPr>
      <w:bookmarkStart w:id="46" w:name="_Toc25470"/>
      <w:r>
        <w:rPr>
          <w:rFonts w:hint="eastAsia" w:ascii="宋体" w:hAnsi="宋体" w:eastAsia="宋体" w:cs="宋体"/>
          <w:b w:val="0"/>
          <w:bCs w:val="0"/>
          <w:color w:val="auto"/>
          <w:sz w:val="21"/>
          <w:szCs w:val="21"/>
          <w:lang w:val="zh-CN" w:eastAsia="zh-CN"/>
        </w:rPr>
        <w:t>评标委员会按招标文件中规定的评标方法和标准，对资格性检查和符合性检查合格的投标文件进行商务和技术评估，综合比较与评价。具体评审因素详见《评分标准》,本项目评分保留小数点后两位。</w:t>
      </w:r>
      <w:bookmarkEnd w:id="46"/>
      <w:r>
        <w:rPr>
          <w:rFonts w:hint="eastAsia" w:ascii="宋体" w:hAnsi="宋体" w:eastAsia="宋体" w:cs="宋体"/>
          <w:b w:val="0"/>
          <w:bCs w:val="0"/>
          <w:color w:val="auto"/>
          <w:sz w:val="21"/>
          <w:szCs w:val="21"/>
          <w:lang w:val="zh-CN" w:eastAsia="zh-CN"/>
        </w:rPr>
        <w:t xml:space="preserve">  </w:t>
      </w:r>
    </w:p>
    <w:p w14:paraId="59653080">
      <w:pPr>
        <w:keepNext w:val="0"/>
        <w:keepLines w:val="0"/>
        <w:pageBreakBefore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b w:val="0"/>
          <w:bCs w:val="0"/>
          <w:color w:val="auto"/>
          <w:sz w:val="21"/>
          <w:szCs w:val="21"/>
          <w:lang w:val="zh-CN" w:eastAsia="zh-CN"/>
        </w:rPr>
      </w:pPr>
      <w:bookmarkStart w:id="47" w:name="_Toc6047"/>
      <w:r>
        <w:rPr>
          <w:rFonts w:hint="eastAsia" w:ascii="宋体" w:hAnsi="宋体" w:eastAsia="宋体" w:cs="宋体"/>
          <w:b w:val="0"/>
          <w:bCs w:val="0"/>
          <w:color w:val="auto"/>
          <w:sz w:val="21"/>
          <w:szCs w:val="21"/>
          <w:lang w:val="zh-CN" w:eastAsia="zh-CN"/>
        </w:rPr>
        <w:t>（</w:t>
      </w:r>
      <w:r>
        <w:rPr>
          <w:rFonts w:hint="eastAsia" w:ascii="宋体" w:hAnsi="宋体" w:cs="宋体"/>
          <w:b w:val="0"/>
          <w:bCs w:val="0"/>
          <w:color w:val="auto"/>
          <w:sz w:val="21"/>
          <w:szCs w:val="21"/>
          <w:lang w:val="en-US" w:eastAsia="zh-CN"/>
        </w:rPr>
        <w:t>六</w:t>
      </w:r>
      <w:r>
        <w:rPr>
          <w:rFonts w:hint="eastAsia" w:ascii="宋体" w:hAnsi="宋体" w:eastAsia="宋体" w:cs="宋体"/>
          <w:b w:val="0"/>
          <w:bCs w:val="0"/>
          <w:color w:val="auto"/>
          <w:sz w:val="21"/>
          <w:szCs w:val="21"/>
          <w:lang w:val="zh-CN" w:eastAsia="zh-CN"/>
        </w:rPr>
        <w:t>）推荐中标候选人名单</w:t>
      </w:r>
      <w:bookmarkEnd w:id="47"/>
      <w:r>
        <w:rPr>
          <w:rFonts w:hint="eastAsia" w:ascii="宋体" w:hAnsi="宋体" w:eastAsia="宋体" w:cs="宋体"/>
          <w:b w:val="0"/>
          <w:bCs w:val="0"/>
          <w:color w:val="auto"/>
          <w:sz w:val="21"/>
          <w:szCs w:val="21"/>
          <w:lang w:val="zh-CN" w:eastAsia="zh-CN"/>
        </w:rPr>
        <w:t xml:space="preserve">  </w:t>
      </w:r>
    </w:p>
    <w:p w14:paraId="226F95E8">
      <w:pPr>
        <w:keepNext w:val="0"/>
        <w:keepLines w:val="0"/>
        <w:pageBreakBefore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b w:val="0"/>
          <w:bCs w:val="0"/>
          <w:color w:val="auto"/>
          <w:sz w:val="21"/>
          <w:szCs w:val="21"/>
          <w:lang w:val="zh-CN" w:eastAsia="zh-CN"/>
        </w:rPr>
      </w:pPr>
      <w:bookmarkStart w:id="48" w:name="_Toc9706"/>
      <w:r>
        <w:rPr>
          <w:rFonts w:hint="eastAsia" w:ascii="宋体" w:hAnsi="宋体" w:eastAsia="宋体" w:cs="宋体"/>
          <w:b w:val="0"/>
          <w:bCs w:val="0"/>
          <w:color w:val="auto"/>
          <w:sz w:val="21"/>
          <w:szCs w:val="21"/>
          <w:lang w:val="zh-CN" w:eastAsia="zh-CN"/>
        </w:rPr>
        <w:t>中标候选人数量详见《投标人须知前附表》。评标委员会按评审后得分由高到低顺序排列。得分相同的，按投标报价由低到高顺序排列；得分且投标报价相同的，按技术指标优劣顺序排列。</w:t>
      </w:r>
      <w:bookmarkEnd w:id="48"/>
      <w:r>
        <w:rPr>
          <w:rFonts w:hint="eastAsia" w:ascii="宋体" w:hAnsi="宋体" w:eastAsia="宋体" w:cs="宋体"/>
          <w:b w:val="0"/>
          <w:bCs w:val="0"/>
          <w:color w:val="auto"/>
          <w:sz w:val="21"/>
          <w:szCs w:val="21"/>
          <w:lang w:val="zh-CN" w:eastAsia="zh-CN"/>
        </w:rPr>
        <w:t xml:space="preserve">  </w:t>
      </w:r>
    </w:p>
    <w:p w14:paraId="56DDDF8B">
      <w:pPr>
        <w:keepNext w:val="0"/>
        <w:keepLines w:val="0"/>
        <w:pageBreakBefore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b w:val="0"/>
          <w:bCs w:val="0"/>
          <w:color w:val="auto"/>
          <w:sz w:val="21"/>
          <w:szCs w:val="21"/>
          <w:lang w:val="zh-CN" w:eastAsia="zh-CN"/>
        </w:rPr>
      </w:pPr>
      <w:bookmarkStart w:id="49" w:name="_Toc21744"/>
      <w:r>
        <w:rPr>
          <w:rFonts w:hint="eastAsia" w:ascii="宋体" w:hAnsi="宋体" w:eastAsia="宋体" w:cs="宋体"/>
          <w:b w:val="0"/>
          <w:bCs w:val="0"/>
          <w:color w:val="auto"/>
          <w:sz w:val="21"/>
          <w:szCs w:val="21"/>
          <w:lang w:val="zh-CN" w:eastAsia="zh-CN"/>
        </w:rPr>
        <w:t>(</w:t>
      </w:r>
      <w:r>
        <w:rPr>
          <w:rFonts w:hint="eastAsia" w:ascii="宋体" w:hAnsi="宋体" w:cs="宋体"/>
          <w:b w:val="0"/>
          <w:bCs w:val="0"/>
          <w:color w:val="auto"/>
          <w:sz w:val="21"/>
          <w:szCs w:val="21"/>
          <w:lang w:val="en-US" w:eastAsia="zh-CN"/>
        </w:rPr>
        <w:t>七</w:t>
      </w:r>
      <w:r>
        <w:rPr>
          <w:rFonts w:hint="eastAsia" w:ascii="宋体" w:hAnsi="宋体" w:eastAsia="宋体" w:cs="宋体"/>
          <w:b w:val="0"/>
          <w:bCs w:val="0"/>
          <w:color w:val="auto"/>
          <w:sz w:val="21"/>
          <w:szCs w:val="21"/>
          <w:lang w:val="zh-CN" w:eastAsia="zh-CN"/>
        </w:rPr>
        <w:t>)编写评标报告</w:t>
      </w:r>
      <w:bookmarkEnd w:id="49"/>
      <w:r>
        <w:rPr>
          <w:rFonts w:hint="eastAsia" w:ascii="宋体" w:hAnsi="宋体" w:eastAsia="宋体" w:cs="宋体"/>
          <w:b w:val="0"/>
          <w:bCs w:val="0"/>
          <w:color w:val="auto"/>
          <w:sz w:val="21"/>
          <w:szCs w:val="21"/>
          <w:lang w:val="zh-CN" w:eastAsia="zh-CN"/>
        </w:rPr>
        <w:t xml:space="preserve">  </w:t>
      </w:r>
    </w:p>
    <w:p w14:paraId="291B1D54">
      <w:pPr>
        <w:keepNext w:val="0"/>
        <w:keepLines w:val="0"/>
        <w:pageBreakBefore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b w:val="0"/>
          <w:bCs w:val="0"/>
          <w:color w:val="auto"/>
          <w:sz w:val="21"/>
          <w:szCs w:val="21"/>
          <w:lang w:val="zh-CN" w:eastAsia="zh-CN"/>
        </w:rPr>
      </w:pPr>
      <w:bookmarkStart w:id="50" w:name="_Toc27737"/>
      <w:r>
        <w:rPr>
          <w:rFonts w:hint="eastAsia" w:ascii="宋体" w:hAnsi="宋体" w:eastAsia="宋体" w:cs="宋体"/>
          <w:b w:val="0"/>
          <w:bCs w:val="0"/>
          <w:color w:val="auto"/>
          <w:sz w:val="21"/>
          <w:szCs w:val="21"/>
          <w:lang w:val="zh-CN" w:eastAsia="zh-CN"/>
        </w:rPr>
        <w:t>评标报告是评标委员会根据全体评标成员签字或盖章的原始评标记录和评标结果编写的报告。</w:t>
      </w:r>
      <w:bookmarkEnd w:id="50"/>
      <w:r>
        <w:rPr>
          <w:rFonts w:hint="eastAsia" w:ascii="宋体" w:hAnsi="宋体" w:eastAsia="宋体" w:cs="宋体"/>
          <w:b w:val="0"/>
          <w:bCs w:val="0"/>
          <w:color w:val="auto"/>
          <w:sz w:val="21"/>
          <w:szCs w:val="21"/>
          <w:lang w:val="zh-CN" w:eastAsia="zh-CN"/>
        </w:rPr>
        <w:t xml:space="preserve"> </w:t>
      </w:r>
    </w:p>
    <w:p w14:paraId="3636A9FA">
      <w:pPr>
        <w:bidi w:val="0"/>
        <w:jc w:val="center"/>
        <w:rPr>
          <w:rFonts w:hint="eastAsia"/>
          <w:b/>
          <w:bCs/>
          <w:color w:val="auto"/>
          <w:sz w:val="28"/>
          <w:szCs w:val="32"/>
        </w:rPr>
      </w:pPr>
      <w:bookmarkStart w:id="51" w:name="_Toc136007082"/>
    </w:p>
    <w:p w14:paraId="56680714">
      <w:pPr>
        <w:bidi w:val="0"/>
        <w:jc w:val="center"/>
        <w:rPr>
          <w:rFonts w:hint="default"/>
          <w:b/>
          <w:bCs/>
          <w:color w:val="auto"/>
          <w:sz w:val="28"/>
          <w:szCs w:val="32"/>
          <w:lang w:val="en-US" w:eastAsia="zh-CN"/>
        </w:rPr>
      </w:pPr>
      <w:r>
        <w:rPr>
          <w:rFonts w:hint="eastAsia"/>
          <w:b/>
          <w:bCs/>
          <w:color w:val="auto"/>
          <w:sz w:val="28"/>
          <w:szCs w:val="32"/>
        </w:rPr>
        <w:br w:type="page"/>
      </w:r>
      <w:r>
        <w:rPr>
          <w:rFonts w:hint="eastAsia"/>
          <w:b/>
          <w:bCs/>
          <w:color w:val="auto"/>
          <w:sz w:val="28"/>
          <w:szCs w:val="32"/>
        </w:rPr>
        <w:t>评</w:t>
      </w:r>
      <w:bookmarkEnd w:id="51"/>
      <w:r>
        <w:rPr>
          <w:rFonts w:hint="eastAsia"/>
          <w:b/>
          <w:bCs/>
          <w:color w:val="auto"/>
          <w:sz w:val="28"/>
          <w:szCs w:val="32"/>
          <w:lang w:val="en-US" w:eastAsia="zh-CN"/>
        </w:rPr>
        <w:t>分标准</w:t>
      </w:r>
    </w:p>
    <w:p w14:paraId="3339A61B">
      <w:pPr>
        <w:pStyle w:val="14"/>
        <w:jc w:val="both"/>
        <w:rPr>
          <w:rFonts w:hint="eastAsia" w:asciiTheme="minorEastAsia" w:hAnsiTheme="minorEastAsia" w:eastAsiaTheme="minorEastAsia" w:cstheme="minorEastAsia"/>
          <w:b/>
          <w:bCs/>
          <w:color w:val="auto"/>
          <w:kern w:val="2"/>
          <w:sz w:val="32"/>
          <w:szCs w:val="32"/>
          <w:lang w:val="zh-CN" w:eastAsia="zh-CN" w:bidi="ar-SA"/>
        </w:rPr>
      </w:pPr>
      <w:bookmarkStart w:id="52" w:name="_Toc26559"/>
      <w:bookmarkStart w:id="53" w:name="_Toc18707"/>
    </w:p>
    <w:tbl>
      <w:tblPr>
        <w:tblStyle w:val="16"/>
        <w:tblW w:w="9683" w:type="dxa"/>
        <w:tblInd w:w="-4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5"/>
        <w:gridCol w:w="1199"/>
        <w:gridCol w:w="6559"/>
        <w:gridCol w:w="820"/>
      </w:tblGrid>
      <w:tr w14:paraId="06B9D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14:paraId="0216AFCF">
            <w:pPr>
              <w:rPr>
                <w:rFonts w:hint="eastAsia"/>
                <w:color w:val="auto"/>
                <w:vertAlign w:val="baseline"/>
                <w:lang w:val="zh-CN" w:eastAsia="zh-CN"/>
              </w:rPr>
            </w:pPr>
            <w:r>
              <w:rPr>
                <w:rFonts w:hint="eastAsia"/>
                <w:b/>
                <w:color w:val="auto"/>
                <w:szCs w:val="21"/>
              </w:rPr>
              <w:t>类别</w:t>
            </w:r>
          </w:p>
        </w:tc>
        <w:tc>
          <w:tcPr>
            <w:tcW w:w="1199" w:type="dxa"/>
          </w:tcPr>
          <w:p w14:paraId="65F9CC49">
            <w:pPr>
              <w:rPr>
                <w:rFonts w:hint="eastAsia"/>
                <w:color w:val="auto"/>
                <w:vertAlign w:val="baseline"/>
                <w:lang w:val="zh-CN" w:eastAsia="zh-CN"/>
              </w:rPr>
            </w:pPr>
            <w:r>
              <w:rPr>
                <w:rFonts w:hint="eastAsia"/>
                <w:b/>
                <w:color w:val="auto"/>
              </w:rPr>
              <w:t>评分内容</w:t>
            </w:r>
          </w:p>
        </w:tc>
        <w:tc>
          <w:tcPr>
            <w:tcW w:w="6559" w:type="dxa"/>
            <w:shd w:val="clear" w:color="auto" w:fill="D9D9D9"/>
            <w:vAlign w:val="center"/>
          </w:tcPr>
          <w:p w14:paraId="731F4DCB">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eastAsia="宋体" w:cs="Times New Roman"/>
                <w:b/>
                <w:color w:val="auto"/>
                <w:kern w:val="2"/>
                <w:sz w:val="21"/>
                <w:szCs w:val="22"/>
                <w:lang w:val="zh-CN" w:eastAsia="zh-CN" w:bidi="ar-SA"/>
              </w:rPr>
            </w:pPr>
            <w:r>
              <w:rPr>
                <w:b/>
                <w:color w:val="auto"/>
              </w:rPr>
              <w:t>评分标准</w:t>
            </w:r>
          </w:p>
        </w:tc>
        <w:tc>
          <w:tcPr>
            <w:tcW w:w="820" w:type="dxa"/>
            <w:shd w:val="clear" w:color="auto" w:fill="D9D9D9"/>
            <w:vAlign w:val="center"/>
          </w:tcPr>
          <w:p w14:paraId="23A573B4">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eastAsia="宋体" w:cs="Times New Roman"/>
                <w:b/>
                <w:color w:val="auto"/>
                <w:kern w:val="2"/>
                <w:sz w:val="21"/>
                <w:szCs w:val="22"/>
                <w:lang w:val="zh-CN" w:eastAsia="zh-CN" w:bidi="ar-SA"/>
              </w:rPr>
            </w:pPr>
            <w:r>
              <w:rPr>
                <w:rFonts w:hint="eastAsia"/>
                <w:b/>
                <w:color w:val="auto"/>
                <w:szCs w:val="21"/>
              </w:rPr>
              <w:t>分值</w:t>
            </w:r>
          </w:p>
        </w:tc>
      </w:tr>
      <w:tr w14:paraId="0D5F3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14:paraId="5AAF7517">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b/>
                <w:bCs w:val="0"/>
                <w:color w:val="auto"/>
                <w:vertAlign w:val="baseline"/>
                <w:lang w:val="zh-CN" w:eastAsia="zh-CN"/>
              </w:rPr>
            </w:pPr>
            <w:r>
              <w:rPr>
                <w:rFonts w:hint="eastAsia"/>
                <w:b/>
                <w:bCs w:val="0"/>
                <w:color w:val="auto"/>
              </w:rPr>
              <w:t>价格部分(30分)</w:t>
            </w:r>
          </w:p>
        </w:tc>
        <w:tc>
          <w:tcPr>
            <w:tcW w:w="1199" w:type="dxa"/>
            <w:shd w:val="clear" w:color="auto" w:fill="auto"/>
            <w:vAlign w:val="top"/>
          </w:tcPr>
          <w:p w14:paraId="29C5833C">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Times New Roman"/>
                <w:color w:val="auto"/>
                <w:kern w:val="2"/>
                <w:sz w:val="21"/>
                <w:szCs w:val="22"/>
                <w:lang w:val="zh-CN" w:eastAsia="zh-CN" w:bidi="ar-SA"/>
              </w:rPr>
            </w:pPr>
            <w:r>
              <w:rPr>
                <w:rFonts w:hint="eastAsia"/>
                <w:b/>
                <w:color w:val="auto"/>
                <w:lang w:eastAsia="zh-CN"/>
              </w:rPr>
              <w:t>投标报价</w:t>
            </w:r>
          </w:p>
        </w:tc>
        <w:tc>
          <w:tcPr>
            <w:tcW w:w="6559" w:type="dxa"/>
            <w:shd w:val="clear" w:color="auto" w:fill="auto"/>
            <w:vAlign w:val="top"/>
          </w:tcPr>
          <w:p w14:paraId="4B2A0994">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价格分采用低价优先法计算，即满足招标文件要求且最后报价最低的</w:t>
            </w:r>
            <w:r>
              <w:rPr>
                <w:rFonts w:hint="eastAsia" w:asciiTheme="minorEastAsia" w:hAnsiTheme="minorEastAsia" w:eastAsiaTheme="minorEastAsia" w:cstheme="minorEastAsia"/>
                <w:color w:val="auto"/>
                <w:sz w:val="21"/>
                <w:szCs w:val="21"/>
                <w:lang w:eastAsia="zh-CN"/>
              </w:rPr>
              <w:t>投标人</w:t>
            </w:r>
            <w:r>
              <w:rPr>
                <w:rFonts w:hint="eastAsia" w:asciiTheme="minorEastAsia" w:hAnsiTheme="minorEastAsia" w:eastAsiaTheme="minorEastAsia" w:cstheme="minorEastAsia"/>
                <w:color w:val="auto"/>
                <w:sz w:val="21"/>
                <w:szCs w:val="21"/>
              </w:rPr>
              <w:t>的价格为投标报价基准价，其价格分为满分。</w:t>
            </w:r>
          </w:p>
          <w:p w14:paraId="47C101EE">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color w:val="auto"/>
                <w:kern w:val="2"/>
                <w:sz w:val="21"/>
                <w:szCs w:val="21"/>
                <w:lang w:val="zh-CN" w:eastAsia="zh-CN" w:bidi="ar-SA"/>
              </w:rPr>
            </w:pPr>
            <w:r>
              <w:rPr>
                <w:rFonts w:hint="eastAsia" w:asciiTheme="minorEastAsia" w:hAnsiTheme="minorEastAsia" w:eastAsiaTheme="minorEastAsia" w:cstheme="minorEastAsia"/>
                <w:color w:val="auto"/>
                <w:sz w:val="21"/>
                <w:szCs w:val="21"/>
              </w:rPr>
              <w:t>其他</w:t>
            </w:r>
            <w:r>
              <w:rPr>
                <w:rFonts w:hint="eastAsia" w:asciiTheme="minorEastAsia" w:hAnsiTheme="minorEastAsia" w:eastAsiaTheme="minorEastAsia" w:cstheme="minorEastAsia"/>
                <w:color w:val="auto"/>
                <w:sz w:val="21"/>
                <w:szCs w:val="21"/>
                <w:lang w:eastAsia="zh-CN"/>
              </w:rPr>
              <w:t>投标人</w:t>
            </w:r>
            <w:r>
              <w:rPr>
                <w:rFonts w:hint="eastAsia" w:asciiTheme="minorEastAsia" w:hAnsiTheme="minorEastAsia" w:eastAsiaTheme="minorEastAsia" w:cstheme="minorEastAsia"/>
                <w:color w:val="auto"/>
                <w:sz w:val="21"/>
                <w:szCs w:val="21"/>
              </w:rPr>
              <w:t>的价格分按照下列公式计算：投标报价得分=【投标报价基准价／投标报价】×30%×100（报价得分四舍五入后保留至小数点后2位）。</w:t>
            </w:r>
          </w:p>
        </w:tc>
        <w:tc>
          <w:tcPr>
            <w:tcW w:w="820" w:type="dxa"/>
            <w:shd w:val="clear" w:color="auto" w:fill="auto"/>
            <w:vAlign w:val="center"/>
          </w:tcPr>
          <w:p w14:paraId="504A4AC6">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eastAsia="宋体" w:cs="Times New Roman"/>
                <w:color w:val="auto"/>
                <w:kern w:val="2"/>
                <w:sz w:val="21"/>
                <w:szCs w:val="22"/>
                <w:lang w:val="zh-CN" w:eastAsia="zh-CN" w:bidi="ar-SA"/>
              </w:rPr>
            </w:pPr>
            <w:r>
              <w:rPr>
                <w:rFonts w:hint="eastAsia"/>
                <w:color w:val="auto"/>
              </w:rPr>
              <w:t>30</w:t>
            </w:r>
          </w:p>
        </w:tc>
      </w:tr>
      <w:tr w14:paraId="25420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vMerge w:val="restart"/>
          </w:tcPr>
          <w:p w14:paraId="407DD4A9">
            <w:pPr>
              <w:jc w:val="left"/>
              <w:rPr>
                <w:rFonts w:hint="eastAsia"/>
                <w:b/>
                <w:bCs w:val="0"/>
                <w:color w:val="auto"/>
                <w:vertAlign w:val="baseline"/>
                <w:lang w:val="zh-CN" w:eastAsia="zh-CN"/>
              </w:rPr>
            </w:pPr>
            <w:r>
              <w:rPr>
                <w:rFonts w:hint="eastAsia"/>
                <w:b/>
                <w:bCs w:val="0"/>
                <w:color w:val="auto"/>
                <w:vertAlign w:val="baseline"/>
                <w:lang w:val="zh-CN" w:eastAsia="zh-CN"/>
              </w:rPr>
              <w:t>商务部分（</w:t>
            </w:r>
            <w:r>
              <w:rPr>
                <w:rFonts w:hint="eastAsia"/>
                <w:b/>
                <w:bCs w:val="0"/>
                <w:color w:val="auto"/>
                <w:vertAlign w:val="baseline"/>
                <w:lang w:val="en-US" w:eastAsia="zh-CN"/>
              </w:rPr>
              <w:t>20分</w:t>
            </w:r>
            <w:r>
              <w:rPr>
                <w:rFonts w:hint="eastAsia"/>
                <w:b/>
                <w:bCs w:val="0"/>
                <w:color w:val="auto"/>
                <w:vertAlign w:val="baseline"/>
                <w:lang w:val="zh-CN" w:eastAsia="zh-CN"/>
              </w:rPr>
              <w:t>）</w:t>
            </w:r>
          </w:p>
        </w:tc>
        <w:tc>
          <w:tcPr>
            <w:tcW w:w="1199" w:type="dxa"/>
            <w:shd w:val="clear" w:color="auto" w:fill="auto"/>
            <w:vAlign w:val="top"/>
          </w:tcPr>
          <w:p w14:paraId="2E74D9A6">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b/>
                <w:color w:val="auto"/>
              </w:rPr>
            </w:pPr>
            <w:r>
              <w:rPr>
                <w:rFonts w:hint="eastAsia"/>
                <w:b/>
                <w:color w:val="auto"/>
              </w:rPr>
              <w:t>业绩要求：</w:t>
            </w:r>
          </w:p>
          <w:p w14:paraId="1E1150EE">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Times New Roman"/>
                <w:b/>
                <w:color w:val="auto"/>
                <w:kern w:val="2"/>
                <w:sz w:val="21"/>
                <w:szCs w:val="22"/>
                <w:lang w:val="zh-CN" w:eastAsia="zh-CN" w:bidi="ar-SA"/>
              </w:rPr>
            </w:pPr>
          </w:p>
        </w:tc>
        <w:tc>
          <w:tcPr>
            <w:tcW w:w="6559" w:type="dxa"/>
            <w:shd w:val="clear" w:color="auto" w:fill="auto"/>
            <w:vAlign w:val="top"/>
          </w:tcPr>
          <w:p w14:paraId="41D3DD54">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b/>
                <w:color w:val="auto"/>
                <w:kern w:val="2"/>
                <w:sz w:val="21"/>
                <w:szCs w:val="21"/>
                <w:lang w:val="zh-CN" w:eastAsia="zh-CN" w:bidi="ar-SA"/>
              </w:rPr>
            </w:pPr>
            <w:r>
              <w:rPr>
                <w:rFonts w:hint="eastAsia" w:asciiTheme="minorEastAsia" w:hAnsiTheme="minorEastAsia" w:eastAsiaTheme="minorEastAsia" w:cstheme="minorEastAsia"/>
                <w:color w:val="auto"/>
                <w:sz w:val="21"/>
                <w:szCs w:val="21"/>
                <w:lang w:val="en-US" w:eastAsia="zh-CN"/>
              </w:rPr>
              <w:t>投标人</w:t>
            </w:r>
            <w:r>
              <w:rPr>
                <w:rFonts w:hint="eastAsia" w:asciiTheme="minorEastAsia" w:hAnsiTheme="minorEastAsia" w:eastAsiaTheme="minorEastAsia" w:cstheme="minorEastAsia"/>
                <w:color w:val="auto"/>
                <w:sz w:val="21"/>
                <w:szCs w:val="21"/>
              </w:rPr>
              <w:t>近三年</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投标</w:t>
            </w:r>
            <w:r>
              <w:rPr>
                <w:rFonts w:hint="eastAsia" w:asciiTheme="minorEastAsia" w:hAnsiTheme="minorEastAsia" w:eastAsiaTheme="minorEastAsia" w:cstheme="minorEastAsia"/>
                <w:color w:val="auto"/>
                <w:sz w:val="21"/>
                <w:szCs w:val="21"/>
                <w:highlight w:val="none"/>
                <w:lang w:val="en-US" w:eastAsia="zh-CN"/>
              </w:rPr>
              <w:t>截止日前三年</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承担过的类似业绩:每提供一项得</w:t>
            </w:r>
            <w:r>
              <w:rPr>
                <w:rFonts w:hint="eastAsia" w:asciiTheme="minorEastAsia" w:hAnsiTheme="minorEastAsia" w:eastAsiaTheme="minorEastAsia" w:cstheme="minorEastAsia"/>
                <w:color w:val="auto"/>
                <w:sz w:val="21"/>
                <w:szCs w:val="21"/>
                <w:lang w:val="en-US" w:eastAsia="zh-CN"/>
              </w:rPr>
              <w:t>5</w:t>
            </w:r>
            <w:r>
              <w:rPr>
                <w:rFonts w:hint="eastAsia" w:asciiTheme="minorEastAsia" w:hAnsiTheme="minorEastAsia" w:eastAsiaTheme="minorEastAsia" w:cstheme="minorEastAsia"/>
                <w:color w:val="auto"/>
                <w:sz w:val="21"/>
                <w:szCs w:val="21"/>
              </w:rPr>
              <w:t>分，本项最高得</w:t>
            </w:r>
            <w:r>
              <w:rPr>
                <w:rFonts w:hint="eastAsia" w:asciiTheme="minorEastAsia" w:hAnsiTheme="minorEastAsia" w:eastAsiaTheme="minorEastAsia" w:cstheme="minorEastAsia"/>
                <w:color w:val="auto"/>
                <w:sz w:val="21"/>
                <w:szCs w:val="21"/>
                <w:lang w:val="en-US" w:eastAsia="zh-CN"/>
              </w:rPr>
              <w:t>10</w:t>
            </w:r>
            <w:r>
              <w:rPr>
                <w:rFonts w:hint="eastAsia" w:asciiTheme="minorEastAsia" w:hAnsiTheme="minorEastAsia" w:eastAsiaTheme="minorEastAsia" w:cstheme="minorEastAsia"/>
                <w:color w:val="auto"/>
                <w:sz w:val="21"/>
                <w:szCs w:val="21"/>
              </w:rPr>
              <w:t>分。</w:t>
            </w:r>
            <w:r>
              <w:rPr>
                <w:rFonts w:hint="eastAsia" w:asciiTheme="minorEastAsia" w:hAnsiTheme="minorEastAsia" w:eastAsiaTheme="minorEastAsia" w:cstheme="minorEastAsia"/>
                <w:b/>
                <w:bCs/>
                <w:color w:val="auto"/>
                <w:sz w:val="21"/>
                <w:szCs w:val="21"/>
              </w:rPr>
              <w:t>注</w:t>
            </w:r>
            <w:r>
              <w:rPr>
                <w:rFonts w:hint="eastAsia" w:asciiTheme="minorEastAsia" w:hAnsiTheme="minorEastAsia" w:eastAsiaTheme="minorEastAsia" w:cstheme="minorEastAsia"/>
                <w:b/>
                <w:bCs/>
                <w:color w:val="auto"/>
                <w:sz w:val="21"/>
                <w:szCs w:val="21"/>
                <w:lang w:eastAsia="zh-CN"/>
              </w:rPr>
              <w:t>：</w:t>
            </w:r>
            <w:r>
              <w:rPr>
                <w:rFonts w:hint="eastAsia" w:asciiTheme="minorEastAsia" w:hAnsiTheme="minorEastAsia" w:eastAsiaTheme="minorEastAsia" w:cstheme="minorEastAsia"/>
                <w:b/>
                <w:bCs/>
                <w:color w:val="auto"/>
                <w:sz w:val="21"/>
                <w:szCs w:val="21"/>
              </w:rPr>
              <w:t>需提供合同协议书扫描件，</w:t>
            </w:r>
            <w:r>
              <w:rPr>
                <w:rFonts w:hint="eastAsia" w:asciiTheme="minorEastAsia" w:hAnsiTheme="minorEastAsia" w:eastAsiaTheme="minorEastAsia" w:cstheme="minorEastAsia"/>
                <w:b/>
                <w:bCs/>
                <w:color w:val="auto"/>
                <w:sz w:val="21"/>
                <w:szCs w:val="21"/>
                <w:lang w:val="en-US" w:eastAsia="zh-CN"/>
              </w:rPr>
              <w:t>时间以合同签订时间为准，</w:t>
            </w:r>
            <w:r>
              <w:rPr>
                <w:rFonts w:hint="eastAsia" w:asciiTheme="minorEastAsia" w:hAnsiTheme="minorEastAsia" w:eastAsiaTheme="minorEastAsia" w:cstheme="minorEastAsia"/>
                <w:b/>
                <w:bCs/>
                <w:color w:val="auto"/>
                <w:sz w:val="21"/>
                <w:szCs w:val="21"/>
              </w:rPr>
              <w:t>提供不全或未提供不得分。</w:t>
            </w:r>
          </w:p>
        </w:tc>
        <w:tc>
          <w:tcPr>
            <w:tcW w:w="820" w:type="dxa"/>
            <w:shd w:val="clear" w:color="auto" w:fill="auto"/>
            <w:vAlign w:val="center"/>
          </w:tcPr>
          <w:p w14:paraId="6690FFF2">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cs="Times New Roman" w:eastAsiaTheme="minorEastAsia"/>
                <w:color w:val="auto"/>
                <w:kern w:val="2"/>
                <w:sz w:val="21"/>
                <w:szCs w:val="22"/>
                <w:lang w:val="zh-CN" w:eastAsia="zh-CN" w:bidi="ar-SA"/>
              </w:rPr>
            </w:pPr>
            <w:r>
              <w:rPr>
                <w:rFonts w:hint="eastAsia"/>
                <w:color w:val="auto"/>
                <w:lang w:val="en-US" w:eastAsia="zh-CN"/>
              </w:rPr>
              <w:t>10</w:t>
            </w:r>
          </w:p>
        </w:tc>
      </w:tr>
      <w:tr w14:paraId="37AB7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vMerge w:val="continue"/>
          </w:tcPr>
          <w:p w14:paraId="45817178">
            <w:pPr>
              <w:rPr>
                <w:rFonts w:hint="eastAsia"/>
                <w:b/>
                <w:bCs w:val="0"/>
                <w:color w:val="auto"/>
                <w:vertAlign w:val="baseline"/>
                <w:lang w:val="zh-CN" w:eastAsia="zh-CN"/>
              </w:rPr>
            </w:pPr>
          </w:p>
        </w:tc>
        <w:tc>
          <w:tcPr>
            <w:tcW w:w="1199" w:type="dxa"/>
            <w:shd w:val="clear" w:color="auto" w:fill="auto"/>
            <w:vAlign w:val="top"/>
          </w:tcPr>
          <w:p w14:paraId="2207FC8F">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b/>
                <w:bCs/>
                <w:color w:val="auto"/>
              </w:rPr>
            </w:pPr>
            <w:r>
              <w:rPr>
                <w:rFonts w:hint="eastAsia"/>
                <w:b/>
                <w:bCs/>
                <w:color w:val="auto"/>
              </w:rPr>
              <w:t>认证证书：</w:t>
            </w:r>
          </w:p>
          <w:p w14:paraId="166EBEF9">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Times New Roman"/>
                <w:color w:val="auto"/>
                <w:kern w:val="2"/>
                <w:sz w:val="21"/>
                <w:szCs w:val="22"/>
                <w:lang w:val="zh-CN" w:eastAsia="zh-CN" w:bidi="ar-SA"/>
              </w:rPr>
            </w:pPr>
          </w:p>
        </w:tc>
        <w:tc>
          <w:tcPr>
            <w:tcW w:w="6559" w:type="dxa"/>
            <w:shd w:val="clear" w:color="auto" w:fill="auto"/>
            <w:vAlign w:val="top"/>
          </w:tcPr>
          <w:p w14:paraId="3AC96338">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color w:val="auto"/>
                <w:kern w:val="2"/>
                <w:sz w:val="21"/>
                <w:szCs w:val="21"/>
                <w:lang w:val="zh-CN" w:eastAsia="zh-CN" w:bidi="ar-SA"/>
              </w:rPr>
            </w:pPr>
            <w:r>
              <w:rPr>
                <w:rFonts w:hint="eastAsia" w:asciiTheme="minorEastAsia" w:hAnsiTheme="minorEastAsia" w:eastAsiaTheme="minorEastAsia" w:cstheme="minorEastAsia"/>
                <w:color w:val="auto"/>
                <w:sz w:val="21"/>
                <w:szCs w:val="21"/>
              </w:rPr>
              <w:t>具有有效的质量管理体系ISO9001、环境管理体系ISO4001、职业健康安全管理体系</w:t>
            </w:r>
            <w:r>
              <w:rPr>
                <w:rFonts w:hint="eastAsia" w:asciiTheme="minorEastAsia" w:hAnsiTheme="minorEastAsia" w:eastAsiaTheme="minorEastAsia" w:cstheme="minorEastAsia"/>
                <w:color w:val="auto"/>
                <w:sz w:val="21"/>
                <w:szCs w:val="21"/>
                <w:lang w:val="en-US" w:eastAsia="zh-CN"/>
              </w:rPr>
              <w:t>ISO45001</w:t>
            </w:r>
            <w:r>
              <w:rPr>
                <w:rFonts w:hint="eastAsia" w:asciiTheme="minorEastAsia" w:hAnsiTheme="minorEastAsia" w:eastAsiaTheme="minorEastAsia" w:cstheme="minorEastAsia"/>
                <w:color w:val="auto"/>
                <w:sz w:val="21"/>
                <w:szCs w:val="21"/>
              </w:rPr>
              <w:t>认证证书的，每提供一个证书得2分，最高得6分。</w:t>
            </w:r>
          </w:p>
        </w:tc>
        <w:tc>
          <w:tcPr>
            <w:tcW w:w="820" w:type="dxa"/>
            <w:shd w:val="clear" w:color="auto" w:fill="auto"/>
            <w:vAlign w:val="center"/>
          </w:tcPr>
          <w:p w14:paraId="2D047FAB">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eastAsia="宋体" w:cs="Times New Roman"/>
                <w:color w:val="auto"/>
                <w:kern w:val="2"/>
                <w:sz w:val="21"/>
                <w:szCs w:val="22"/>
                <w:lang w:val="zh-CN" w:eastAsia="zh-CN" w:bidi="ar-SA"/>
              </w:rPr>
            </w:pPr>
            <w:r>
              <w:rPr>
                <w:rFonts w:hint="eastAsia"/>
                <w:color w:val="auto"/>
                <w:lang w:val="en-US" w:eastAsia="zh-CN"/>
              </w:rPr>
              <w:t>6</w:t>
            </w:r>
          </w:p>
        </w:tc>
      </w:tr>
      <w:tr w14:paraId="19028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vMerge w:val="continue"/>
          </w:tcPr>
          <w:p w14:paraId="37DDE1A0">
            <w:pPr>
              <w:rPr>
                <w:rFonts w:hint="eastAsia"/>
                <w:b/>
                <w:bCs w:val="0"/>
                <w:color w:val="auto"/>
                <w:vertAlign w:val="baseline"/>
                <w:lang w:val="zh-CN" w:eastAsia="zh-CN"/>
              </w:rPr>
            </w:pPr>
          </w:p>
        </w:tc>
        <w:tc>
          <w:tcPr>
            <w:tcW w:w="1199" w:type="dxa"/>
            <w:shd w:val="clear" w:color="auto" w:fill="auto"/>
            <w:vAlign w:val="top"/>
          </w:tcPr>
          <w:p w14:paraId="50E6F3EE">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Times New Roman"/>
                <w:color w:val="auto"/>
                <w:kern w:val="2"/>
                <w:sz w:val="21"/>
                <w:szCs w:val="22"/>
                <w:highlight w:val="none"/>
                <w:lang w:val="zh-CN" w:eastAsia="zh-CN" w:bidi="ar-SA"/>
              </w:rPr>
            </w:pPr>
            <w:r>
              <w:rPr>
                <w:rFonts w:hint="eastAsia"/>
                <w:b/>
                <w:color w:val="auto"/>
                <w:highlight w:val="none"/>
              </w:rPr>
              <w:t>质保期承诺：</w:t>
            </w:r>
          </w:p>
        </w:tc>
        <w:tc>
          <w:tcPr>
            <w:tcW w:w="6559" w:type="dxa"/>
            <w:shd w:val="clear" w:color="auto" w:fill="auto"/>
            <w:vAlign w:val="top"/>
          </w:tcPr>
          <w:p w14:paraId="05E8CEDB">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color w:val="auto"/>
                <w:kern w:val="2"/>
                <w:sz w:val="21"/>
                <w:szCs w:val="21"/>
                <w:highlight w:val="none"/>
                <w:lang w:val="zh-CN" w:eastAsia="zh-CN" w:bidi="ar-SA"/>
              </w:rPr>
            </w:pPr>
            <w:r>
              <w:rPr>
                <w:rFonts w:hint="eastAsia" w:asciiTheme="minorEastAsia" w:hAnsiTheme="minorEastAsia" w:eastAsiaTheme="minorEastAsia" w:cstheme="minorEastAsia"/>
                <w:color w:val="auto"/>
                <w:sz w:val="21"/>
                <w:szCs w:val="21"/>
                <w:highlight w:val="none"/>
              </w:rPr>
              <w:t>根据投标人提供的质保期进行打分，优于招标文件质保期要求的，质保期每延长1年得</w:t>
            </w: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rPr>
              <w:t>分</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最高得</w:t>
            </w: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rPr>
              <w:t>分。</w:t>
            </w:r>
            <w:r>
              <w:rPr>
                <w:rFonts w:hint="eastAsia" w:asciiTheme="minorEastAsia" w:hAnsiTheme="minorEastAsia" w:eastAsiaTheme="minorEastAsia" w:cstheme="minorEastAsia"/>
                <w:b/>
                <w:color w:val="auto"/>
                <w:sz w:val="21"/>
                <w:szCs w:val="21"/>
                <w:highlight w:val="none"/>
              </w:rPr>
              <w:t>（提供相关承诺）</w:t>
            </w:r>
          </w:p>
        </w:tc>
        <w:tc>
          <w:tcPr>
            <w:tcW w:w="820" w:type="dxa"/>
            <w:shd w:val="clear" w:color="auto" w:fill="auto"/>
            <w:vAlign w:val="center"/>
          </w:tcPr>
          <w:p w14:paraId="61706606">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cs="Times New Roman" w:eastAsiaTheme="minorEastAsia"/>
                <w:color w:val="auto"/>
                <w:kern w:val="2"/>
                <w:sz w:val="21"/>
                <w:szCs w:val="22"/>
                <w:lang w:val="zh-CN" w:eastAsia="zh-CN" w:bidi="ar-SA"/>
              </w:rPr>
            </w:pPr>
            <w:r>
              <w:rPr>
                <w:rFonts w:hint="eastAsia"/>
                <w:color w:val="auto"/>
                <w:lang w:val="en-US" w:eastAsia="zh-CN"/>
              </w:rPr>
              <w:t>4</w:t>
            </w:r>
          </w:p>
        </w:tc>
      </w:tr>
      <w:tr w14:paraId="0D4C3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vMerge w:val="restart"/>
          </w:tcPr>
          <w:p w14:paraId="215A0439">
            <w:pPr>
              <w:jc w:val="left"/>
              <w:rPr>
                <w:rFonts w:hint="eastAsia"/>
                <w:b/>
                <w:bCs w:val="0"/>
                <w:color w:val="auto"/>
                <w:vertAlign w:val="baseline"/>
                <w:lang w:val="zh-CN" w:eastAsia="zh-CN"/>
              </w:rPr>
            </w:pPr>
            <w:r>
              <w:rPr>
                <w:rFonts w:hint="eastAsia"/>
                <w:b/>
                <w:bCs w:val="0"/>
                <w:color w:val="auto"/>
                <w:vertAlign w:val="baseline"/>
                <w:lang w:val="zh-CN" w:eastAsia="zh-CN"/>
              </w:rPr>
              <w:t>技术部分（</w:t>
            </w:r>
            <w:r>
              <w:rPr>
                <w:rFonts w:hint="eastAsia"/>
                <w:b/>
                <w:bCs w:val="0"/>
                <w:color w:val="auto"/>
                <w:vertAlign w:val="baseline"/>
                <w:lang w:val="en-US" w:eastAsia="zh-CN"/>
              </w:rPr>
              <w:t>50分</w:t>
            </w:r>
            <w:r>
              <w:rPr>
                <w:rFonts w:hint="eastAsia"/>
                <w:b/>
                <w:bCs w:val="0"/>
                <w:color w:val="auto"/>
                <w:vertAlign w:val="baseline"/>
                <w:lang w:val="zh-CN" w:eastAsia="zh-CN"/>
              </w:rPr>
              <w:t>）</w:t>
            </w:r>
          </w:p>
        </w:tc>
        <w:tc>
          <w:tcPr>
            <w:tcW w:w="1199" w:type="dxa"/>
            <w:shd w:val="clear" w:color="auto" w:fill="auto"/>
            <w:vAlign w:val="center"/>
          </w:tcPr>
          <w:p w14:paraId="470228EE">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Times New Roman"/>
                <w:b/>
                <w:color w:val="auto"/>
                <w:kern w:val="2"/>
                <w:sz w:val="21"/>
                <w:szCs w:val="22"/>
                <w:highlight w:val="none"/>
                <w:lang w:val="zh-CN" w:eastAsia="zh-CN" w:bidi="ar-SA"/>
              </w:rPr>
            </w:pPr>
            <w:r>
              <w:rPr>
                <w:rFonts w:hint="eastAsia"/>
                <w:b/>
                <w:bCs/>
                <w:color w:val="auto"/>
                <w:highlight w:val="none"/>
                <w:lang w:eastAsia="zh-CN"/>
              </w:rPr>
              <w:t>供货方案</w:t>
            </w:r>
          </w:p>
        </w:tc>
        <w:tc>
          <w:tcPr>
            <w:tcW w:w="6559" w:type="dxa"/>
            <w:shd w:val="clear" w:color="auto" w:fill="auto"/>
            <w:vAlign w:val="center"/>
          </w:tcPr>
          <w:p w14:paraId="3852C48A">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投标人</w:t>
            </w:r>
            <w:r>
              <w:rPr>
                <w:rFonts w:hint="eastAsia" w:asciiTheme="minorEastAsia" w:hAnsiTheme="minorEastAsia" w:eastAsiaTheme="minorEastAsia" w:cstheme="minorEastAsia"/>
                <w:color w:val="auto"/>
                <w:sz w:val="21"/>
                <w:szCs w:val="21"/>
                <w:highlight w:val="none"/>
                <w:lang w:eastAsia="zh-CN"/>
              </w:rPr>
              <w:t>提供的供货方案，包括但不限于以下内容:</w:t>
            </w:r>
          </w:p>
          <w:p w14:paraId="1672009D">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①提供供货方案</w:t>
            </w:r>
            <w:r>
              <w:rPr>
                <w:rFonts w:hint="eastAsia" w:asciiTheme="minorEastAsia" w:hAnsiTheme="minorEastAsia" w:eastAsiaTheme="minorEastAsia" w:cstheme="minorEastAsia"/>
                <w:color w:val="auto"/>
                <w:sz w:val="21"/>
                <w:szCs w:val="21"/>
                <w:highlight w:val="none"/>
                <w:lang w:val="en-US" w:eastAsia="zh-CN"/>
              </w:rPr>
              <w:t>;</w:t>
            </w:r>
          </w:p>
          <w:p w14:paraId="23158C01">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②供货保证措施</w:t>
            </w:r>
            <w:r>
              <w:rPr>
                <w:rFonts w:hint="eastAsia" w:asciiTheme="minorEastAsia" w:hAnsiTheme="minorEastAsia" w:eastAsiaTheme="minorEastAsia" w:cstheme="minorEastAsia"/>
                <w:color w:val="auto"/>
                <w:sz w:val="21"/>
                <w:szCs w:val="21"/>
                <w:highlight w:val="none"/>
                <w:lang w:val="en-US" w:eastAsia="zh-CN"/>
              </w:rPr>
              <w:t>;</w:t>
            </w:r>
          </w:p>
          <w:p w14:paraId="51D1D6C3">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③产品送到后的施工安装方案</w:t>
            </w:r>
            <w:r>
              <w:rPr>
                <w:rFonts w:hint="eastAsia" w:asciiTheme="minorEastAsia" w:hAnsiTheme="minorEastAsia" w:eastAsiaTheme="minorEastAsia" w:cstheme="minorEastAsia"/>
                <w:color w:val="auto"/>
                <w:sz w:val="21"/>
                <w:szCs w:val="21"/>
                <w:highlight w:val="none"/>
                <w:lang w:val="en-US" w:eastAsia="zh-CN"/>
              </w:rPr>
              <w:t>;</w:t>
            </w:r>
          </w:p>
          <w:p w14:paraId="2798A472">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④提供供货及安装保障措施承诺</w:t>
            </w:r>
            <w:r>
              <w:rPr>
                <w:rFonts w:hint="eastAsia" w:asciiTheme="minorEastAsia" w:hAnsiTheme="minorEastAsia" w:eastAsiaTheme="minorEastAsia" w:cstheme="minorEastAsia"/>
                <w:color w:val="auto"/>
                <w:sz w:val="21"/>
                <w:szCs w:val="21"/>
                <w:highlight w:val="none"/>
                <w:lang w:val="en-US" w:eastAsia="zh-CN"/>
              </w:rPr>
              <w:t>;</w:t>
            </w:r>
          </w:p>
          <w:p w14:paraId="78B17DB2">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评审标准:</w:t>
            </w:r>
          </w:p>
          <w:p w14:paraId="672670E7">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eastAsia="zh-CN"/>
              </w:rPr>
              <w:t>完整性:方案完整，情况切合本项目实际情况</w:t>
            </w:r>
            <w:r>
              <w:rPr>
                <w:rFonts w:hint="eastAsia" w:asciiTheme="minorEastAsia" w:hAnsiTheme="minorEastAsia" w:eastAsiaTheme="minorEastAsia" w:cstheme="minorEastAsia"/>
                <w:color w:val="auto"/>
                <w:sz w:val="21"/>
                <w:szCs w:val="21"/>
                <w:highlight w:val="none"/>
                <w:lang w:val="en-US" w:eastAsia="zh-CN"/>
              </w:rPr>
              <w:t>;</w:t>
            </w:r>
          </w:p>
          <w:p w14:paraId="3C95FD02">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合理性:符合项目具体情况，提出的实施措施方案合理、恰当</w:t>
            </w:r>
            <w:r>
              <w:rPr>
                <w:rFonts w:hint="eastAsia" w:asciiTheme="minorEastAsia" w:hAnsiTheme="minorEastAsia" w:eastAsiaTheme="minorEastAsia" w:cstheme="minorEastAsia"/>
                <w:color w:val="auto"/>
                <w:sz w:val="21"/>
                <w:szCs w:val="21"/>
                <w:highlight w:val="none"/>
                <w:lang w:val="en-US" w:eastAsia="zh-CN"/>
              </w:rPr>
              <w:t>;</w:t>
            </w:r>
          </w:p>
          <w:p w14:paraId="1FF413CC">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科学性:切合采购人单位及本项目实际情况，叙述清楚符合客观实际。</w:t>
            </w:r>
          </w:p>
          <w:p w14:paraId="0A4FC680">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b/>
                <w:color w:val="auto"/>
                <w:kern w:val="2"/>
                <w:sz w:val="21"/>
                <w:szCs w:val="21"/>
                <w:highlight w:val="none"/>
                <w:lang w:val="zh-CN" w:eastAsia="zh-CN" w:bidi="ar-SA"/>
              </w:rPr>
            </w:pPr>
            <w:r>
              <w:rPr>
                <w:rFonts w:hint="eastAsia" w:asciiTheme="minorEastAsia" w:hAnsiTheme="minorEastAsia" w:eastAsiaTheme="minorEastAsia" w:cstheme="minorEastAsia"/>
                <w:color w:val="auto"/>
                <w:sz w:val="21"/>
                <w:szCs w:val="21"/>
                <w:highlight w:val="none"/>
                <w:lang w:eastAsia="zh-CN"/>
              </w:rPr>
              <w:t>对上述4项评审内容进行打分，每项评审内容完全满足3 项评审标准的得</w:t>
            </w: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lang w:eastAsia="zh-CN"/>
              </w:rPr>
              <w:t>分，满足2项的得 2分，仅满足1项的得 1分，其他情况不得分。最高得12分。</w:t>
            </w:r>
          </w:p>
        </w:tc>
        <w:tc>
          <w:tcPr>
            <w:tcW w:w="820" w:type="dxa"/>
            <w:shd w:val="clear" w:color="auto" w:fill="auto"/>
            <w:vAlign w:val="center"/>
          </w:tcPr>
          <w:p w14:paraId="33EFD845">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eastAsia="宋体" w:cs="Times New Roman"/>
                <w:color w:val="auto"/>
                <w:kern w:val="2"/>
                <w:sz w:val="21"/>
                <w:szCs w:val="22"/>
                <w:highlight w:val="yellow"/>
                <w:lang w:val="zh-CN" w:eastAsia="zh-CN" w:bidi="ar-SA"/>
              </w:rPr>
            </w:pPr>
            <w:r>
              <w:rPr>
                <w:rFonts w:hint="eastAsia"/>
                <w:color w:val="auto"/>
                <w:highlight w:val="none"/>
                <w:lang w:val="en-US" w:eastAsia="zh-CN"/>
              </w:rPr>
              <w:t>12</w:t>
            </w:r>
          </w:p>
        </w:tc>
      </w:tr>
      <w:tr w14:paraId="35C25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vMerge w:val="continue"/>
          </w:tcPr>
          <w:p w14:paraId="28BD7C88">
            <w:pPr>
              <w:rPr>
                <w:rFonts w:hint="eastAsia"/>
                <w:color w:val="auto"/>
                <w:vertAlign w:val="baseline"/>
                <w:lang w:val="zh-CN" w:eastAsia="zh-CN"/>
              </w:rPr>
            </w:pPr>
          </w:p>
        </w:tc>
        <w:tc>
          <w:tcPr>
            <w:tcW w:w="1199" w:type="dxa"/>
            <w:shd w:val="clear" w:color="auto" w:fill="auto"/>
            <w:vAlign w:val="center"/>
          </w:tcPr>
          <w:p w14:paraId="7FCF6BA8">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Times New Roman"/>
                <w:color w:val="auto"/>
                <w:kern w:val="2"/>
                <w:sz w:val="21"/>
                <w:szCs w:val="22"/>
                <w:lang w:val="zh-CN" w:eastAsia="zh-CN" w:bidi="ar-SA"/>
              </w:rPr>
            </w:pPr>
            <w:r>
              <w:rPr>
                <w:rFonts w:hint="eastAsia"/>
                <w:b/>
                <w:bCs/>
                <w:color w:val="auto"/>
              </w:rPr>
              <w:t>质量保证措施</w:t>
            </w:r>
          </w:p>
        </w:tc>
        <w:tc>
          <w:tcPr>
            <w:tcW w:w="6559" w:type="dxa"/>
            <w:shd w:val="clear" w:color="auto" w:fill="auto"/>
            <w:vAlign w:val="center"/>
          </w:tcPr>
          <w:p w14:paraId="44EF2E34">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投标人</w:t>
            </w:r>
            <w:r>
              <w:rPr>
                <w:rFonts w:hint="eastAsia" w:asciiTheme="minorEastAsia" w:hAnsiTheme="minorEastAsia" w:eastAsiaTheme="minorEastAsia" w:cstheme="minorEastAsia"/>
                <w:color w:val="auto"/>
                <w:sz w:val="21"/>
                <w:szCs w:val="21"/>
              </w:rPr>
              <w:t>提供的产品质量保证措施，包括但不限于以下内容:</w:t>
            </w:r>
          </w:p>
          <w:p w14:paraId="2FE421E4">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①产品质量保证目标及保障措施</w:t>
            </w:r>
            <w:r>
              <w:rPr>
                <w:rFonts w:hint="eastAsia" w:asciiTheme="minorEastAsia" w:hAnsiTheme="minorEastAsia" w:eastAsiaTheme="minorEastAsia" w:cstheme="minorEastAsia"/>
                <w:color w:val="auto"/>
                <w:sz w:val="21"/>
                <w:szCs w:val="21"/>
                <w:lang w:val="en-US" w:eastAsia="zh-CN"/>
              </w:rPr>
              <w:t>;</w:t>
            </w:r>
          </w:p>
          <w:p w14:paraId="2602128D">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②产品质量不达标有相应的退换货方案</w:t>
            </w:r>
            <w:r>
              <w:rPr>
                <w:rFonts w:hint="eastAsia" w:asciiTheme="minorEastAsia" w:hAnsiTheme="minorEastAsia" w:eastAsiaTheme="minorEastAsia" w:cstheme="minorEastAsia"/>
                <w:color w:val="auto"/>
                <w:sz w:val="21"/>
                <w:szCs w:val="21"/>
                <w:lang w:val="en-US" w:eastAsia="zh-CN"/>
              </w:rPr>
              <w:t>;</w:t>
            </w:r>
          </w:p>
          <w:p w14:paraId="5BAC56D4">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③质量问题有相关的经济处罚承诺等内容。</w:t>
            </w:r>
          </w:p>
          <w:p w14:paraId="38A5C482">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评审标准:</w:t>
            </w:r>
          </w:p>
          <w:p w14:paraId="278E8F28">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完整性:方案完整，情况切合本项目实际情况;</w:t>
            </w:r>
          </w:p>
          <w:p w14:paraId="01876A08">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合理性:符合项目具体情况，提出的实施措施方案合理恰当;</w:t>
            </w:r>
          </w:p>
          <w:p w14:paraId="4B8BB7F1">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科学性:切合采购人单位及本项目实际情况，叙述清楚符合客观实际。</w:t>
            </w:r>
          </w:p>
          <w:p w14:paraId="1C8FEF6E">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color w:val="auto"/>
                <w:kern w:val="2"/>
                <w:sz w:val="21"/>
                <w:szCs w:val="21"/>
                <w:lang w:val="zh-CN" w:eastAsia="zh-CN" w:bidi="ar-SA"/>
              </w:rPr>
            </w:pPr>
            <w:r>
              <w:rPr>
                <w:rFonts w:hint="eastAsia" w:asciiTheme="minorEastAsia" w:hAnsiTheme="minorEastAsia" w:eastAsiaTheme="minorEastAsia" w:cstheme="minorEastAsia"/>
                <w:color w:val="auto"/>
                <w:kern w:val="2"/>
                <w:sz w:val="21"/>
                <w:szCs w:val="21"/>
                <w:lang w:val="en-US" w:eastAsia="zh-CN" w:bidi="ar-SA"/>
              </w:rPr>
              <w:t>对上述3项评审内容进行打分，每项评审内容完全满足3项评审标准的得3分，满足2项的得2分，仅满足1项的得1 分，其他情况不得分。最高得9分。</w:t>
            </w:r>
          </w:p>
        </w:tc>
        <w:tc>
          <w:tcPr>
            <w:tcW w:w="820" w:type="dxa"/>
            <w:shd w:val="clear" w:color="auto" w:fill="auto"/>
            <w:vAlign w:val="center"/>
          </w:tcPr>
          <w:p w14:paraId="6739FC34">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eastAsia="宋体" w:cs="Times New Roman"/>
                <w:color w:val="auto"/>
                <w:kern w:val="2"/>
                <w:sz w:val="21"/>
                <w:szCs w:val="22"/>
                <w:lang w:val="zh-CN" w:eastAsia="zh-CN" w:bidi="ar-SA"/>
              </w:rPr>
            </w:pPr>
            <w:r>
              <w:rPr>
                <w:rFonts w:hint="eastAsia"/>
                <w:color w:val="auto"/>
                <w:lang w:val="en-US" w:eastAsia="zh-CN"/>
              </w:rPr>
              <w:t>9</w:t>
            </w:r>
          </w:p>
        </w:tc>
      </w:tr>
      <w:tr w14:paraId="1AF6C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vMerge w:val="continue"/>
          </w:tcPr>
          <w:p w14:paraId="1FEC39F9">
            <w:pPr>
              <w:rPr>
                <w:rFonts w:hint="eastAsia"/>
                <w:color w:val="auto"/>
                <w:vertAlign w:val="baseline"/>
                <w:lang w:val="zh-CN" w:eastAsia="zh-CN"/>
              </w:rPr>
            </w:pPr>
          </w:p>
        </w:tc>
        <w:tc>
          <w:tcPr>
            <w:tcW w:w="1199" w:type="dxa"/>
            <w:shd w:val="clear" w:color="auto" w:fill="auto"/>
            <w:vAlign w:val="center"/>
          </w:tcPr>
          <w:p w14:paraId="029598FA">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Times New Roman"/>
                <w:color w:val="auto"/>
                <w:kern w:val="2"/>
                <w:sz w:val="21"/>
                <w:szCs w:val="22"/>
                <w:lang w:val="zh-CN" w:eastAsia="zh-CN" w:bidi="ar-SA"/>
              </w:rPr>
            </w:pPr>
            <w:r>
              <w:rPr>
                <w:rFonts w:hint="eastAsia"/>
                <w:b/>
                <w:bCs/>
                <w:color w:val="auto"/>
              </w:rPr>
              <w:t>验收调试</w:t>
            </w:r>
          </w:p>
        </w:tc>
        <w:tc>
          <w:tcPr>
            <w:tcW w:w="6559" w:type="dxa"/>
            <w:shd w:val="clear" w:color="auto" w:fill="auto"/>
            <w:vAlign w:val="center"/>
          </w:tcPr>
          <w:p w14:paraId="197BA30F">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供应商针对本项目提供的验收调试方案，包含但不限于:</w:t>
            </w:r>
          </w:p>
          <w:p w14:paraId="4A82475A">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①验收程序;</w:t>
            </w:r>
          </w:p>
          <w:p w14:paraId="72EF809E">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②验收实施方法;</w:t>
            </w:r>
          </w:p>
          <w:p w14:paraId="4FE9BB68">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③验收注意事项;</w:t>
            </w:r>
          </w:p>
          <w:p w14:paraId="181F6529">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④安装结束后调试方案;</w:t>
            </w:r>
          </w:p>
          <w:p w14:paraId="59DDDA22">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评审标准:</w:t>
            </w:r>
          </w:p>
          <w:p w14:paraId="7C77B85E">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完整性:方案完整，情况切合本项目实际情况;</w:t>
            </w:r>
          </w:p>
          <w:p w14:paraId="3C075680">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合理性:符合项目具体情况，提出的实施措施方案合理，恰当;</w:t>
            </w:r>
          </w:p>
          <w:p w14:paraId="03152D39">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科学性:切合采购人单位及本项目实际情况，叙述清楚，符合客观实际。</w:t>
            </w:r>
          </w:p>
          <w:p w14:paraId="27796D97">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color w:val="auto"/>
                <w:kern w:val="2"/>
                <w:sz w:val="21"/>
                <w:szCs w:val="21"/>
                <w:lang w:val="zh-CN" w:eastAsia="zh-CN" w:bidi="ar-SA"/>
              </w:rPr>
            </w:pPr>
            <w:r>
              <w:rPr>
                <w:rFonts w:hint="eastAsia" w:asciiTheme="minorEastAsia" w:hAnsiTheme="minorEastAsia" w:eastAsiaTheme="minorEastAsia" w:cstheme="minorEastAsia"/>
                <w:color w:val="auto"/>
                <w:sz w:val="21"/>
                <w:szCs w:val="21"/>
              </w:rPr>
              <w:t>对上述4项评审内容进行打分，每项评审内容完全满足3 项评审标准的得3分，满足2项的得 2 分，仅满足 1 项的得 1分，其他情况不得分。最高得12分。</w:t>
            </w:r>
          </w:p>
        </w:tc>
        <w:tc>
          <w:tcPr>
            <w:tcW w:w="820" w:type="dxa"/>
            <w:shd w:val="clear" w:color="auto" w:fill="auto"/>
            <w:vAlign w:val="center"/>
          </w:tcPr>
          <w:p w14:paraId="5EDA61D3">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kern w:val="0"/>
                <w:sz w:val="24"/>
                <w:szCs w:val="20"/>
                <w:lang w:val="zh-CN" w:eastAsia="zh-CN" w:bidi="ar-SA"/>
              </w:rPr>
            </w:pPr>
            <w:r>
              <w:rPr>
                <w:rFonts w:hint="eastAsia" w:cs="仿宋"/>
                <w:color w:val="auto"/>
                <w:lang w:val="en-US" w:eastAsia="zh-CN"/>
              </w:rPr>
              <w:t>12</w:t>
            </w:r>
          </w:p>
        </w:tc>
      </w:tr>
      <w:tr w14:paraId="6918B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vMerge w:val="continue"/>
          </w:tcPr>
          <w:p w14:paraId="439CF98A">
            <w:pPr>
              <w:rPr>
                <w:rFonts w:hint="eastAsia"/>
                <w:color w:val="auto"/>
                <w:vertAlign w:val="baseline"/>
                <w:lang w:val="zh-CN" w:eastAsia="zh-CN"/>
              </w:rPr>
            </w:pPr>
          </w:p>
        </w:tc>
        <w:tc>
          <w:tcPr>
            <w:tcW w:w="1199" w:type="dxa"/>
            <w:shd w:val="clear" w:color="auto" w:fill="auto"/>
            <w:vAlign w:val="center"/>
          </w:tcPr>
          <w:p w14:paraId="64F2E8AF">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Times New Roman"/>
                <w:b w:val="0"/>
                <w:bCs/>
                <w:color w:val="auto"/>
                <w:kern w:val="2"/>
                <w:sz w:val="21"/>
                <w:szCs w:val="22"/>
                <w:highlight w:val="none"/>
                <w:lang w:val="zh-CN" w:eastAsia="zh-CN" w:bidi="ar-SA"/>
              </w:rPr>
            </w:pPr>
            <w:r>
              <w:rPr>
                <w:rFonts w:hint="eastAsia"/>
                <w:b/>
                <w:bCs w:val="0"/>
                <w:color w:val="auto"/>
                <w:highlight w:val="none"/>
                <w:lang w:val="en-US" w:eastAsia="zh-CN"/>
              </w:rPr>
              <w:t>售后服务</w:t>
            </w:r>
          </w:p>
        </w:tc>
        <w:tc>
          <w:tcPr>
            <w:tcW w:w="6559" w:type="dxa"/>
            <w:shd w:val="clear" w:color="auto" w:fill="auto"/>
            <w:vAlign w:val="center"/>
          </w:tcPr>
          <w:p w14:paraId="553BAC63">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b w:val="0"/>
                <w:bCs/>
                <w:color w:val="auto"/>
                <w:sz w:val="21"/>
                <w:szCs w:val="21"/>
                <w:highlight w:val="none"/>
                <w:lang w:val="en-US" w:eastAsia="zh-CN"/>
              </w:rPr>
            </w:pPr>
            <w:r>
              <w:rPr>
                <w:rFonts w:hint="eastAsia" w:asciiTheme="minorEastAsia" w:hAnsiTheme="minorEastAsia" w:eastAsiaTheme="minorEastAsia" w:cstheme="minorEastAsia"/>
                <w:b w:val="0"/>
                <w:bCs/>
                <w:color w:val="auto"/>
                <w:sz w:val="21"/>
                <w:szCs w:val="21"/>
                <w:highlight w:val="none"/>
                <w:lang w:val="en-US" w:eastAsia="zh-CN"/>
              </w:rPr>
              <w:t>供应商提供售后服务方案，包括但不限于以下内容:</w:t>
            </w:r>
          </w:p>
          <w:p w14:paraId="2A63B5F6">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b w:val="0"/>
                <w:bCs/>
                <w:color w:val="auto"/>
                <w:sz w:val="21"/>
                <w:szCs w:val="21"/>
                <w:highlight w:val="none"/>
                <w:lang w:val="en-US" w:eastAsia="zh-CN"/>
              </w:rPr>
            </w:pPr>
            <w:r>
              <w:rPr>
                <w:rFonts w:hint="eastAsia" w:asciiTheme="minorEastAsia" w:hAnsiTheme="minorEastAsia" w:eastAsiaTheme="minorEastAsia" w:cstheme="minorEastAsia"/>
                <w:color w:val="auto"/>
                <w:sz w:val="21"/>
                <w:szCs w:val="21"/>
              </w:rPr>
              <w:t>①</w:t>
            </w:r>
            <w:r>
              <w:rPr>
                <w:rFonts w:hint="eastAsia" w:asciiTheme="minorEastAsia" w:hAnsiTheme="minorEastAsia" w:eastAsiaTheme="minorEastAsia" w:cstheme="minorEastAsia"/>
                <w:b w:val="0"/>
                <w:bCs/>
                <w:color w:val="auto"/>
                <w:sz w:val="21"/>
                <w:szCs w:val="21"/>
                <w:highlight w:val="none"/>
                <w:lang w:val="en-US" w:eastAsia="zh-CN"/>
              </w:rPr>
              <w:t>售后服务响应速度、故障维修时间;</w:t>
            </w:r>
          </w:p>
          <w:p w14:paraId="0714CC05">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b w:val="0"/>
                <w:bCs/>
                <w:color w:val="auto"/>
                <w:sz w:val="21"/>
                <w:szCs w:val="21"/>
                <w:highlight w:val="none"/>
                <w:lang w:val="en-US" w:eastAsia="zh-CN"/>
              </w:rPr>
            </w:pPr>
            <w:r>
              <w:rPr>
                <w:rFonts w:hint="eastAsia" w:asciiTheme="minorEastAsia" w:hAnsiTheme="minorEastAsia" w:eastAsiaTheme="minorEastAsia" w:cstheme="minorEastAsia"/>
                <w:b w:val="0"/>
                <w:bCs/>
                <w:color w:val="auto"/>
                <w:sz w:val="21"/>
                <w:szCs w:val="21"/>
                <w:highlight w:val="none"/>
                <w:lang w:val="en-US" w:eastAsia="zh-CN"/>
              </w:rPr>
              <w:t>②零配件及备品备件供应;</w:t>
            </w:r>
          </w:p>
          <w:p w14:paraId="74628829">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b w:val="0"/>
                <w:bCs/>
                <w:color w:val="auto"/>
                <w:sz w:val="21"/>
                <w:szCs w:val="21"/>
                <w:highlight w:val="none"/>
                <w:lang w:val="en-US" w:eastAsia="zh-CN"/>
              </w:rPr>
            </w:pPr>
            <w:r>
              <w:rPr>
                <w:rFonts w:hint="eastAsia" w:asciiTheme="minorEastAsia" w:hAnsiTheme="minorEastAsia" w:eastAsiaTheme="minorEastAsia" w:cstheme="minorEastAsia"/>
                <w:b w:val="0"/>
                <w:bCs/>
                <w:color w:val="auto"/>
                <w:sz w:val="21"/>
                <w:szCs w:val="21"/>
                <w:highlight w:val="none"/>
                <w:lang w:val="en-US" w:eastAsia="zh-CN"/>
              </w:rPr>
              <w:t>③配备专业的服务人员;</w:t>
            </w:r>
          </w:p>
          <w:p w14:paraId="286856F9">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b w:val="0"/>
                <w:bCs/>
                <w:color w:val="auto"/>
                <w:sz w:val="21"/>
                <w:szCs w:val="21"/>
                <w:highlight w:val="none"/>
                <w:lang w:val="en-US" w:eastAsia="zh-CN"/>
              </w:rPr>
            </w:pPr>
            <w:r>
              <w:rPr>
                <w:rFonts w:hint="eastAsia" w:asciiTheme="minorEastAsia" w:hAnsiTheme="minorEastAsia" w:eastAsiaTheme="minorEastAsia" w:cstheme="minorEastAsia"/>
                <w:b w:val="0"/>
                <w:bCs/>
                <w:color w:val="auto"/>
                <w:sz w:val="21"/>
                <w:szCs w:val="21"/>
                <w:highlight w:val="none"/>
                <w:lang w:val="en-US" w:eastAsia="zh-CN"/>
              </w:rPr>
              <w:t>④质保期内、质保期后的服务方案等。</w:t>
            </w:r>
          </w:p>
          <w:p w14:paraId="7554F53E">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b w:val="0"/>
                <w:bCs/>
                <w:color w:val="auto"/>
                <w:sz w:val="21"/>
                <w:szCs w:val="21"/>
                <w:highlight w:val="none"/>
                <w:lang w:val="en-US" w:eastAsia="zh-CN"/>
              </w:rPr>
            </w:pPr>
            <w:r>
              <w:rPr>
                <w:rFonts w:hint="eastAsia" w:asciiTheme="minorEastAsia" w:hAnsiTheme="minorEastAsia" w:eastAsiaTheme="minorEastAsia" w:cstheme="minorEastAsia"/>
                <w:b w:val="0"/>
                <w:bCs/>
                <w:color w:val="auto"/>
                <w:sz w:val="21"/>
                <w:szCs w:val="21"/>
                <w:highlight w:val="none"/>
                <w:lang w:val="en-US" w:eastAsia="zh-CN"/>
              </w:rPr>
              <w:t>评审标准:</w:t>
            </w:r>
          </w:p>
          <w:p w14:paraId="3030709D">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b w:val="0"/>
                <w:bCs/>
                <w:color w:val="auto"/>
                <w:sz w:val="21"/>
                <w:szCs w:val="21"/>
                <w:highlight w:val="none"/>
                <w:lang w:val="en-US" w:eastAsia="zh-CN"/>
              </w:rPr>
            </w:pPr>
            <w:r>
              <w:rPr>
                <w:rFonts w:hint="eastAsia" w:asciiTheme="minorEastAsia" w:hAnsiTheme="minorEastAsia" w:eastAsiaTheme="minorEastAsia" w:cstheme="minorEastAsia"/>
                <w:b w:val="0"/>
                <w:bCs/>
                <w:color w:val="auto"/>
                <w:sz w:val="21"/>
                <w:szCs w:val="21"/>
                <w:highlight w:val="none"/>
                <w:lang w:val="en-US" w:eastAsia="zh-CN"/>
              </w:rPr>
              <w:t>完整性:方案完整，情况切合本项目实际情况;</w:t>
            </w:r>
          </w:p>
          <w:p w14:paraId="5834DB29">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b w:val="0"/>
                <w:bCs/>
                <w:color w:val="auto"/>
                <w:sz w:val="21"/>
                <w:szCs w:val="21"/>
                <w:highlight w:val="none"/>
                <w:lang w:val="en-US" w:eastAsia="zh-CN"/>
              </w:rPr>
            </w:pPr>
            <w:r>
              <w:rPr>
                <w:rFonts w:hint="eastAsia" w:asciiTheme="minorEastAsia" w:hAnsiTheme="minorEastAsia" w:eastAsiaTheme="minorEastAsia" w:cstheme="minorEastAsia"/>
                <w:b w:val="0"/>
                <w:bCs/>
                <w:color w:val="auto"/>
                <w:sz w:val="21"/>
                <w:szCs w:val="21"/>
                <w:highlight w:val="none"/>
                <w:lang w:val="en-US" w:eastAsia="zh-CN"/>
              </w:rPr>
              <w:t>合理性:符合项目具体情况，提出的实施措施方案合理、恰当;</w:t>
            </w:r>
          </w:p>
          <w:p w14:paraId="5D4654EC">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b w:val="0"/>
                <w:bCs/>
                <w:color w:val="auto"/>
                <w:sz w:val="21"/>
                <w:szCs w:val="21"/>
                <w:highlight w:val="none"/>
                <w:lang w:val="en-US" w:eastAsia="zh-CN"/>
              </w:rPr>
            </w:pPr>
            <w:r>
              <w:rPr>
                <w:rFonts w:hint="eastAsia" w:asciiTheme="minorEastAsia" w:hAnsiTheme="minorEastAsia" w:eastAsiaTheme="minorEastAsia" w:cstheme="minorEastAsia"/>
                <w:b w:val="0"/>
                <w:bCs/>
                <w:color w:val="auto"/>
                <w:sz w:val="21"/>
                <w:szCs w:val="21"/>
                <w:highlight w:val="none"/>
                <w:lang w:val="en-US" w:eastAsia="zh-CN"/>
              </w:rPr>
              <w:t>科学性:切合采购人单位及本项目实际情况，叙述清楚符合客观 实际。</w:t>
            </w:r>
          </w:p>
          <w:p w14:paraId="15FD3FCC">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b w:val="0"/>
                <w:bCs/>
                <w:color w:val="auto"/>
                <w:kern w:val="2"/>
                <w:sz w:val="21"/>
                <w:szCs w:val="21"/>
                <w:highlight w:val="none"/>
                <w:lang w:val="zh-CN" w:eastAsia="zh-CN" w:bidi="ar-SA"/>
              </w:rPr>
            </w:pPr>
            <w:r>
              <w:rPr>
                <w:rFonts w:hint="eastAsia" w:asciiTheme="minorEastAsia" w:hAnsiTheme="minorEastAsia" w:eastAsiaTheme="minorEastAsia" w:cstheme="minorEastAsia"/>
                <w:b w:val="0"/>
                <w:bCs/>
                <w:color w:val="auto"/>
                <w:sz w:val="21"/>
                <w:szCs w:val="21"/>
                <w:highlight w:val="none"/>
                <w:lang w:val="en-US" w:eastAsia="zh-CN"/>
              </w:rPr>
              <w:t>对上述4项评审内容进行打分，每项评审内容完全满足3项评审标准的得3分，满足2项的得2分，仅满足 1项的得1分，其他情况不得分。最高得12 分。</w:t>
            </w:r>
          </w:p>
        </w:tc>
        <w:tc>
          <w:tcPr>
            <w:tcW w:w="820" w:type="dxa"/>
            <w:shd w:val="clear" w:color="auto" w:fill="auto"/>
            <w:vAlign w:val="center"/>
          </w:tcPr>
          <w:p w14:paraId="0DE53FE8">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kern w:val="0"/>
                <w:sz w:val="24"/>
                <w:szCs w:val="20"/>
                <w:lang w:val="zh-CN" w:eastAsia="zh-CN" w:bidi="ar-SA"/>
              </w:rPr>
            </w:pPr>
            <w:r>
              <w:rPr>
                <w:rFonts w:hint="eastAsia" w:cs="仿宋"/>
                <w:color w:val="auto"/>
                <w:lang w:val="en-US" w:eastAsia="zh-CN"/>
              </w:rPr>
              <w:t>12</w:t>
            </w:r>
          </w:p>
        </w:tc>
      </w:tr>
      <w:tr w14:paraId="2A1B1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vMerge w:val="continue"/>
          </w:tcPr>
          <w:p w14:paraId="2B8C4B5B">
            <w:pPr>
              <w:rPr>
                <w:rFonts w:hint="eastAsia"/>
                <w:color w:val="auto"/>
                <w:vertAlign w:val="baseline"/>
                <w:lang w:val="zh-CN" w:eastAsia="zh-CN"/>
              </w:rPr>
            </w:pPr>
          </w:p>
        </w:tc>
        <w:tc>
          <w:tcPr>
            <w:tcW w:w="1199" w:type="dxa"/>
          </w:tcPr>
          <w:p w14:paraId="7F8C8859">
            <w:pPr>
              <w:rPr>
                <w:rFonts w:hint="eastAsia"/>
                <w:color w:val="auto"/>
                <w:vertAlign w:val="baseline"/>
                <w:lang w:val="zh-CN" w:eastAsia="zh-CN"/>
              </w:rPr>
            </w:pPr>
            <w:r>
              <w:rPr>
                <w:rFonts w:hint="eastAsia" w:asciiTheme="minorEastAsia" w:hAnsiTheme="minorEastAsia" w:eastAsiaTheme="minorEastAsia" w:cstheme="minorEastAsia"/>
                <w:b/>
                <w:bCs/>
                <w:color w:val="auto"/>
                <w:sz w:val="21"/>
                <w:szCs w:val="21"/>
              </w:rPr>
              <w:t>安全管理体系与措施</w:t>
            </w:r>
          </w:p>
        </w:tc>
        <w:tc>
          <w:tcPr>
            <w:tcW w:w="6559" w:type="dxa"/>
            <w:shd w:val="clear" w:color="auto" w:fill="auto"/>
            <w:vAlign w:val="center"/>
          </w:tcPr>
          <w:p w14:paraId="32E3949D">
            <w:pPr>
              <w:keepNext w:val="0"/>
              <w:keepLines w:val="0"/>
              <w:pageBreakBefore w:val="0"/>
              <w:widowControl w:val="0"/>
              <w:kinsoku/>
              <w:wordWrap/>
              <w:overflowPunct/>
              <w:topLinePunct w:val="0"/>
              <w:autoSpaceDE/>
              <w:autoSpaceDN/>
              <w:bidi w:val="0"/>
              <w:adjustRightInd/>
              <w:snapToGrid w:val="0"/>
              <w:spacing w:line="240" w:lineRule="auto"/>
              <w:jc w:val="both"/>
              <w:textAlignment w:val="baseline"/>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rPr>
              <w:t>供应商提供的安全管理体系与措施中应包含但不限于以下几项</w:t>
            </w:r>
            <w:r>
              <w:rPr>
                <w:rFonts w:hint="eastAsia" w:asciiTheme="minorEastAsia" w:hAnsiTheme="minorEastAsia" w:eastAsiaTheme="minorEastAsia" w:cstheme="minorEastAsia"/>
                <w:color w:val="auto"/>
                <w:sz w:val="21"/>
                <w:szCs w:val="21"/>
                <w:lang w:eastAsia="zh-CN"/>
              </w:rPr>
              <w:t>：</w:t>
            </w:r>
          </w:p>
          <w:p w14:paraId="40C840F2">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both"/>
              <w:textAlignment w:val="baseline"/>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①</w:t>
            </w:r>
            <w:r>
              <w:rPr>
                <w:rFonts w:hint="eastAsia" w:asciiTheme="minorEastAsia" w:hAnsiTheme="minorEastAsia" w:eastAsiaTheme="minorEastAsia" w:cstheme="minorEastAsia"/>
                <w:color w:val="auto"/>
                <w:sz w:val="21"/>
                <w:szCs w:val="21"/>
              </w:rPr>
              <w:t>安全责任制度和管理措施</w:t>
            </w:r>
            <w:r>
              <w:rPr>
                <w:rFonts w:hint="eastAsia" w:asciiTheme="minorEastAsia" w:hAnsiTheme="minorEastAsia" w:eastAsiaTheme="minorEastAsia" w:cstheme="minorEastAsia"/>
                <w:color w:val="auto"/>
                <w:sz w:val="21"/>
                <w:szCs w:val="21"/>
                <w:lang w:val="en-US" w:eastAsia="zh-CN"/>
              </w:rPr>
              <w:t>；</w:t>
            </w:r>
          </w:p>
          <w:p w14:paraId="4E2780C8">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both"/>
              <w:textAlignment w:val="baseline"/>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b w:val="0"/>
                <w:bCs/>
                <w:color w:val="auto"/>
                <w:sz w:val="21"/>
                <w:szCs w:val="21"/>
                <w:highlight w:val="none"/>
                <w:lang w:val="en-US" w:eastAsia="zh-CN"/>
              </w:rPr>
              <w:t>②</w:t>
            </w:r>
            <w:r>
              <w:rPr>
                <w:rFonts w:hint="eastAsia" w:asciiTheme="minorEastAsia" w:hAnsiTheme="minorEastAsia" w:eastAsiaTheme="minorEastAsia" w:cstheme="minorEastAsia"/>
                <w:color w:val="auto"/>
                <w:sz w:val="21"/>
                <w:szCs w:val="21"/>
              </w:rPr>
              <w:t>各项施工安全措施和防护措施</w:t>
            </w:r>
            <w:r>
              <w:rPr>
                <w:rFonts w:hint="eastAsia" w:asciiTheme="minorEastAsia" w:hAnsiTheme="minorEastAsia" w:eastAsiaTheme="minorEastAsia" w:cstheme="minorEastAsia"/>
                <w:color w:val="auto"/>
                <w:sz w:val="21"/>
                <w:szCs w:val="21"/>
                <w:lang w:val="en-US" w:eastAsia="zh-CN"/>
              </w:rPr>
              <w:t>；</w:t>
            </w:r>
          </w:p>
          <w:p w14:paraId="136F8472">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b w:val="0"/>
                <w:bCs/>
                <w:color w:val="auto"/>
                <w:sz w:val="21"/>
                <w:szCs w:val="21"/>
                <w:highlight w:val="none"/>
                <w:lang w:val="en-US" w:eastAsia="zh-CN"/>
              </w:rPr>
            </w:pPr>
            <w:r>
              <w:rPr>
                <w:rFonts w:hint="eastAsia" w:asciiTheme="minorEastAsia" w:hAnsiTheme="minorEastAsia" w:eastAsiaTheme="minorEastAsia" w:cstheme="minorEastAsia"/>
                <w:b w:val="0"/>
                <w:bCs/>
                <w:color w:val="auto"/>
                <w:sz w:val="21"/>
                <w:szCs w:val="21"/>
                <w:highlight w:val="none"/>
                <w:lang w:val="en-US" w:eastAsia="zh-CN"/>
              </w:rPr>
              <w:t>评审标准:</w:t>
            </w:r>
          </w:p>
          <w:p w14:paraId="121F1A77">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b w:val="0"/>
                <w:bCs/>
                <w:color w:val="auto"/>
                <w:sz w:val="21"/>
                <w:szCs w:val="21"/>
                <w:highlight w:val="none"/>
                <w:lang w:val="en-US" w:eastAsia="zh-CN"/>
              </w:rPr>
            </w:pPr>
            <w:r>
              <w:rPr>
                <w:rFonts w:hint="eastAsia" w:asciiTheme="minorEastAsia" w:hAnsiTheme="minorEastAsia" w:eastAsiaTheme="minorEastAsia" w:cstheme="minorEastAsia"/>
                <w:b w:val="0"/>
                <w:bCs/>
                <w:color w:val="auto"/>
                <w:sz w:val="21"/>
                <w:szCs w:val="21"/>
                <w:highlight w:val="none"/>
                <w:lang w:val="en-US" w:eastAsia="zh-CN"/>
              </w:rPr>
              <w:t>完整性:方案完整，情况切合本项目实际情况;</w:t>
            </w:r>
          </w:p>
          <w:p w14:paraId="24DD2A4C">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b w:val="0"/>
                <w:bCs/>
                <w:color w:val="auto"/>
                <w:sz w:val="21"/>
                <w:szCs w:val="21"/>
                <w:highlight w:val="none"/>
                <w:lang w:val="en-US" w:eastAsia="zh-CN"/>
              </w:rPr>
            </w:pPr>
            <w:r>
              <w:rPr>
                <w:rFonts w:hint="eastAsia" w:asciiTheme="minorEastAsia" w:hAnsiTheme="minorEastAsia" w:eastAsiaTheme="minorEastAsia" w:cstheme="minorEastAsia"/>
                <w:b w:val="0"/>
                <w:bCs/>
                <w:color w:val="auto"/>
                <w:sz w:val="21"/>
                <w:szCs w:val="21"/>
                <w:highlight w:val="none"/>
                <w:lang w:val="en-US" w:eastAsia="zh-CN"/>
              </w:rPr>
              <w:t>合理性:符合项目具体情况，提出的实施措施方案合理、恰当;</w:t>
            </w:r>
          </w:p>
          <w:p w14:paraId="3CBDFB8B">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b w:val="0"/>
                <w:bCs/>
                <w:color w:val="auto"/>
                <w:sz w:val="21"/>
                <w:szCs w:val="21"/>
                <w:highlight w:val="none"/>
                <w:lang w:val="en-US" w:eastAsia="zh-CN"/>
              </w:rPr>
            </w:pPr>
            <w:r>
              <w:rPr>
                <w:rFonts w:hint="eastAsia" w:asciiTheme="minorEastAsia" w:hAnsiTheme="minorEastAsia" w:eastAsiaTheme="minorEastAsia" w:cstheme="minorEastAsia"/>
                <w:b w:val="0"/>
                <w:bCs/>
                <w:color w:val="auto"/>
                <w:sz w:val="21"/>
                <w:szCs w:val="21"/>
                <w:highlight w:val="none"/>
                <w:lang w:val="en-US" w:eastAsia="zh-CN"/>
              </w:rPr>
              <w:t>科学性:切合采购人单位及本项目实际情况，叙述清楚符合客观 实际。</w:t>
            </w:r>
          </w:p>
          <w:p w14:paraId="46D9A234">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b w:val="0"/>
                <w:bCs/>
                <w:color w:val="auto"/>
                <w:kern w:val="2"/>
                <w:sz w:val="21"/>
                <w:szCs w:val="21"/>
                <w:highlight w:val="none"/>
                <w:lang w:val="zh-CN" w:eastAsia="zh-CN" w:bidi="ar-SA"/>
              </w:rPr>
            </w:pPr>
            <w:r>
              <w:rPr>
                <w:rFonts w:hint="eastAsia" w:asciiTheme="minorEastAsia" w:hAnsiTheme="minorEastAsia" w:eastAsiaTheme="minorEastAsia" w:cstheme="minorEastAsia"/>
                <w:b w:val="0"/>
                <w:bCs/>
                <w:color w:val="auto"/>
                <w:sz w:val="21"/>
                <w:szCs w:val="21"/>
                <w:highlight w:val="none"/>
                <w:lang w:val="en-US" w:eastAsia="zh-CN"/>
              </w:rPr>
              <w:t>对上述2项评审内容进行打分，每项评审内容完全满足3项评审标准的得2.5分，满足2项的得1.5分，仅满足 1项的得1分，其他情况不得分。最高得5 分。</w:t>
            </w:r>
          </w:p>
        </w:tc>
        <w:tc>
          <w:tcPr>
            <w:tcW w:w="820" w:type="dxa"/>
            <w:shd w:val="clear" w:color="auto" w:fill="auto"/>
            <w:vAlign w:val="center"/>
          </w:tcPr>
          <w:p w14:paraId="1560B400">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kern w:val="0"/>
                <w:sz w:val="24"/>
                <w:szCs w:val="20"/>
                <w:lang w:val="zh-CN" w:eastAsia="zh-CN" w:bidi="ar-SA"/>
              </w:rPr>
            </w:pPr>
            <w:r>
              <w:rPr>
                <w:rFonts w:hint="eastAsia" w:cs="仿宋"/>
                <w:color w:val="auto"/>
                <w:lang w:val="en-US" w:eastAsia="zh-CN"/>
              </w:rPr>
              <w:t>5</w:t>
            </w:r>
          </w:p>
        </w:tc>
      </w:tr>
      <w:tr w14:paraId="7F44B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63" w:type="dxa"/>
            <w:gridSpan w:val="3"/>
          </w:tcPr>
          <w:p w14:paraId="31387FA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eastAsiaTheme="minorEastAsia" w:cstheme="minorEastAsia"/>
                <w:b w:val="0"/>
                <w:bCs/>
                <w:color w:val="auto"/>
                <w:sz w:val="21"/>
                <w:szCs w:val="21"/>
                <w:highlight w:val="none"/>
                <w:lang w:val="en-US" w:eastAsia="zh-CN"/>
              </w:rPr>
            </w:pPr>
            <w:r>
              <w:rPr>
                <w:rFonts w:hint="eastAsia"/>
                <w:b/>
                <w:color w:val="auto"/>
              </w:rPr>
              <w:t>合    计</w:t>
            </w:r>
          </w:p>
        </w:tc>
        <w:tc>
          <w:tcPr>
            <w:tcW w:w="820" w:type="dxa"/>
            <w:shd w:val="clear" w:color="auto" w:fill="auto"/>
            <w:vAlign w:val="center"/>
          </w:tcPr>
          <w:p w14:paraId="1A5F8A6B">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cs="仿宋"/>
                <w:color w:val="auto"/>
                <w:lang w:val="en-US" w:eastAsia="zh-CN"/>
              </w:rPr>
            </w:pPr>
            <w:r>
              <w:rPr>
                <w:rFonts w:hint="eastAsia"/>
                <w:b/>
                <w:color w:val="auto"/>
              </w:rPr>
              <w:t>100</w:t>
            </w:r>
          </w:p>
        </w:tc>
      </w:tr>
    </w:tbl>
    <w:p w14:paraId="490FDF6E">
      <w:pPr>
        <w:rPr>
          <w:rFonts w:hint="eastAsia"/>
          <w:color w:val="auto"/>
          <w:lang w:val="zh-CN" w:eastAsia="zh-CN"/>
        </w:rPr>
      </w:pPr>
    </w:p>
    <w:p w14:paraId="47002AEC">
      <w:pPr>
        <w:pStyle w:val="14"/>
        <w:jc w:val="center"/>
        <w:rPr>
          <w:rFonts w:hint="eastAsia" w:asciiTheme="minorEastAsia" w:hAnsiTheme="minorEastAsia" w:eastAsiaTheme="minorEastAsia" w:cstheme="minorEastAsia"/>
          <w:b/>
          <w:bCs/>
          <w:color w:val="auto"/>
          <w:kern w:val="2"/>
          <w:sz w:val="32"/>
          <w:szCs w:val="32"/>
          <w:lang w:val="zh-CN" w:eastAsia="zh-CN" w:bidi="ar-SA"/>
        </w:rPr>
      </w:pPr>
    </w:p>
    <w:p w14:paraId="7A5EF555">
      <w:pPr>
        <w:rPr>
          <w:rFonts w:hint="eastAsia" w:asciiTheme="minorEastAsia" w:hAnsiTheme="minorEastAsia" w:eastAsiaTheme="minorEastAsia" w:cstheme="minorEastAsia"/>
          <w:b/>
          <w:bCs/>
          <w:color w:val="auto"/>
          <w:kern w:val="2"/>
          <w:sz w:val="32"/>
          <w:szCs w:val="32"/>
          <w:lang w:val="zh-CN" w:eastAsia="zh-CN" w:bidi="ar-SA"/>
        </w:rPr>
      </w:pPr>
      <w:r>
        <w:rPr>
          <w:rFonts w:hint="eastAsia" w:asciiTheme="minorEastAsia" w:hAnsiTheme="minorEastAsia" w:eastAsiaTheme="minorEastAsia" w:cstheme="minorEastAsia"/>
          <w:b/>
          <w:bCs/>
          <w:color w:val="auto"/>
          <w:kern w:val="2"/>
          <w:sz w:val="32"/>
          <w:szCs w:val="32"/>
          <w:lang w:val="zh-CN" w:eastAsia="zh-CN" w:bidi="ar-SA"/>
        </w:rPr>
        <w:br w:type="page"/>
      </w:r>
    </w:p>
    <w:p w14:paraId="33A44E1A">
      <w:pPr>
        <w:pStyle w:val="2"/>
        <w:bidi w:val="0"/>
        <w:rPr>
          <w:rFonts w:hint="eastAsia"/>
          <w:color w:val="auto"/>
        </w:rPr>
      </w:pPr>
      <w:bookmarkStart w:id="54" w:name="_Toc21315"/>
      <w:bookmarkStart w:id="55" w:name="_Toc26276"/>
      <w:r>
        <w:rPr>
          <w:rFonts w:hint="eastAsia"/>
          <w:color w:val="auto"/>
          <w:lang w:val="zh-CN" w:eastAsia="zh-CN"/>
        </w:rPr>
        <w:t xml:space="preserve">第五章  </w:t>
      </w:r>
      <w:bookmarkEnd w:id="52"/>
      <w:bookmarkEnd w:id="53"/>
      <w:r>
        <w:rPr>
          <w:rFonts w:hint="eastAsia"/>
          <w:color w:val="auto"/>
        </w:rPr>
        <w:t>合同格式</w:t>
      </w:r>
      <w:bookmarkEnd w:id="54"/>
      <w:bookmarkEnd w:id="55"/>
    </w:p>
    <w:p w14:paraId="6C5F51DF">
      <w:pPr>
        <w:ind w:firstLine="0" w:firstLineChars="0"/>
        <w:jc w:val="center"/>
        <w:rPr>
          <w:rFonts w:hint="eastAsia"/>
          <w:color w:val="auto"/>
        </w:rPr>
      </w:pPr>
      <w:r>
        <w:rPr>
          <w:rFonts w:hint="eastAsia"/>
          <w:color w:val="auto"/>
        </w:rPr>
        <w:t>（此合同书仅作为签订正式合同时的参考，以实际合同为准）</w:t>
      </w:r>
    </w:p>
    <w:p w14:paraId="3AB34B6F">
      <w:pPr>
        <w:spacing w:line="219" w:lineRule="auto"/>
        <w:ind w:left="39"/>
        <w:rPr>
          <w:rFonts w:ascii="宋体" w:hAnsi="宋体" w:eastAsia="宋体" w:cs="宋体"/>
          <w:color w:val="auto"/>
          <w:sz w:val="24"/>
          <w:szCs w:val="24"/>
        </w:rPr>
      </w:pPr>
      <w:bookmarkStart w:id="56" w:name="_Toc8230"/>
      <w:r>
        <w:rPr>
          <w:rFonts w:ascii="宋体" w:hAnsi="宋体" w:eastAsia="宋体" w:cs="宋体"/>
          <w:color w:val="auto"/>
          <w:spacing w:val="-3"/>
          <w:sz w:val="24"/>
          <w:szCs w:val="24"/>
        </w:rPr>
        <w:t>合同编号：</w:t>
      </w:r>
      <w:r>
        <w:rPr>
          <w:rFonts w:ascii="宋体" w:hAnsi="宋体" w:eastAsia="宋体" w:cs="宋体"/>
          <w:color w:val="auto"/>
          <w:sz w:val="24"/>
          <w:szCs w:val="24"/>
          <w:u w:val="single" w:color="auto"/>
        </w:rPr>
        <w:t xml:space="preserve">              </w:t>
      </w:r>
    </w:p>
    <w:p w14:paraId="14F75682">
      <w:pPr>
        <w:spacing w:line="296" w:lineRule="auto"/>
        <w:rPr>
          <w:rFonts w:ascii="Arial"/>
          <w:color w:val="auto"/>
          <w:sz w:val="21"/>
        </w:rPr>
      </w:pPr>
    </w:p>
    <w:p w14:paraId="65F26D3C">
      <w:pPr>
        <w:spacing w:line="296" w:lineRule="auto"/>
        <w:rPr>
          <w:rFonts w:ascii="Arial"/>
          <w:color w:val="auto"/>
          <w:sz w:val="21"/>
        </w:rPr>
      </w:pPr>
    </w:p>
    <w:p w14:paraId="0B8A1F90">
      <w:pPr>
        <w:spacing w:line="297" w:lineRule="auto"/>
        <w:rPr>
          <w:rFonts w:ascii="Arial"/>
          <w:color w:val="auto"/>
          <w:sz w:val="21"/>
        </w:rPr>
      </w:pPr>
    </w:p>
    <w:p w14:paraId="26B0B381">
      <w:pPr>
        <w:spacing w:line="297" w:lineRule="auto"/>
        <w:rPr>
          <w:rFonts w:ascii="Arial"/>
          <w:color w:val="auto"/>
          <w:sz w:val="21"/>
        </w:rPr>
      </w:pPr>
    </w:p>
    <w:p w14:paraId="4A70BC4B">
      <w:pPr>
        <w:spacing w:before="234" w:line="219" w:lineRule="auto"/>
        <w:ind w:left="2053"/>
        <w:rPr>
          <w:rFonts w:ascii="宋体" w:hAnsi="宋体" w:eastAsia="宋体" w:cs="宋体"/>
          <w:color w:val="auto"/>
          <w:sz w:val="72"/>
          <w:szCs w:val="72"/>
        </w:rPr>
      </w:pPr>
      <w:r>
        <w:rPr>
          <w:rFonts w:ascii="宋体" w:hAnsi="宋体" w:eastAsia="宋体" w:cs="宋体"/>
          <w:b/>
          <w:bCs/>
          <w:color w:val="auto"/>
          <w:spacing w:val="-51"/>
          <w:sz w:val="72"/>
          <w:szCs w:val="72"/>
        </w:rPr>
        <w:t>合</w:t>
      </w:r>
      <w:r>
        <w:rPr>
          <w:rFonts w:ascii="宋体" w:hAnsi="宋体" w:eastAsia="宋体" w:cs="宋体"/>
          <w:color w:val="auto"/>
          <w:spacing w:val="32"/>
          <w:sz w:val="72"/>
          <w:szCs w:val="72"/>
        </w:rPr>
        <w:t xml:space="preserve">   </w:t>
      </w:r>
      <w:r>
        <w:rPr>
          <w:rFonts w:ascii="宋体" w:hAnsi="宋体" w:eastAsia="宋体" w:cs="宋体"/>
          <w:b/>
          <w:bCs/>
          <w:color w:val="auto"/>
          <w:spacing w:val="-51"/>
          <w:sz w:val="72"/>
          <w:szCs w:val="72"/>
        </w:rPr>
        <w:t>同</w:t>
      </w:r>
      <w:r>
        <w:rPr>
          <w:rFonts w:ascii="宋体" w:hAnsi="宋体" w:eastAsia="宋体" w:cs="宋体"/>
          <w:color w:val="auto"/>
          <w:spacing w:val="15"/>
          <w:sz w:val="72"/>
          <w:szCs w:val="72"/>
        </w:rPr>
        <w:t xml:space="preserve">   </w:t>
      </w:r>
      <w:r>
        <w:rPr>
          <w:rFonts w:ascii="宋体" w:hAnsi="宋体" w:eastAsia="宋体" w:cs="宋体"/>
          <w:b/>
          <w:bCs/>
          <w:color w:val="auto"/>
          <w:spacing w:val="-51"/>
          <w:sz w:val="72"/>
          <w:szCs w:val="72"/>
        </w:rPr>
        <w:t>书</w:t>
      </w:r>
    </w:p>
    <w:p w14:paraId="4CBC018A">
      <w:pPr>
        <w:rPr>
          <w:rFonts w:ascii="Arial"/>
          <w:color w:val="auto"/>
          <w:sz w:val="21"/>
        </w:rPr>
      </w:pPr>
    </w:p>
    <w:p w14:paraId="5AC96B78">
      <w:pPr>
        <w:rPr>
          <w:rFonts w:ascii="Arial"/>
          <w:color w:val="auto"/>
          <w:sz w:val="21"/>
        </w:rPr>
      </w:pPr>
    </w:p>
    <w:p w14:paraId="134B98C2">
      <w:pPr>
        <w:rPr>
          <w:rFonts w:ascii="Arial"/>
          <w:color w:val="auto"/>
          <w:sz w:val="21"/>
        </w:rPr>
      </w:pPr>
    </w:p>
    <w:p w14:paraId="5BDC0B56">
      <w:pPr>
        <w:rPr>
          <w:rFonts w:ascii="Arial"/>
          <w:color w:val="auto"/>
          <w:sz w:val="21"/>
        </w:rPr>
      </w:pPr>
    </w:p>
    <w:p w14:paraId="177E7058">
      <w:pPr>
        <w:rPr>
          <w:rFonts w:ascii="Arial"/>
          <w:color w:val="auto"/>
          <w:sz w:val="21"/>
        </w:rPr>
      </w:pPr>
    </w:p>
    <w:p w14:paraId="1A7DFB0F">
      <w:pPr>
        <w:rPr>
          <w:rFonts w:ascii="Arial"/>
          <w:color w:val="auto"/>
          <w:sz w:val="21"/>
        </w:rPr>
      </w:pPr>
    </w:p>
    <w:p w14:paraId="5B2CDAB5">
      <w:pPr>
        <w:rPr>
          <w:rFonts w:ascii="Arial"/>
          <w:color w:val="auto"/>
          <w:sz w:val="21"/>
        </w:rPr>
      </w:pPr>
    </w:p>
    <w:p w14:paraId="1C8951E4">
      <w:pPr>
        <w:spacing w:before="91" w:line="220" w:lineRule="auto"/>
        <w:ind w:left="44"/>
        <w:rPr>
          <w:rFonts w:ascii="宋体" w:hAnsi="宋体" w:eastAsia="宋体" w:cs="宋体"/>
          <w:color w:val="auto"/>
          <w:sz w:val="28"/>
          <w:szCs w:val="28"/>
        </w:rPr>
      </w:pPr>
      <w:r>
        <w:rPr>
          <w:rFonts w:ascii="宋体" w:hAnsi="宋体" w:eastAsia="宋体" w:cs="宋体"/>
          <w:b/>
          <w:bCs/>
          <w:color w:val="auto"/>
          <w:spacing w:val="-7"/>
          <w:sz w:val="28"/>
          <w:szCs w:val="28"/>
        </w:rPr>
        <w:t>项目名称：</w:t>
      </w:r>
      <w:r>
        <w:rPr>
          <w:rFonts w:ascii="宋体" w:hAnsi="宋体" w:eastAsia="宋体" w:cs="宋体"/>
          <w:color w:val="auto"/>
          <w:sz w:val="28"/>
          <w:szCs w:val="28"/>
          <w:u w:val="single" w:color="auto"/>
        </w:rPr>
        <w:t xml:space="preserve">                                             </w:t>
      </w:r>
    </w:p>
    <w:p w14:paraId="1281B500">
      <w:pPr>
        <w:spacing w:line="243" w:lineRule="auto"/>
        <w:rPr>
          <w:rFonts w:ascii="Arial"/>
          <w:color w:val="auto"/>
          <w:sz w:val="21"/>
        </w:rPr>
      </w:pPr>
    </w:p>
    <w:p w14:paraId="47B370CF">
      <w:pPr>
        <w:spacing w:line="243" w:lineRule="auto"/>
        <w:rPr>
          <w:rFonts w:ascii="Arial"/>
          <w:color w:val="auto"/>
          <w:sz w:val="21"/>
        </w:rPr>
      </w:pPr>
    </w:p>
    <w:p w14:paraId="0B13EE59">
      <w:pPr>
        <w:spacing w:line="243" w:lineRule="auto"/>
        <w:rPr>
          <w:rFonts w:ascii="Arial"/>
          <w:color w:val="auto"/>
          <w:sz w:val="21"/>
        </w:rPr>
      </w:pPr>
    </w:p>
    <w:p w14:paraId="67F80190">
      <w:pPr>
        <w:spacing w:line="243" w:lineRule="auto"/>
        <w:rPr>
          <w:rFonts w:ascii="Arial"/>
          <w:color w:val="auto"/>
          <w:sz w:val="21"/>
        </w:rPr>
      </w:pPr>
    </w:p>
    <w:p w14:paraId="66E4C736">
      <w:pPr>
        <w:spacing w:before="92" w:line="219" w:lineRule="auto"/>
        <w:ind w:left="76"/>
        <w:rPr>
          <w:rFonts w:ascii="宋体" w:hAnsi="宋体" w:eastAsia="宋体" w:cs="宋体"/>
          <w:color w:val="auto"/>
          <w:sz w:val="28"/>
          <w:szCs w:val="28"/>
        </w:rPr>
      </w:pPr>
      <w:r>
        <w:rPr>
          <w:rFonts w:ascii="宋体" w:hAnsi="宋体" w:eastAsia="宋体" w:cs="宋体"/>
          <w:b/>
          <w:bCs/>
          <w:color w:val="auto"/>
          <w:spacing w:val="-9"/>
          <w:sz w:val="28"/>
          <w:szCs w:val="28"/>
        </w:rPr>
        <w:t>甲方（采购人）：</w:t>
      </w:r>
      <w:r>
        <w:rPr>
          <w:rFonts w:ascii="宋体" w:hAnsi="宋体" w:eastAsia="宋体" w:cs="宋体"/>
          <w:color w:val="auto"/>
          <w:sz w:val="28"/>
          <w:szCs w:val="28"/>
          <w:u w:val="single" w:color="auto"/>
        </w:rPr>
        <w:t xml:space="preserve">                                      </w:t>
      </w:r>
    </w:p>
    <w:p w14:paraId="0D699943">
      <w:pPr>
        <w:spacing w:line="243" w:lineRule="auto"/>
        <w:rPr>
          <w:rFonts w:ascii="Arial"/>
          <w:color w:val="auto"/>
          <w:sz w:val="21"/>
        </w:rPr>
      </w:pPr>
    </w:p>
    <w:p w14:paraId="3E1BC8B6">
      <w:pPr>
        <w:spacing w:line="244" w:lineRule="auto"/>
        <w:rPr>
          <w:rFonts w:ascii="Arial"/>
          <w:color w:val="auto"/>
          <w:sz w:val="21"/>
        </w:rPr>
      </w:pPr>
    </w:p>
    <w:p w14:paraId="1F9E93C4">
      <w:pPr>
        <w:spacing w:line="244" w:lineRule="auto"/>
        <w:rPr>
          <w:rFonts w:ascii="Arial"/>
          <w:color w:val="auto"/>
          <w:sz w:val="21"/>
        </w:rPr>
      </w:pPr>
    </w:p>
    <w:p w14:paraId="2928AC0A">
      <w:pPr>
        <w:spacing w:line="244" w:lineRule="auto"/>
        <w:rPr>
          <w:rFonts w:ascii="Arial"/>
          <w:color w:val="auto"/>
          <w:sz w:val="21"/>
        </w:rPr>
      </w:pPr>
    </w:p>
    <w:p w14:paraId="3746EE31">
      <w:pPr>
        <w:spacing w:before="91" w:line="219" w:lineRule="auto"/>
        <w:ind w:left="67"/>
        <w:rPr>
          <w:rFonts w:ascii="宋体" w:hAnsi="宋体" w:eastAsia="宋体" w:cs="宋体"/>
          <w:color w:val="auto"/>
          <w:sz w:val="28"/>
          <w:szCs w:val="28"/>
        </w:rPr>
      </w:pPr>
      <w:r>
        <w:rPr>
          <w:rFonts w:ascii="宋体" w:hAnsi="宋体" w:eastAsia="宋体" w:cs="宋体"/>
          <w:b/>
          <w:bCs/>
          <w:color w:val="auto"/>
          <w:spacing w:val="-7"/>
          <w:sz w:val="28"/>
          <w:szCs w:val="28"/>
        </w:rPr>
        <w:t>乙方（成交供应商）：</w:t>
      </w:r>
      <w:r>
        <w:rPr>
          <w:rFonts w:ascii="宋体" w:hAnsi="宋体" w:eastAsia="宋体" w:cs="宋体"/>
          <w:color w:val="auto"/>
          <w:sz w:val="28"/>
          <w:szCs w:val="28"/>
          <w:u w:val="single" w:color="auto"/>
        </w:rPr>
        <w:t xml:space="preserve">                                      </w:t>
      </w:r>
    </w:p>
    <w:p w14:paraId="12DC2D6C">
      <w:pPr>
        <w:spacing w:line="244" w:lineRule="auto"/>
        <w:rPr>
          <w:rFonts w:ascii="Arial"/>
          <w:color w:val="auto"/>
          <w:sz w:val="21"/>
        </w:rPr>
      </w:pPr>
    </w:p>
    <w:p w14:paraId="2524D8E9">
      <w:pPr>
        <w:spacing w:line="244" w:lineRule="auto"/>
        <w:rPr>
          <w:rFonts w:ascii="Arial"/>
          <w:color w:val="auto"/>
          <w:sz w:val="21"/>
        </w:rPr>
      </w:pPr>
    </w:p>
    <w:p w14:paraId="6B013BDA">
      <w:pPr>
        <w:spacing w:line="244" w:lineRule="auto"/>
        <w:rPr>
          <w:rFonts w:ascii="Arial"/>
          <w:color w:val="auto"/>
          <w:sz w:val="21"/>
        </w:rPr>
      </w:pPr>
    </w:p>
    <w:p w14:paraId="63E102A4">
      <w:pPr>
        <w:spacing w:line="244" w:lineRule="auto"/>
        <w:rPr>
          <w:rFonts w:ascii="Arial"/>
          <w:color w:val="auto"/>
          <w:sz w:val="21"/>
        </w:rPr>
      </w:pPr>
    </w:p>
    <w:p w14:paraId="22906EA8">
      <w:pPr>
        <w:spacing w:before="91" w:line="222" w:lineRule="auto"/>
        <w:ind w:left="40"/>
        <w:rPr>
          <w:rFonts w:ascii="宋体" w:hAnsi="宋体" w:eastAsia="宋体" w:cs="宋体"/>
          <w:color w:val="auto"/>
          <w:sz w:val="28"/>
          <w:szCs w:val="28"/>
        </w:rPr>
      </w:pPr>
      <w:r>
        <w:rPr>
          <w:rFonts w:ascii="宋体" w:hAnsi="宋体" w:eastAsia="宋体" w:cs="宋体"/>
          <w:b/>
          <w:bCs/>
          <w:color w:val="auto"/>
          <w:spacing w:val="-6"/>
          <w:sz w:val="28"/>
          <w:szCs w:val="28"/>
        </w:rPr>
        <w:t>签订地：</w:t>
      </w:r>
      <w:r>
        <w:rPr>
          <w:rFonts w:ascii="宋体" w:hAnsi="宋体" w:eastAsia="宋体" w:cs="宋体"/>
          <w:color w:val="auto"/>
          <w:sz w:val="28"/>
          <w:szCs w:val="28"/>
          <w:u w:val="single" w:color="auto"/>
        </w:rPr>
        <w:t xml:space="preserve">                                               </w:t>
      </w:r>
    </w:p>
    <w:p w14:paraId="2A52D8AA">
      <w:pPr>
        <w:spacing w:line="256" w:lineRule="auto"/>
        <w:rPr>
          <w:rFonts w:ascii="Arial"/>
          <w:color w:val="auto"/>
          <w:sz w:val="21"/>
        </w:rPr>
      </w:pPr>
    </w:p>
    <w:p w14:paraId="632ABCFE">
      <w:pPr>
        <w:spacing w:line="257" w:lineRule="auto"/>
        <w:rPr>
          <w:rFonts w:ascii="Arial"/>
          <w:color w:val="auto"/>
          <w:sz w:val="21"/>
        </w:rPr>
      </w:pPr>
    </w:p>
    <w:p w14:paraId="3D923B96">
      <w:pPr>
        <w:spacing w:line="257" w:lineRule="auto"/>
        <w:rPr>
          <w:rFonts w:ascii="Arial"/>
          <w:color w:val="auto"/>
          <w:sz w:val="21"/>
        </w:rPr>
      </w:pPr>
    </w:p>
    <w:p w14:paraId="1305AB7F">
      <w:pPr>
        <w:spacing w:before="78" w:line="219" w:lineRule="auto"/>
        <w:ind w:left="38"/>
        <w:rPr>
          <w:rFonts w:ascii="宋体" w:hAnsi="宋体" w:eastAsia="宋体" w:cs="宋体"/>
          <w:color w:val="auto"/>
          <w:sz w:val="24"/>
          <w:szCs w:val="24"/>
        </w:rPr>
      </w:pPr>
      <w:r>
        <w:rPr>
          <w:rFonts w:ascii="宋体" w:hAnsi="宋体" w:eastAsia="宋体" w:cs="宋体"/>
          <w:b/>
          <w:bCs/>
          <w:color w:val="auto"/>
          <w:spacing w:val="-3"/>
          <w:sz w:val="24"/>
          <w:szCs w:val="24"/>
        </w:rPr>
        <w:t>签订日期：</w:t>
      </w:r>
      <w:r>
        <w:rPr>
          <w:rFonts w:ascii="宋体" w:hAnsi="宋体" w:eastAsia="宋体" w:cs="宋体"/>
          <w:color w:val="auto"/>
          <w:spacing w:val="8"/>
          <w:sz w:val="24"/>
          <w:szCs w:val="24"/>
          <w:u w:val="single" w:color="auto"/>
        </w:rPr>
        <w:t xml:space="preserve">               </w:t>
      </w:r>
      <w:r>
        <w:rPr>
          <w:rFonts w:ascii="宋体" w:hAnsi="宋体" w:eastAsia="宋体" w:cs="宋体"/>
          <w:color w:val="auto"/>
          <w:spacing w:val="-102"/>
          <w:sz w:val="24"/>
          <w:szCs w:val="24"/>
        </w:rPr>
        <w:t xml:space="preserve"> </w:t>
      </w:r>
      <w:r>
        <w:rPr>
          <w:rFonts w:ascii="宋体" w:hAnsi="宋体" w:eastAsia="宋体" w:cs="宋体"/>
          <w:color w:val="auto"/>
          <w:spacing w:val="-3"/>
          <w:sz w:val="24"/>
          <w:szCs w:val="24"/>
        </w:rPr>
        <w:t>年</w:t>
      </w:r>
      <w:r>
        <w:rPr>
          <w:rFonts w:ascii="宋体" w:hAnsi="宋体" w:eastAsia="宋体" w:cs="宋体"/>
          <w:color w:val="auto"/>
          <w:spacing w:val="-3"/>
          <w:sz w:val="24"/>
          <w:szCs w:val="24"/>
          <w:u w:val="single" w:color="auto"/>
        </w:rPr>
        <w:t xml:space="preserve">           </w:t>
      </w:r>
      <w:r>
        <w:rPr>
          <w:rFonts w:ascii="宋体" w:hAnsi="宋体" w:eastAsia="宋体" w:cs="宋体"/>
          <w:color w:val="auto"/>
          <w:spacing w:val="-104"/>
          <w:sz w:val="24"/>
          <w:szCs w:val="24"/>
        </w:rPr>
        <w:t xml:space="preserve"> </w:t>
      </w:r>
      <w:r>
        <w:rPr>
          <w:rFonts w:ascii="宋体" w:hAnsi="宋体" w:eastAsia="宋体" w:cs="宋体"/>
          <w:color w:val="auto"/>
          <w:spacing w:val="-3"/>
          <w:sz w:val="24"/>
          <w:szCs w:val="24"/>
        </w:rPr>
        <w:t>月</w:t>
      </w:r>
      <w:r>
        <w:rPr>
          <w:rFonts w:ascii="宋体" w:hAnsi="宋体" w:eastAsia="宋体" w:cs="宋体"/>
          <w:color w:val="auto"/>
          <w:spacing w:val="10"/>
          <w:sz w:val="24"/>
          <w:szCs w:val="24"/>
          <w:u w:val="single" w:color="auto"/>
        </w:rPr>
        <w:t xml:space="preserve">           </w:t>
      </w:r>
      <w:r>
        <w:rPr>
          <w:rFonts w:ascii="宋体" w:hAnsi="宋体" w:eastAsia="宋体" w:cs="宋体"/>
          <w:color w:val="auto"/>
          <w:spacing w:val="-59"/>
          <w:sz w:val="24"/>
          <w:szCs w:val="24"/>
        </w:rPr>
        <w:t xml:space="preserve"> </w:t>
      </w:r>
      <w:r>
        <w:rPr>
          <w:rFonts w:ascii="宋体" w:hAnsi="宋体" w:eastAsia="宋体" w:cs="宋体"/>
          <w:color w:val="auto"/>
          <w:spacing w:val="-3"/>
          <w:sz w:val="24"/>
          <w:szCs w:val="24"/>
        </w:rPr>
        <w:t>日</w:t>
      </w:r>
    </w:p>
    <w:p w14:paraId="02EEEA30">
      <w:pPr>
        <w:spacing w:line="219" w:lineRule="auto"/>
        <w:rPr>
          <w:rFonts w:ascii="宋体" w:hAnsi="宋体" w:eastAsia="宋体" w:cs="宋体"/>
          <w:color w:val="auto"/>
          <w:sz w:val="24"/>
          <w:szCs w:val="24"/>
        </w:rPr>
        <w:sectPr>
          <w:headerReference r:id="rId6" w:type="default"/>
          <w:pgSz w:w="11907" w:h="16839"/>
          <w:pgMar w:top="799" w:right="1771" w:bottom="856" w:left="1655" w:header="0" w:footer="1134" w:gutter="0"/>
          <w:cols w:space="720" w:num="1"/>
        </w:sectPr>
      </w:pPr>
    </w:p>
    <w:p w14:paraId="3D793B80">
      <w:pPr>
        <w:keepNext w:val="0"/>
        <w:keepLines w:val="0"/>
        <w:pageBreakBefore w:val="0"/>
        <w:widowControl w:val="0"/>
        <w:kinsoku/>
        <w:wordWrap/>
        <w:overflowPunct/>
        <w:topLinePunct w:val="0"/>
        <w:autoSpaceDE/>
        <w:autoSpaceDN/>
        <w:bidi w:val="0"/>
        <w:adjustRightInd/>
        <w:snapToGrid/>
        <w:spacing w:line="400" w:lineRule="exact"/>
        <w:textAlignment w:val="auto"/>
        <w:rPr>
          <w:rFonts w:ascii="Arial"/>
          <w:color w:val="auto"/>
          <w:sz w:val="21"/>
        </w:rPr>
      </w:pPr>
      <w:r>
        <w:rPr>
          <w:color w:val="auto"/>
        </w:rPr>
        <mc:AlternateContent>
          <mc:Choice Requires="wps">
            <w:drawing>
              <wp:anchor distT="0" distB="0" distL="114300" distR="114300" simplePos="0" relativeHeight="251663360" behindDoc="0" locked="0" layoutInCell="1" allowOverlap="1">
                <wp:simplePos x="0" y="0"/>
                <wp:positionH relativeFrom="column">
                  <wp:posOffset>150495</wp:posOffset>
                </wp:positionH>
                <wp:positionV relativeFrom="paragraph">
                  <wp:posOffset>49530</wp:posOffset>
                </wp:positionV>
                <wp:extent cx="5311140" cy="13335"/>
                <wp:effectExtent l="0" t="0" r="0" b="0"/>
                <wp:wrapNone/>
                <wp:docPr id="6" name="任意多边形 6"/>
                <wp:cNvGraphicFramePr/>
                <a:graphic xmlns:a="http://schemas.openxmlformats.org/drawingml/2006/main">
                  <a:graphicData uri="http://schemas.microsoft.com/office/word/2010/wordprocessingShape">
                    <wps:wsp>
                      <wps:cNvSpPr/>
                      <wps:spPr>
                        <a:xfrm>
                          <a:off x="0" y="0"/>
                          <a:ext cx="5311140" cy="13335"/>
                        </a:xfrm>
                        <a:custGeom>
                          <a:avLst/>
                          <a:gdLst/>
                          <a:ahLst/>
                          <a:cxnLst/>
                          <a:pathLst>
                            <a:path w="8364" h="20">
                              <a:moveTo>
                                <a:pt x="0" y="10"/>
                              </a:moveTo>
                              <a:lnTo>
                                <a:pt x="8363" y="10"/>
                              </a:lnTo>
                            </a:path>
                          </a:pathLst>
                        </a:custGeom>
                        <a:noFill/>
                        <a:ln w="12700" cap="flat" cmpd="sng">
                          <a:solidFill>
                            <a:srgbClr val="000000"/>
                          </a:solidFill>
                          <a:prstDash val="solid"/>
                          <a:miter lim="1000000"/>
                          <a:headEnd type="none" w="med" len="med"/>
                          <a:tailEnd type="none" w="med" len="med"/>
                        </a:ln>
                      </wps:spPr>
                      <wps:bodyPr upright="1"/>
                    </wps:wsp>
                  </a:graphicData>
                </a:graphic>
              </wp:anchor>
            </w:drawing>
          </mc:Choice>
          <mc:Fallback>
            <w:pict>
              <v:shape id="_x0000_s1026" o:spid="_x0000_s1026" o:spt="100" style="position:absolute;left:0pt;margin-left:11.85pt;margin-top:3.9pt;height:1.05pt;width:418.2pt;z-index:251663360;mso-width-relative:page;mso-height-relative:page;" filled="f" stroked="t" coordsize="8364,20" o:gfxdata="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OK3bC1QAAAAYBAAAPAAAAAAAAAAEAIAAAACIA&#10;AABkcnMvZG93bnJldi54bWxQSwECFAAUAAAACACHTuJAp12xjEUCAACoBAAADgAAAAAAAAABACAA&#10;AAAkAQAAZHJzL2Uyb0RvYy54bWxQSwUGAAAAAAYABgBZAQAA2wUAAAAA&#10;" path="m0,10l8363,10e">
                <v:fill on="f" focussize="0,0"/>
                <v:stroke weight="1pt" color="#000000" miterlimit="10" joinstyle="miter"/>
                <v:imagedata o:title=""/>
                <o:lock v:ext="edit" aspectratio="f"/>
              </v:shape>
            </w:pict>
          </mc:Fallback>
        </mc:AlternateContent>
      </w:r>
    </w:p>
    <w:p w14:paraId="4B3F1ED4">
      <w:pPr>
        <w:keepNext w:val="0"/>
        <w:keepLines w:val="0"/>
        <w:pageBreakBefore w:val="0"/>
        <w:widowControl w:val="0"/>
        <w:kinsoku/>
        <w:wordWrap/>
        <w:overflowPunct/>
        <w:topLinePunct w:val="0"/>
        <w:autoSpaceDE/>
        <w:autoSpaceDN/>
        <w:bidi w:val="0"/>
        <w:adjustRightInd/>
        <w:snapToGrid/>
        <w:spacing w:line="400" w:lineRule="exact"/>
        <w:ind w:left="265" w:right="401" w:firstLine="481"/>
        <w:jc w:val="both"/>
        <w:textAlignment w:val="auto"/>
        <w:rPr>
          <w:rFonts w:ascii="宋体" w:hAnsi="宋体" w:eastAsia="宋体" w:cs="宋体"/>
          <w:color w:val="auto"/>
          <w:sz w:val="21"/>
          <w:szCs w:val="21"/>
        </w:rPr>
      </w:pPr>
      <w:r>
        <w:rPr>
          <w:rFonts w:ascii="宋体" w:hAnsi="宋体" w:eastAsia="宋体" w:cs="宋体"/>
          <w:color w:val="auto"/>
          <w:sz w:val="21"/>
          <w:szCs w:val="21"/>
        </w:rPr>
        <w:t>本合同由甲乙双方根据《中华人民共和国政府采</w:t>
      </w:r>
      <w:r>
        <w:rPr>
          <w:rFonts w:ascii="宋体" w:hAnsi="宋体" w:eastAsia="宋体" w:cs="宋体"/>
          <w:color w:val="auto"/>
          <w:spacing w:val="-1"/>
          <w:sz w:val="21"/>
          <w:szCs w:val="21"/>
        </w:rPr>
        <w:t>购法》《中华人民共和国</w:t>
      </w:r>
      <w:r>
        <w:rPr>
          <w:rFonts w:ascii="宋体" w:hAnsi="宋体" w:eastAsia="宋体" w:cs="宋体"/>
          <w:color w:val="auto"/>
          <w:sz w:val="21"/>
          <w:szCs w:val="21"/>
        </w:rPr>
        <w:t>政府采购法实施条例》《中华人民共和国民法典》等相关</w:t>
      </w:r>
      <w:r>
        <w:rPr>
          <w:rFonts w:ascii="宋体" w:hAnsi="宋体" w:eastAsia="宋体" w:cs="宋体"/>
          <w:color w:val="auto"/>
          <w:spacing w:val="-1"/>
          <w:sz w:val="21"/>
          <w:szCs w:val="21"/>
        </w:rPr>
        <w:t>法律法规规定，按平</w:t>
      </w:r>
      <w:r>
        <w:rPr>
          <w:rFonts w:ascii="宋体" w:hAnsi="宋体" w:eastAsia="宋体" w:cs="宋体"/>
          <w:color w:val="auto"/>
          <w:sz w:val="21"/>
          <w:szCs w:val="21"/>
        </w:rPr>
        <w:t>等、自愿、诚实信用的原则拟定，甲、乙双方均应遵守法</w:t>
      </w:r>
      <w:r>
        <w:rPr>
          <w:rFonts w:ascii="宋体" w:hAnsi="宋体" w:eastAsia="宋体" w:cs="宋体"/>
          <w:color w:val="auto"/>
          <w:spacing w:val="-1"/>
          <w:sz w:val="21"/>
          <w:szCs w:val="21"/>
        </w:rPr>
        <w:t>律规定和合同约定，</w:t>
      </w:r>
      <w:r>
        <w:rPr>
          <w:rFonts w:ascii="宋体" w:hAnsi="宋体" w:eastAsia="宋体" w:cs="宋体"/>
          <w:color w:val="auto"/>
          <w:spacing w:val="-3"/>
          <w:sz w:val="21"/>
          <w:szCs w:val="21"/>
        </w:rPr>
        <w:t>并各自履行应负的全部责任和义务。</w:t>
      </w:r>
    </w:p>
    <w:p w14:paraId="39E1521D">
      <w:pPr>
        <w:keepNext w:val="0"/>
        <w:keepLines w:val="0"/>
        <w:pageBreakBefore w:val="0"/>
        <w:widowControl w:val="0"/>
        <w:kinsoku/>
        <w:wordWrap/>
        <w:overflowPunct/>
        <w:topLinePunct w:val="0"/>
        <w:autoSpaceDE/>
        <w:autoSpaceDN/>
        <w:bidi w:val="0"/>
        <w:adjustRightInd/>
        <w:snapToGrid/>
        <w:spacing w:line="400" w:lineRule="exact"/>
        <w:ind w:left="750"/>
        <w:textAlignment w:val="auto"/>
        <w:rPr>
          <w:rFonts w:ascii="宋体" w:hAnsi="宋体" w:eastAsia="宋体" w:cs="宋体"/>
          <w:color w:val="auto"/>
          <w:sz w:val="21"/>
          <w:szCs w:val="21"/>
        </w:rPr>
      </w:pPr>
      <w:r>
        <w:rPr>
          <w:rFonts w:ascii="宋体" w:hAnsi="宋体" w:eastAsia="宋体" w:cs="宋体"/>
          <w:b/>
          <w:bCs/>
          <w:color w:val="auto"/>
          <w:spacing w:val="-4"/>
          <w:sz w:val="21"/>
          <w:szCs w:val="21"/>
        </w:rPr>
        <w:t>一、</w:t>
      </w:r>
      <w:r>
        <w:rPr>
          <w:rFonts w:ascii="宋体" w:hAnsi="宋体" w:eastAsia="宋体" w:cs="宋体"/>
          <w:color w:val="auto"/>
          <w:spacing w:val="-4"/>
          <w:sz w:val="21"/>
          <w:szCs w:val="21"/>
        </w:rPr>
        <w:t xml:space="preserve">  </w:t>
      </w:r>
      <w:r>
        <w:rPr>
          <w:rFonts w:ascii="宋体" w:hAnsi="宋体" w:eastAsia="宋体" w:cs="宋体"/>
          <w:b/>
          <w:bCs/>
          <w:color w:val="auto"/>
          <w:spacing w:val="-4"/>
          <w:sz w:val="21"/>
          <w:szCs w:val="21"/>
        </w:rPr>
        <w:t>项目基本情况</w:t>
      </w:r>
    </w:p>
    <w:p w14:paraId="6E72E3C4">
      <w:pPr>
        <w:keepNext w:val="0"/>
        <w:keepLines w:val="0"/>
        <w:pageBreakBefore w:val="0"/>
        <w:widowControl w:val="0"/>
        <w:kinsoku/>
        <w:wordWrap/>
        <w:overflowPunct/>
        <w:topLinePunct w:val="0"/>
        <w:autoSpaceDE/>
        <w:autoSpaceDN/>
        <w:bidi w:val="0"/>
        <w:adjustRightInd/>
        <w:snapToGrid/>
        <w:spacing w:line="400" w:lineRule="exact"/>
        <w:ind w:left="1311"/>
        <w:textAlignment w:val="auto"/>
        <w:rPr>
          <w:rFonts w:ascii="宋体" w:hAnsi="宋体" w:eastAsia="宋体" w:cs="宋体"/>
          <w:color w:val="auto"/>
          <w:sz w:val="21"/>
          <w:szCs w:val="21"/>
        </w:rPr>
      </w:pPr>
      <w:r>
        <w:rPr>
          <w:rFonts w:ascii="宋体" w:hAnsi="宋体" w:eastAsia="宋体" w:cs="宋体"/>
          <w:color w:val="auto"/>
          <w:spacing w:val="-9"/>
          <w:sz w:val="21"/>
          <w:szCs w:val="21"/>
        </w:rPr>
        <w:t>1．项目名称：</w:t>
      </w:r>
      <w:r>
        <w:rPr>
          <w:rFonts w:ascii="宋体" w:hAnsi="宋体" w:eastAsia="宋体" w:cs="宋体"/>
          <w:color w:val="auto"/>
          <w:spacing w:val="9"/>
          <w:sz w:val="21"/>
          <w:szCs w:val="21"/>
          <w:u w:val="single" w:color="auto"/>
        </w:rPr>
        <w:t xml:space="preserve">        </w:t>
      </w:r>
      <w:r>
        <w:rPr>
          <w:rFonts w:ascii="宋体" w:hAnsi="宋体" w:eastAsia="宋体" w:cs="宋体"/>
          <w:i/>
          <w:iCs/>
          <w:color w:val="auto"/>
          <w:spacing w:val="-9"/>
          <w:sz w:val="21"/>
          <w:szCs w:val="21"/>
          <w:u w:val="single" w:color="auto"/>
        </w:rPr>
        <w:t>(见</w:t>
      </w:r>
      <w:r>
        <w:rPr>
          <w:rFonts w:hint="eastAsia" w:ascii="宋体" w:hAnsi="宋体" w:eastAsia="宋体" w:cs="宋体"/>
          <w:i/>
          <w:iCs/>
          <w:color w:val="auto"/>
          <w:spacing w:val="-9"/>
          <w:sz w:val="21"/>
          <w:szCs w:val="21"/>
          <w:u w:val="single" w:color="auto"/>
          <w:lang w:eastAsia="zh-CN"/>
        </w:rPr>
        <w:t>招标文件</w:t>
      </w:r>
      <w:r>
        <w:rPr>
          <w:rFonts w:ascii="宋体" w:hAnsi="宋体" w:eastAsia="宋体" w:cs="宋体"/>
          <w:i/>
          <w:iCs/>
          <w:color w:val="auto"/>
          <w:spacing w:val="-9"/>
          <w:sz w:val="21"/>
          <w:szCs w:val="21"/>
          <w:u w:val="single" w:color="auto"/>
        </w:rPr>
        <w:t>)</w:t>
      </w:r>
      <w:r>
        <w:rPr>
          <w:rFonts w:ascii="宋体" w:hAnsi="宋体" w:eastAsia="宋体" w:cs="宋体"/>
          <w:color w:val="auto"/>
          <w:sz w:val="21"/>
          <w:szCs w:val="21"/>
          <w:u w:val="single" w:color="auto"/>
        </w:rPr>
        <w:t xml:space="preserve">               </w:t>
      </w:r>
    </w:p>
    <w:p w14:paraId="61799BA5">
      <w:pPr>
        <w:keepNext w:val="0"/>
        <w:keepLines w:val="0"/>
        <w:pageBreakBefore w:val="0"/>
        <w:widowControl w:val="0"/>
        <w:kinsoku/>
        <w:wordWrap/>
        <w:overflowPunct/>
        <w:topLinePunct w:val="0"/>
        <w:autoSpaceDE/>
        <w:autoSpaceDN/>
        <w:bidi w:val="0"/>
        <w:adjustRightInd/>
        <w:snapToGrid/>
        <w:spacing w:line="400" w:lineRule="exact"/>
        <w:ind w:left="1296"/>
        <w:textAlignment w:val="auto"/>
        <w:rPr>
          <w:rFonts w:ascii="宋体" w:hAnsi="宋体" w:eastAsia="宋体" w:cs="宋体"/>
          <w:color w:val="auto"/>
          <w:sz w:val="21"/>
          <w:szCs w:val="21"/>
        </w:rPr>
      </w:pPr>
      <w:r>
        <w:rPr>
          <w:rFonts w:ascii="宋体" w:hAnsi="宋体" w:eastAsia="宋体" w:cs="宋体"/>
          <w:color w:val="auto"/>
          <w:spacing w:val="-8"/>
          <w:sz w:val="21"/>
          <w:szCs w:val="21"/>
        </w:rPr>
        <w:t>2．项目编号：</w:t>
      </w:r>
      <w:r>
        <w:rPr>
          <w:rFonts w:ascii="宋体" w:hAnsi="宋体" w:eastAsia="宋体" w:cs="宋体"/>
          <w:color w:val="auto"/>
          <w:spacing w:val="7"/>
          <w:sz w:val="21"/>
          <w:szCs w:val="21"/>
          <w:u w:val="single" w:color="auto"/>
        </w:rPr>
        <w:t xml:space="preserve">         </w:t>
      </w:r>
      <w:r>
        <w:rPr>
          <w:rFonts w:ascii="宋体" w:hAnsi="宋体" w:eastAsia="宋体" w:cs="宋体"/>
          <w:i/>
          <w:iCs/>
          <w:color w:val="auto"/>
          <w:spacing w:val="-8"/>
          <w:sz w:val="21"/>
          <w:szCs w:val="21"/>
          <w:u w:val="single" w:color="auto"/>
        </w:rPr>
        <w:t>(见</w:t>
      </w:r>
      <w:r>
        <w:rPr>
          <w:rFonts w:hint="eastAsia" w:ascii="宋体" w:hAnsi="宋体" w:eastAsia="宋体" w:cs="宋体"/>
          <w:i/>
          <w:iCs/>
          <w:color w:val="auto"/>
          <w:spacing w:val="-8"/>
          <w:sz w:val="21"/>
          <w:szCs w:val="21"/>
          <w:u w:val="single" w:color="auto"/>
          <w:lang w:eastAsia="zh-CN"/>
        </w:rPr>
        <w:t>招标文件</w:t>
      </w:r>
      <w:r>
        <w:rPr>
          <w:rFonts w:ascii="宋体" w:hAnsi="宋体" w:eastAsia="宋体" w:cs="宋体"/>
          <w:i/>
          <w:iCs/>
          <w:color w:val="auto"/>
          <w:spacing w:val="-8"/>
          <w:sz w:val="21"/>
          <w:szCs w:val="21"/>
          <w:u w:val="single" w:color="auto"/>
        </w:rPr>
        <w:t>)</w:t>
      </w:r>
      <w:r>
        <w:rPr>
          <w:rFonts w:ascii="宋体" w:hAnsi="宋体" w:eastAsia="宋体" w:cs="宋体"/>
          <w:color w:val="auto"/>
          <w:sz w:val="21"/>
          <w:szCs w:val="21"/>
          <w:u w:val="single" w:color="auto"/>
        </w:rPr>
        <w:t xml:space="preserve">             </w:t>
      </w:r>
    </w:p>
    <w:p w14:paraId="1CF480DB">
      <w:pPr>
        <w:keepNext w:val="0"/>
        <w:keepLines w:val="0"/>
        <w:pageBreakBefore w:val="0"/>
        <w:widowControl w:val="0"/>
        <w:kinsoku/>
        <w:wordWrap/>
        <w:overflowPunct/>
        <w:topLinePunct w:val="0"/>
        <w:autoSpaceDE/>
        <w:autoSpaceDN/>
        <w:bidi w:val="0"/>
        <w:adjustRightInd/>
        <w:snapToGrid/>
        <w:spacing w:line="400" w:lineRule="exact"/>
        <w:ind w:left="1298"/>
        <w:textAlignment w:val="auto"/>
        <w:rPr>
          <w:rFonts w:ascii="宋体" w:hAnsi="宋体" w:eastAsia="宋体" w:cs="宋体"/>
          <w:color w:val="auto"/>
          <w:sz w:val="21"/>
          <w:szCs w:val="21"/>
        </w:rPr>
      </w:pPr>
      <w:r>
        <w:rPr>
          <w:rFonts w:ascii="宋体" w:hAnsi="宋体" w:eastAsia="宋体" w:cs="宋体"/>
          <w:color w:val="auto"/>
          <w:spacing w:val="-6"/>
          <w:sz w:val="21"/>
          <w:szCs w:val="21"/>
        </w:rPr>
        <w:t>3．政府采购计划备案号：</w:t>
      </w:r>
      <w:r>
        <w:rPr>
          <w:rFonts w:ascii="宋体" w:hAnsi="宋体" w:eastAsia="宋体" w:cs="宋体"/>
          <w:color w:val="auto"/>
          <w:spacing w:val="108"/>
          <w:sz w:val="21"/>
          <w:szCs w:val="21"/>
          <w:u w:val="single" w:color="auto"/>
        </w:rPr>
        <w:t xml:space="preserve"> </w:t>
      </w:r>
      <w:r>
        <w:rPr>
          <w:rFonts w:ascii="宋体" w:hAnsi="宋体" w:eastAsia="宋体" w:cs="宋体"/>
          <w:i/>
          <w:iCs/>
          <w:color w:val="auto"/>
          <w:spacing w:val="-6"/>
          <w:sz w:val="21"/>
          <w:szCs w:val="21"/>
          <w:u w:val="single" w:color="auto"/>
        </w:rPr>
        <w:t>(见</w:t>
      </w:r>
      <w:r>
        <w:rPr>
          <w:rFonts w:hint="eastAsia" w:ascii="宋体" w:hAnsi="宋体" w:eastAsia="宋体" w:cs="宋体"/>
          <w:i/>
          <w:iCs/>
          <w:color w:val="auto"/>
          <w:spacing w:val="-6"/>
          <w:sz w:val="21"/>
          <w:szCs w:val="21"/>
          <w:u w:val="single" w:color="auto"/>
          <w:lang w:eastAsia="zh-CN"/>
        </w:rPr>
        <w:t>招标文件</w:t>
      </w:r>
      <w:r>
        <w:rPr>
          <w:rFonts w:ascii="宋体" w:hAnsi="宋体" w:eastAsia="宋体" w:cs="宋体"/>
          <w:i/>
          <w:iCs/>
          <w:color w:val="auto"/>
          <w:spacing w:val="-6"/>
          <w:sz w:val="21"/>
          <w:szCs w:val="21"/>
          <w:u w:val="single" w:color="auto"/>
        </w:rPr>
        <w:t>)</w:t>
      </w:r>
      <w:r>
        <w:rPr>
          <w:rFonts w:ascii="宋体" w:hAnsi="宋体" w:eastAsia="宋体" w:cs="宋体"/>
          <w:color w:val="auto"/>
          <w:sz w:val="21"/>
          <w:szCs w:val="21"/>
          <w:u w:val="single" w:color="auto"/>
        </w:rPr>
        <w:t xml:space="preserve">            </w:t>
      </w:r>
    </w:p>
    <w:p w14:paraId="54CDCC6B">
      <w:pPr>
        <w:keepNext w:val="0"/>
        <w:keepLines w:val="0"/>
        <w:pageBreakBefore w:val="0"/>
        <w:widowControl w:val="0"/>
        <w:kinsoku/>
        <w:wordWrap/>
        <w:overflowPunct/>
        <w:topLinePunct w:val="0"/>
        <w:autoSpaceDE/>
        <w:autoSpaceDN/>
        <w:bidi w:val="0"/>
        <w:adjustRightInd/>
        <w:snapToGrid/>
        <w:spacing w:line="400" w:lineRule="exact"/>
        <w:ind w:left="1292"/>
        <w:textAlignment w:val="auto"/>
        <w:rPr>
          <w:rFonts w:ascii="宋体" w:hAnsi="宋体" w:eastAsia="宋体" w:cs="宋体"/>
          <w:color w:val="auto"/>
          <w:sz w:val="21"/>
          <w:szCs w:val="21"/>
        </w:rPr>
      </w:pPr>
      <w:r>
        <w:rPr>
          <w:rFonts w:ascii="宋体" w:hAnsi="宋体" w:eastAsia="宋体" w:cs="宋体"/>
          <w:color w:val="auto"/>
          <w:spacing w:val="-8"/>
          <w:sz w:val="21"/>
          <w:szCs w:val="21"/>
        </w:rPr>
        <w:t>4．项目概况：</w:t>
      </w:r>
      <w:r>
        <w:rPr>
          <w:rFonts w:ascii="宋体" w:hAnsi="宋体" w:eastAsia="宋体" w:cs="宋体"/>
          <w:color w:val="auto"/>
          <w:spacing w:val="4"/>
          <w:sz w:val="21"/>
          <w:szCs w:val="21"/>
          <w:u w:val="single" w:color="auto"/>
        </w:rPr>
        <w:t xml:space="preserve">             </w:t>
      </w:r>
      <w:r>
        <w:rPr>
          <w:rFonts w:ascii="宋体" w:hAnsi="宋体" w:eastAsia="宋体" w:cs="宋体"/>
          <w:i/>
          <w:iCs/>
          <w:color w:val="auto"/>
          <w:spacing w:val="-8"/>
          <w:sz w:val="21"/>
          <w:szCs w:val="21"/>
          <w:u w:val="single" w:color="auto"/>
        </w:rPr>
        <w:t>(见</w:t>
      </w:r>
      <w:r>
        <w:rPr>
          <w:rFonts w:hint="eastAsia" w:ascii="宋体" w:hAnsi="宋体" w:eastAsia="宋体" w:cs="宋体"/>
          <w:i/>
          <w:iCs/>
          <w:color w:val="auto"/>
          <w:spacing w:val="-8"/>
          <w:sz w:val="21"/>
          <w:szCs w:val="21"/>
          <w:u w:val="single" w:color="auto"/>
          <w:lang w:eastAsia="zh-CN"/>
        </w:rPr>
        <w:t>招标文件</w:t>
      </w:r>
      <w:r>
        <w:rPr>
          <w:rFonts w:ascii="宋体" w:hAnsi="宋体" w:eastAsia="宋体" w:cs="宋体"/>
          <w:i/>
          <w:iCs/>
          <w:color w:val="auto"/>
          <w:spacing w:val="-8"/>
          <w:sz w:val="21"/>
          <w:szCs w:val="21"/>
          <w:u w:val="single" w:color="auto"/>
        </w:rPr>
        <w:t>)</w:t>
      </w:r>
      <w:r>
        <w:rPr>
          <w:rFonts w:ascii="宋体" w:hAnsi="宋体" w:eastAsia="宋体" w:cs="宋体"/>
          <w:color w:val="auto"/>
          <w:sz w:val="21"/>
          <w:szCs w:val="21"/>
          <w:u w:val="single" w:color="auto"/>
        </w:rPr>
        <w:t xml:space="preserve">          </w:t>
      </w:r>
    </w:p>
    <w:p w14:paraId="0757BE52">
      <w:pPr>
        <w:keepNext w:val="0"/>
        <w:keepLines w:val="0"/>
        <w:pageBreakBefore w:val="0"/>
        <w:widowControl w:val="0"/>
        <w:kinsoku/>
        <w:wordWrap/>
        <w:overflowPunct/>
        <w:topLinePunct w:val="0"/>
        <w:autoSpaceDE/>
        <w:autoSpaceDN/>
        <w:bidi w:val="0"/>
        <w:adjustRightInd/>
        <w:snapToGrid/>
        <w:spacing w:line="400" w:lineRule="exact"/>
        <w:ind w:left="750"/>
        <w:textAlignment w:val="auto"/>
        <w:rPr>
          <w:rFonts w:ascii="宋体" w:hAnsi="宋体" w:eastAsia="宋体" w:cs="宋体"/>
          <w:color w:val="auto"/>
          <w:sz w:val="21"/>
          <w:szCs w:val="21"/>
        </w:rPr>
      </w:pPr>
      <w:r>
        <w:rPr>
          <w:rFonts w:ascii="宋体" w:hAnsi="宋体" w:eastAsia="宋体" w:cs="宋体"/>
          <w:b/>
          <w:bCs/>
          <w:color w:val="auto"/>
          <w:spacing w:val="-4"/>
          <w:sz w:val="21"/>
          <w:szCs w:val="21"/>
        </w:rPr>
        <w:t>二、</w:t>
      </w:r>
      <w:r>
        <w:rPr>
          <w:rFonts w:ascii="宋体" w:hAnsi="宋体" w:eastAsia="宋体" w:cs="宋体"/>
          <w:color w:val="auto"/>
          <w:spacing w:val="-4"/>
          <w:sz w:val="21"/>
          <w:szCs w:val="21"/>
        </w:rPr>
        <w:t xml:space="preserve">  </w:t>
      </w:r>
      <w:r>
        <w:rPr>
          <w:rFonts w:ascii="宋体" w:hAnsi="宋体" w:eastAsia="宋体" w:cs="宋体"/>
          <w:b/>
          <w:bCs/>
          <w:color w:val="auto"/>
          <w:spacing w:val="-4"/>
          <w:sz w:val="21"/>
          <w:szCs w:val="21"/>
        </w:rPr>
        <w:t>标的名称、数量（规模）</w:t>
      </w:r>
    </w:p>
    <w:p w14:paraId="0955A782">
      <w:pPr>
        <w:keepNext w:val="0"/>
        <w:keepLines w:val="0"/>
        <w:pageBreakBefore w:val="0"/>
        <w:widowControl w:val="0"/>
        <w:kinsoku/>
        <w:wordWrap/>
        <w:overflowPunct/>
        <w:topLinePunct w:val="0"/>
        <w:autoSpaceDE/>
        <w:autoSpaceDN/>
        <w:bidi w:val="0"/>
        <w:adjustRightInd/>
        <w:snapToGrid/>
        <w:spacing w:line="400" w:lineRule="exact"/>
        <w:textAlignment w:val="auto"/>
        <w:rPr>
          <w:color w:val="auto"/>
          <w:sz w:val="21"/>
          <w:szCs w:val="21"/>
        </w:rPr>
      </w:pPr>
    </w:p>
    <w:tbl>
      <w:tblPr>
        <w:tblStyle w:val="26"/>
        <w:tblW w:w="8799"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99"/>
        <w:gridCol w:w="2372"/>
        <w:gridCol w:w="1129"/>
        <w:gridCol w:w="653"/>
        <w:gridCol w:w="626"/>
        <w:gridCol w:w="857"/>
        <w:gridCol w:w="1422"/>
        <w:gridCol w:w="1141"/>
      </w:tblGrid>
      <w:tr w14:paraId="4A74ED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24" w:hRule="atLeast"/>
        </w:trPr>
        <w:tc>
          <w:tcPr>
            <w:tcW w:w="599" w:type="dxa"/>
            <w:shd w:val="clear" w:color="auto" w:fill="CDCBCB"/>
            <w:vAlign w:val="top"/>
          </w:tcPr>
          <w:p w14:paraId="40D233C7">
            <w:pPr>
              <w:keepNext w:val="0"/>
              <w:keepLines w:val="0"/>
              <w:pageBreakBefore w:val="0"/>
              <w:widowControl w:val="0"/>
              <w:kinsoku/>
              <w:wordWrap/>
              <w:overflowPunct/>
              <w:topLinePunct w:val="0"/>
              <w:autoSpaceDE/>
              <w:autoSpaceDN/>
              <w:bidi w:val="0"/>
              <w:adjustRightInd/>
              <w:snapToGrid/>
              <w:spacing w:line="400" w:lineRule="exact"/>
              <w:textAlignment w:val="auto"/>
              <w:rPr>
                <w:rFonts w:ascii="Arial"/>
                <w:color w:val="auto"/>
                <w:sz w:val="21"/>
                <w:szCs w:val="21"/>
              </w:rPr>
            </w:pPr>
          </w:p>
          <w:p w14:paraId="1A1EFAC1">
            <w:pPr>
              <w:pStyle w:val="27"/>
              <w:keepNext w:val="0"/>
              <w:keepLines w:val="0"/>
              <w:pageBreakBefore w:val="0"/>
              <w:widowControl w:val="0"/>
              <w:kinsoku/>
              <w:wordWrap/>
              <w:overflowPunct/>
              <w:topLinePunct w:val="0"/>
              <w:autoSpaceDE/>
              <w:autoSpaceDN/>
              <w:bidi w:val="0"/>
              <w:adjustRightInd/>
              <w:snapToGrid/>
              <w:spacing w:line="400" w:lineRule="exact"/>
              <w:ind w:left="53"/>
              <w:textAlignment w:val="auto"/>
              <w:rPr>
                <w:color w:val="auto"/>
                <w:sz w:val="21"/>
                <w:szCs w:val="21"/>
              </w:rPr>
            </w:pPr>
            <w:r>
              <w:rPr>
                <w:b/>
                <w:bCs/>
                <w:color w:val="auto"/>
                <w:spacing w:val="-5"/>
                <w:sz w:val="21"/>
                <w:szCs w:val="21"/>
              </w:rPr>
              <w:t>序号</w:t>
            </w:r>
          </w:p>
        </w:tc>
        <w:tc>
          <w:tcPr>
            <w:tcW w:w="2372" w:type="dxa"/>
            <w:shd w:val="clear" w:color="auto" w:fill="CDCBCB"/>
            <w:vAlign w:val="top"/>
          </w:tcPr>
          <w:p w14:paraId="3FC6D9E7">
            <w:pPr>
              <w:keepNext w:val="0"/>
              <w:keepLines w:val="0"/>
              <w:pageBreakBefore w:val="0"/>
              <w:widowControl w:val="0"/>
              <w:kinsoku/>
              <w:wordWrap/>
              <w:overflowPunct/>
              <w:topLinePunct w:val="0"/>
              <w:autoSpaceDE/>
              <w:autoSpaceDN/>
              <w:bidi w:val="0"/>
              <w:adjustRightInd/>
              <w:snapToGrid/>
              <w:spacing w:line="400" w:lineRule="exact"/>
              <w:textAlignment w:val="auto"/>
              <w:rPr>
                <w:rFonts w:ascii="Arial"/>
                <w:color w:val="auto"/>
                <w:sz w:val="21"/>
                <w:szCs w:val="21"/>
              </w:rPr>
            </w:pPr>
          </w:p>
          <w:p w14:paraId="40D3078F">
            <w:pPr>
              <w:pStyle w:val="27"/>
              <w:keepNext w:val="0"/>
              <w:keepLines w:val="0"/>
              <w:pageBreakBefore w:val="0"/>
              <w:widowControl w:val="0"/>
              <w:kinsoku/>
              <w:wordWrap/>
              <w:overflowPunct/>
              <w:topLinePunct w:val="0"/>
              <w:autoSpaceDE/>
              <w:autoSpaceDN/>
              <w:bidi w:val="0"/>
              <w:adjustRightInd/>
              <w:snapToGrid/>
              <w:spacing w:line="400" w:lineRule="exact"/>
              <w:ind w:left="952"/>
              <w:textAlignment w:val="auto"/>
              <w:rPr>
                <w:color w:val="auto"/>
                <w:sz w:val="21"/>
                <w:szCs w:val="21"/>
              </w:rPr>
            </w:pPr>
            <w:r>
              <w:rPr>
                <w:b/>
                <w:bCs/>
                <w:color w:val="auto"/>
                <w:spacing w:val="-6"/>
                <w:sz w:val="21"/>
                <w:szCs w:val="21"/>
              </w:rPr>
              <w:t>名称</w:t>
            </w:r>
          </w:p>
        </w:tc>
        <w:tc>
          <w:tcPr>
            <w:tcW w:w="1129" w:type="dxa"/>
            <w:shd w:val="clear" w:color="auto" w:fill="CDCBCB"/>
            <w:vAlign w:val="top"/>
          </w:tcPr>
          <w:p w14:paraId="765DDF45">
            <w:pPr>
              <w:pStyle w:val="27"/>
              <w:keepNext w:val="0"/>
              <w:keepLines w:val="0"/>
              <w:pageBreakBefore w:val="0"/>
              <w:widowControl w:val="0"/>
              <w:kinsoku/>
              <w:wordWrap/>
              <w:overflowPunct/>
              <w:topLinePunct w:val="0"/>
              <w:autoSpaceDE/>
              <w:autoSpaceDN/>
              <w:bidi w:val="0"/>
              <w:adjustRightInd/>
              <w:snapToGrid/>
              <w:spacing w:line="400" w:lineRule="exact"/>
              <w:ind w:left="339" w:right="65" w:hanging="227"/>
              <w:textAlignment w:val="auto"/>
              <w:rPr>
                <w:color w:val="auto"/>
                <w:sz w:val="21"/>
                <w:szCs w:val="21"/>
              </w:rPr>
            </w:pPr>
            <w:r>
              <w:rPr>
                <w:b/>
                <w:bCs/>
                <w:color w:val="auto"/>
                <w:spacing w:val="-10"/>
                <w:sz w:val="21"/>
                <w:szCs w:val="21"/>
              </w:rPr>
              <w:t>品牌规格</w:t>
            </w:r>
            <w:r>
              <w:rPr>
                <w:b/>
                <w:bCs/>
                <w:color w:val="auto"/>
                <w:spacing w:val="-7"/>
                <w:sz w:val="21"/>
                <w:szCs w:val="21"/>
              </w:rPr>
              <w:t>型号</w:t>
            </w:r>
          </w:p>
        </w:tc>
        <w:tc>
          <w:tcPr>
            <w:tcW w:w="653" w:type="dxa"/>
            <w:shd w:val="clear" w:color="auto" w:fill="CDCBCB"/>
            <w:vAlign w:val="top"/>
          </w:tcPr>
          <w:p w14:paraId="371CF13D">
            <w:pPr>
              <w:keepNext w:val="0"/>
              <w:keepLines w:val="0"/>
              <w:pageBreakBefore w:val="0"/>
              <w:widowControl w:val="0"/>
              <w:kinsoku/>
              <w:wordWrap/>
              <w:overflowPunct/>
              <w:topLinePunct w:val="0"/>
              <w:autoSpaceDE/>
              <w:autoSpaceDN/>
              <w:bidi w:val="0"/>
              <w:adjustRightInd/>
              <w:snapToGrid/>
              <w:spacing w:line="400" w:lineRule="exact"/>
              <w:textAlignment w:val="auto"/>
              <w:rPr>
                <w:rFonts w:ascii="Arial"/>
                <w:color w:val="auto"/>
                <w:sz w:val="21"/>
                <w:szCs w:val="21"/>
              </w:rPr>
            </w:pPr>
          </w:p>
          <w:p w14:paraId="05334AC9">
            <w:pPr>
              <w:pStyle w:val="27"/>
              <w:keepNext w:val="0"/>
              <w:keepLines w:val="0"/>
              <w:pageBreakBefore w:val="0"/>
              <w:widowControl w:val="0"/>
              <w:kinsoku/>
              <w:wordWrap/>
              <w:overflowPunct/>
              <w:topLinePunct w:val="0"/>
              <w:autoSpaceDE/>
              <w:autoSpaceDN/>
              <w:bidi w:val="0"/>
              <w:adjustRightInd/>
              <w:snapToGrid/>
              <w:spacing w:line="400" w:lineRule="exact"/>
              <w:ind w:left="99"/>
              <w:textAlignment w:val="auto"/>
              <w:rPr>
                <w:color w:val="auto"/>
                <w:sz w:val="21"/>
                <w:szCs w:val="21"/>
              </w:rPr>
            </w:pPr>
            <w:r>
              <w:rPr>
                <w:b/>
                <w:bCs/>
                <w:color w:val="auto"/>
                <w:spacing w:val="-6"/>
                <w:sz w:val="21"/>
                <w:szCs w:val="21"/>
              </w:rPr>
              <w:t>数量</w:t>
            </w:r>
          </w:p>
        </w:tc>
        <w:tc>
          <w:tcPr>
            <w:tcW w:w="626" w:type="dxa"/>
            <w:shd w:val="clear" w:color="auto" w:fill="CDCBCB"/>
            <w:vAlign w:val="top"/>
          </w:tcPr>
          <w:p w14:paraId="5391C0F7">
            <w:pPr>
              <w:keepNext w:val="0"/>
              <w:keepLines w:val="0"/>
              <w:pageBreakBefore w:val="0"/>
              <w:widowControl w:val="0"/>
              <w:kinsoku/>
              <w:wordWrap/>
              <w:overflowPunct/>
              <w:topLinePunct w:val="0"/>
              <w:autoSpaceDE/>
              <w:autoSpaceDN/>
              <w:bidi w:val="0"/>
              <w:adjustRightInd/>
              <w:snapToGrid/>
              <w:spacing w:line="400" w:lineRule="exact"/>
              <w:textAlignment w:val="auto"/>
              <w:rPr>
                <w:rFonts w:ascii="Arial"/>
                <w:color w:val="auto"/>
                <w:sz w:val="21"/>
                <w:szCs w:val="21"/>
              </w:rPr>
            </w:pPr>
          </w:p>
          <w:p w14:paraId="303ED0FF">
            <w:pPr>
              <w:pStyle w:val="27"/>
              <w:keepNext w:val="0"/>
              <w:keepLines w:val="0"/>
              <w:pageBreakBefore w:val="0"/>
              <w:widowControl w:val="0"/>
              <w:kinsoku/>
              <w:wordWrap/>
              <w:overflowPunct/>
              <w:topLinePunct w:val="0"/>
              <w:autoSpaceDE/>
              <w:autoSpaceDN/>
              <w:bidi w:val="0"/>
              <w:adjustRightInd/>
              <w:snapToGrid/>
              <w:spacing w:line="400" w:lineRule="exact"/>
              <w:ind w:left="87"/>
              <w:textAlignment w:val="auto"/>
              <w:rPr>
                <w:color w:val="auto"/>
                <w:sz w:val="21"/>
                <w:szCs w:val="21"/>
              </w:rPr>
            </w:pPr>
            <w:r>
              <w:rPr>
                <w:b/>
                <w:bCs/>
                <w:color w:val="auto"/>
                <w:spacing w:val="-6"/>
                <w:sz w:val="21"/>
                <w:szCs w:val="21"/>
              </w:rPr>
              <w:t>单位</w:t>
            </w:r>
          </w:p>
        </w:tc>
        <w:tc>
          <w:tcPr>
            <w:tcW w:w="857" w:type="dxa"/>
            <w:shd w:val="clear" w:color="auto" w:fill="CDCBCB"/>
            <w:vAlign w:val="top"/>
          </w:tcPr>
          <w:p w14:paraId="2578B858">
            <w:pPr>
              <w:keepNext w:val="0"/>
              <w:keepLines w:val="0"/>
              <w:pageBreakBefore w:val="0"/>
              <w:widowControl w:val="0"/>
              <w:kinsoku/>
              <w:wordWrap/>
              <w:overflowPunct/>
              <w:topLinePunct w:val="0"/>
              <w:autoSpaceDE/>
              <w:autoSpaceDN/>
              <w:bidi w:val="0"/>
              <w:adjustRightInd/>
              <w:snapToGrid/>
              <w:spacing w:line="400" w:lineRule="exact"/>
              <w:textAlignment w:val="auto"/>
              <w:rPr>
                <w:rFonts w:ascii="Arial"/>
                <w:color w:val="auto"/>
                <w:sz w:val="21"/>
                <w:szCs w:val="21"/>
              </w:rPr>
            </w:pPr>
          </w:p>
          <w:p w14:paraId="3AF38E5F">
            <w:pPr>
              <w:pStyle w:val="27"/>
              <w:keepNext w:val="0"/>
              <w:keepLines w:val="0"/>
              <w:pageBreakBefore w:val="0"/>
              <w:widowControl w:val="0"/>
              <w:kinsoku/>
              <w:wordWrap/>
              <w:overflowPunct/>
              <w:topLinePunct w:val="0"/>
              <w:autoSpaceDE/>
              <w:autoSpaceDN/>
              <w:bidi w:val="0"/>
              <w:adjustRightInd/>
              <w:snapToGrid/>
              <w:spacing w:line="400" w:lineRule="exact"/>
              <w:ind w:left="204"/>
              <w:textAlignment w:val="auto"/>
              <w:rPr>
                <w:color w:val="auto"/>
                <w:sz w:val="21"/>
                <w:szCs w:val="21"/>
              </w:rPr>
            </w:pPr>
            <w:r>
              <w:rPr>
                <w:b/>
                <w:bCs/>
                <w:color w:val="auto"/>
                <w:spacing w:val="-6"/>
                <w:sz w:val="21"/>
                <w:szCs w:val="21"/>
              </w:rPr>
              <w:t>单价</w:t>
            </w:r>
          </w:p>
        </w:tc>
        <w:tc>
          <w:tcPr>
            <w:tcW w:w="1422" w:type="dxa"/>
            <w:shd w:val="clear" w:color="auto" w:fill="CDCBCB"/>
            <w:vAlign w:val="top"/>
          </w:tcPr>
          <w:p w14:paraId="5D29CCBB">
            <w:pPr>
              <w:pStyle w:val="27"/>
              <w:keepNext w:val="0"/>
              <w:keepLines w:val="0"/>
              <w:pageBreakBefore w:val="0"/>
              <w:widowControl w:val="0"/>
              <w:kinsoku/>
              <w:wordWrap/>
              <w:overflowPunct/>
              <w:topLinePunct w:val="0"/>
              <w:autoSpaceDE/>
              <w:autoSpaceDN/>
              <w:bidi w:val="0"/>
              <w:adjustRightInd/>
              <w:snapToGrid/>
              <w:spacing w:line="400" w:lineRule="exact"/>
              <w:ind w:left="264"/>
              <w:textAlignment w:val="auto"/>
              <w:rPr>
                <w:color w:val="auto"/>
                <w:sz w:val="21"/>
                <w:szCs w:val="21"/>
              </w:rPr>
            </w:pPr>
            <w:r>
              <w:rPr>
                <w:b/>
                <w:bCs/>
                <w:color w:val="auto"/>
                <w:spacing w:val="-5"/>
                <w:sz w:val="21"/>
                <w:szCs w:val="21"/>
              </w:rPr>
              <w:t>分项合计</w:t>
            </w:r>
          </w:p>
        </w:tc>
        <w:tc>
          <w:tcPr>
            <w:tcW w:w="1141" w:type="dxa"/>
            <w:shd w:val="clear" w:color="auto" w:fill="CDCBCB"/>
            <w:vAlign w:val="top"/>
          </w:tcPr>
          <w:p w14:paraId="6499E906">
            <w:pPr>
              <w:pStyle w:val="27"/>
              <w:keepNext w:val="0"/>
              <w:keepLines w:val="0"/>
              <w:pageBreakBefore w:val="0"/>
              <w:widowControl w:val="0"/>
              <w:kinsoku/>
              <w:wordWrap/>
              <w:overflowPunct/>
              <w:topLinePunct w:val="0"/>
              <w:autoSpaceDE/>
              <w:autoSpaceDN/>
              <w:bidi w:val="0"/>
              <w:adjustRightInd/>
              <w:snapToGrid/>
              <w:spacing w:line="400" w:lineRule="exact"/>
              <w:ind w:left="120"/>
              <w:textAlignment w:val="auto"/>
              <w:rPr>
                <w:color w:val="auto"/>
                <w:sz w:val="21"/>
                <w:szCs w:val="21"/>
              </w:rPr>
            </w:pPr>
            <w:r>
              <w:rPr>
                <w:b/>
                <w:bCs/>
                <w:color w:val="auto"/>
                <w:spacing w:val="-5"/>
                <w:sz w:val="21"/>
                <w:szCs w:val="21"/>
              </w:rPr>
              <w:t>制造厂家</w:t>
            </w:r>
          </w:p>
          <w:p w14:paraId="40565DE1">
            <w:pPr>
              <w:pStyle w:val="27"/>
              <w:keepNext w:val="0"/>
              <w:keepLines w:val="0"/>
              <w:pageBreakBefore w:val="0"/>
              <w:widowControl w:val="0"/>
              <w:kinsoku/>
              <w:wordWrap/>
              <w:overflowPunct/>
              <w:topLinePunct w:val="0"/>
              <w:autoSpaceDE/>
              <w:autoSpaceDN/>
              <w:bidi w:val="0"/>
              <w:adjustRightInd/>
              <w:snapToGrid/>
              <w:spacing w:line="400" w:lineRule="exact"/>
              <w:ind w:left="126"/>
              <w:textAlignment w:val="auto"/>
              <w:rPr>
                <w:color w:val="auto"/>
                <w:sz w:val="21"/>
                <w:szCs w:val="21"/>
              </w:rPr>
            </w:pPr>
            <w:r>
              <w:rPr>
                <w:b/>
                <w:bCs/>
                <w:color w:val="auto"/>
                <w:spacing w:val="-9"/>
                <w:sz w:val="21"/>
                <w:szCs w:val="21"/>
              </w:rPr>
              <w:t>（全称）</w:t>
            </w:r>
          </w:p>
        </w:tc>
      </w:tr>
      <w:tr w14:paraId="039F55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0" w:hRule="atLeast"/>
        </w:trPr>
        <w:tc>
          <w:tcPr>
            <w:tcW w:w="599" w:type="dxa"/>
            <w:vAlign w:val="top"/>
          </w:tcPr>
          <w:p w14:paraId="6F4B0894">
            <w:pPr>
              <w:pStyle w:val="27"/>
              <w:keepNext w:val="0"/>
              <w:keepLines w:val="0"/>
              <w:pageBreakBefore w:val="0"/>
              <w:widowControl w:val="0"/>
              <w:kinsoku/>
              <w:wordWrap/>
              <w:overflowPunct/>
              <w:topLinePunct w:val="0"/>
              <w:autoSpaceDE/>
              <w:autoSpaceDN/>
              <w:bidi w:val="0"/>
              <w:adjustRightInd/>
              <w:snapToGrid/>
              <w:spacing w:line="400" w:lineRule="exact"/>
              <w:ind w:left="261"/>
              <w:textAlignment w:val="auto"/>
              <w:rPr>
                <w:color w:val="auto"/>
                <w:sz w:val="21"/>
                <w:szCs w:val="21"/>
              </w:rPr>
            </w:pPr>
            <w:r>
              <w:rPr>
                <w:b/>
                <w:bCs/>
                <w:color w:val="auto"/>
                <w:spacing w:val="-3"/>
                <w:sz w:val="21"/>
                <w:szCs w:val="21"/>
              </w:rPr>
              <w:t>1</w:t>
            </w:r>
          </w:p>
        </w:tc>
        <w:tc>
          <w:tcPr>
            <w:tcW w:w="2372" w:type="dxa"/>
            <w:vAlign w:val="top"/>
          </w:tcPr>
          <w:p w14:paraId="47E47748">
            <w:pPr>
              <w:pStyle w:val="27"/>
              <w:keepNext w:val="0"/>
              <w:keepLines w:val="0"/>
              <w:pageBreakBefore w:val="0"/>
              <w:widowControl w:val="0"/>
              <w:kinsoku/>
              <w:wordWrap/>
              <w:overflowPunct/>
              <w:topLinePunct w:val="0"/>
              <w:autoSpaceDE/>
              <w:autoSpaceDN/>
              <w:bidi w:val="0"/>
              <w:adjustRightInd/>
              <w:snapToGrid/>
              <w:spacing w:line="400" w:lineRule="exact"/>
              <w:ind w:left="144"/>
              <w:textAlignment w:val="auto"/>
              <w:rPr>
                <w:color w:val="auto"/>
                <w:sz w:val="21"/>
                <w:szCs w:val="21"/>
              </w:rPr>
            </w:pPr>
            <w:r>
              <w:rPr>
                <w:color w:val="auto"/>
                <w:spacing w:val="-2"/>
                <w:sz w:val="21"/>
                <w:szCs w:val="21"/>
              </w:rPr>
              <w:t>货物（服务）名称</w:t>
            </w:r>
            <w:r>
              <w:rPr>
                <w:color w:val="auto"/>
                <w:spacing w:val="-31"/>
                <w:sz w:val="21"/>
                <w:szCs w:val="21"/>
              </w:rPr>
              <w:t xml:space="preserve"> </w:t>
            </w:r>
            <w:r>
              <w:rPr>
                <w:color w:val="auto"/>
                <w:spacing w:val="-2"/>
                <w:sz w:val="21"/>
                <w:szCs w:val="21"/>
              </w:rPr>
              <w:t>1</w:t>
            </w:r>
          </w:p>
        </w:tc>
        <w:tc>
          <w:tcPr>
            <w:tcW w:w="1129" w:type="dxa"/>
            <w:vAlign w:val="top"/>
          </w:tcPr>
          <w:p w14:paraId="64557E89">
            <w:pPr>
              <w:keepNext w:val="0"/>
              <w:keepLines w:val="0"/>
              <w:pageBreakBefore w:val="0"/>
              <w:widowControl w:val="0"/>
              <w:kinsoku/>
              <w:wordWrap/>
              <w:overflowPunct/>
              <w:topLinePunct w:val="0"/>
              <w:autoSpaceDE/>
              <w:autoSpaceDN/>
              <w:bidi w:val="0"/>
              <w:adjustRightInd/>
              <w:snapToGrid/>
              <w:spacing w:line="400" w:lineRule="exact"/>
              <w:textAlignment w:val="auto"/>
              <w:rPr>
                <w:rFonts w:ascii="Arial"/>
                <w:color w:val="auto"/>
                <w:sz w:val="21"/>
                <w:szCs w:val="21"/>
              </w:rPr>
            </w:pPr>
          </w:p>
        </w:tc>
        <w:tc>
          <w:tcPr>
            <w:tcW w:w="653" w:type="dxa"/>
            <w:vAlign w:val="top"/>
          </w:tcPr>
          <w:p w14:paraId="04D68FE7">
            <w:pPr>
              <w:keepNext w:val="0"/>
              <w:keepLines w:val="0"/>
              <w:pageBreakBefore w:val="0"/>
              <w:widowControl w:val="0"/>
              <w:kinsoku/>
              <w:wordWrap/>
              <w:overflowPunct/>
              <w:topLinePunct w:val="0"/>
              <w:autoSpaceDE/>
              <w:autoSpaceDN/>
              <w:bidi w:val="0"/>
              <w:adjustRightInd/>
              <w:snapToGrid/>
              <w:spacing w:line="400" w:lineRule="exact"/>
              <w:textAlignment w:val="auto"/>
              <w:rPr>
                <w:rFonts w:ascii="Arial"/>
                <w:color w:val="auto"/>
                <w:sz w:val="21"/>
                <w:szCs w:val="21"/>
              </w:rPr>
            </w:pPr>
          </w:p>
        </w:tc>
        <w:tc>
          <w:tcPr>
            <w:tcW w:w="626" w:type="dxa"/>
            <w:vAlign w:val="top"/>
          </w:tcPr>
          <w:p w14:paraId="79E8951E">
            <w:pPr>
              <w:keepNext w:val="0"/>
              <w:keepLines w:val="0"/>
              <w:pageBreakBefore w:val="0"/>
              <w:widowControl w:val="0"/>
              <w:kinsoku/>
              <w:wordWrap/>
              <w:overflowPunct/>
              <w:topLinePunct w:val="0"/>
              <w:autoSpaceDE/>
              <w:autoSpaceDN/>
              <w:bidi w:val="0"/>
              <w:adjustRightInd/>
              <w:snapToGrid/>
              <w:spacing w:line="400" w:lineRule="exact"/>
              <w:textAlignment w:val="auto"/>
              <w:rPr>
                <w:rFonts w:ascii="Arial"/>
                <w:color w:val="auto"/>
                <w:sz w:val="21"/>
                <w:szCs w:val="21"/>
              </w:rPr>
            </w:pPr>
          </w:p>
        </w:tc>
        <w:tc>
          <w:tcPr>
            <w:tcW w:w="857" w:type="dxa"/>
            <w:vAlign w:val="top"/>
          </w:tcPr>
          <w:p w14:paraId="020D3E5F">
            <w:pPr>
              <w:keepNext w:val="0"/>
              <w:keepLines w:val="0"/>
              <w:pageBreakBefore w:val="0"/>
              <w:widowControl w:val="0"/>
              <w:kinsoku/>
              <w:wordWrap/>
              <w:overflowPunct/>
              <w:topLinePunct w:val="0"/>
              <w:autoSpaceDE/>
              <w:autoSpaceDN/>
              <w:bidi w:val="0"/>
              <w:adjustRightInd/>
              <w:snapToGrid/>
              <w:spacing w:line="400" w:lineRule="exact"/>
              <w:textAlignment w:val="auto"/>
              <w:rPr>
                <w:rFonts w:ascii="Arial"/>
                <w:color w:val="auto"/>
                <w:sz w:val="21"/>
                <w:szCs w:val="21"/>
              </w:rPr>
            </w:pPr>
          </w:p>
        </w:tc>
        <w:tc>
          <w:tcPr>
            <w:tcW w:w="1422" w:type="dxa"/>
            <w:vAlign w:val="top"/>
          </w:tcPr>
          <w:p w14:paraId="3CE0CD93">
            <w:pPr>
              <w:keepNext w:val="0"/>
              <w:keepLines w:val="0"/>
              <w:pageBreakBefore w:val="0"/>
              <w:widowControl w:val="0"/>
              <w:kinsoku/>
              <w:wordWrap/>
              <w:overflowPunct/>
              <w:topLinePunct w:val="0"/>
              <w:autoSpaceDE/>
              <w:autoSpaceDN/>
              <w:bidi w:val="0"/>
              <w:adjustRightInd/>
              <w:snapToGrid/>
              <w:spacing w:line="400" w:lineRule="exact"/>
              <w:textAlignment w:val="auto"/>
              <w:rPr>
                <w:rFonts w:ascii="Arial"/>
                <w:color w:val="auto"/>
                <w:sz w:val="21"/>
                <w:szCs w:val="21"/>
              </w:rPr>
            </w:pPr>
          </w:p>
        </w:tc>
        <w:tc>
          <w:tcPr>
            <w:tcW w:w="1141" w:type="dxa"/>
            <w:vAlign w:val="top"/>
          </w:tcPr>
          <w:p w14:paraId="25093533">
            <w:pPr>
              <w:keepNext w:val="0"/>
              <w:keepLines w:val="0"/>
              <w:pageBreakBefore w:val="0"/>
              <w:widowControl w:val="0"/>
              <w:kinsoku/>
              <w:wordWrap/>
              <w:overflowPunct/>
              <w:topLinePunct w:val="0"/>
              <w:autoSpaceDE/>
              <w:autoSpaceDN/>
              <w:bidi w:val="0"/>
              <w:adjustRightInd/>
              <w:snapToGrid/>
              <w:spacing w:line="400" w:lineRule="exact"/>
              <w:textAlignment w:val="auto"/>
              <w:rPr>
                <w:rFonts w:ascii="Arial"/>
                <w:color w:val="auto"/>
                <w:sz w:val="21"/>
                <w:szCs w:val="21"/>
              </w:rPr>
            </w:pPr>
          </w:p>
        </w:tc>
      </w:tr>
      <w:tr w14:paraId="4937EC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0" w:hRule="atLeast"/>
        </w:trPr>
        <w:tc>
          <w:tcPr>
            <w:tcW w:w="599" w:type="dxa"/>
            <w:vAlign w:val="top"/>
          </w:tcPr>
          <w:p w14:paraId="1A804634">
            <w:pPr>
              <w:pStyle w:val="27"/>
              <w:keepNext w:val="0"/>
              <w:keepLines w:val="0"/>
              <w:pageBreakBefore w:val="0"/>
              <w:widowControl w:val="0"/>
              <w:kinsoku/>
              <w:wordWrap/>
              <w:overflowPunct/>
              <w:topLinePunct w:val="0"/>
              <w:autoSpaceDE/>
              <w:autoSpaceDN/>
              <w:bidi w:val="0"/>
              <w:adjustRightInd/>
              <w:snapToGrid/>
              <w:spacing w:line="400" w:lineRule="exact"/>
              <w:ind w:left="247"/>
              <w:textAlignment w:val="auto"/>
              <w:rPr>
                <w:color w:val="auto"/>
                <w:sz w:val="21"/>
                <w:szCs w:val="21"/>
              </w:rPr>
            </w:pPr>
            <w:r>
              <w:rPr>
                <w:b/>
                <w:bCs/>
                <w:color w:val="auto"/>
                <w:spacing w:val="-3"/>
                <w:sz w:val="21"/>
                <w:szCs w:val="21"/>
              </w:rPr>
              <w:t>2</w:t>
            </w:r>
          </w:p>
        </w:tc>
        <w:tc>
          <w:tcPr>
            <w:tcW w:w="2372" w:type="dxa"/>
            <w:vAlign w:val="top"/>
          </w:tcPr>
          <w:p w14:paraId="0CF9AADB">
            <w:pPr>
              <w:pStyle w:val="27"/>
              <w:keepNext w:val="0"/>
              <w:keepLines w:val="0"/>
              <w:pageBreakBefore w:val="0"/>
              <w:widowControl w:val="0"/>
              <w:kinsoku/>
              <w:wordWrap/>
              <w:overflowPunct/>
              <w:topLinePunct w:val="0"/>
              <w:autoSpaceDE/>
              <w:autoSpaceDN/>
              <w:bidi w:val="0"/>
              <w:adjustRightInd/>
              <w:snapToGrid/>
              <w:spacing w:line="400" w:lineRule="exact"/>
              <w:ind w:left="144"/>
              <w:textAlignment w:val="auto"/>
              <w:rPr>
                <w:color w:val="auto"/>
                <w:sz w:val="21"/>
                <w:szCs w:val="21"/>
              </w:rPr>
            </w:pPr>
            <w:r>
              <w:rPr>
                <w:color w:val="auto"/>
                <w:spacing w:val="-2"/>
                <w:sz w:val="21"/>
                <w:szCs w:val="21"/>
              </w:rPr>
              <w:t>货物（服务）名称</w:t>
            </w:r>
            <w:r>
              <w:rPr>
                <w:color w:val="auto"/>
                <w:spacing w:val="-46"/>
                <w:sz w:val="21"/>
                <w:szCs w:val="21"/>
              </w:rPr>
              <w:t xml:space="preserve"> </w:t>
            </w:r>
            <w:r>
              <w:rPr>
                <w:color w:val="auto"/>
                <w:spacing w:val="-2"/>
                <w:sz w:val="21"/>
                <w:szCs w:val="21"/>
              </w:rPr>
              <w:t>2</w:t>
            </w:r>
          </w:p>
        </w:tc>
        <w:tc>
          <w:tcPr>
            <w:tcW w:w="1129" w:type="dxa"/>
            <w:vAlign w:val="top"/>
          </w:tcPr>
          <w:p w14:paraId="70043A41">
            <w:pPr>
              <w:keepNext w:val="0"/>
              <w:keepLines w:val="0"/>
              <w:pageBreakBefore w:val="0"/>
              <w:widowControl w:val="0"/>
              <w:kinsoku/>
              <w:wordWrap/>
              <w:overflowPunct/>
              <w:topLinePunct w:val="0"/>
              <w:autoSpaceDE/>
              <w:autoSpaceDN/>
              <w:bidi w:val="0"/>
              <w:adjustRightInd/>
              <w:snapToGrid/>
              <w:spacing w:line="400" w:lineRule="exact"/>
              <w:textAlignment w:val="auto"/>
              <w:rPr>
                <w:rFonts w:ascii="Arial"/>
                <w:color w:val="auto"/>
                <w:sz w:val="21"/>
                <w:szCs w:val="21"/>
              </w:rPr>
            </w:pPr>
          </w:p>
        </w:tc>
        <w:tc>
          <w:tcPr>
            <w:tcW w:w="653" w:type="dxa"/>
            <w:vAlign w:val="top"/>
          </w:tcPr>
          <w:p w14:paraId="1CCDDBC6">
            <w:pPr>
              <w:keepNext w:val="0"/>
              <w:keepLines w:val="0"/>
              <w:pageBreakBefore w:val="0"/>
              <w:widowControl w:val="0"/>
              <w:kinsoku/>
              <w:wordWrap/>
              <w:overflowPunct/>
              <w:topLinePunct w:val="0"/>
              <w:autoSpaceDE/>
              <w:autoSpaceDN/>
              <w:bidi w:val="0"/>
              <w:adjustRightInd/>
              <w:snapToGrid/>
              <w:spacing w:line="400" w:lineRule="exact"/>
              <w:textAlignment w:val="auto"/>
              <w:rPr>
                <w:rFonts w:ascii="Arial"/>
                <w:color w:val="auto"/>
                <w:sz w:val="21"/>
                <w:szCs w:val="21"/>
              </w:rPr>
            </w:pPr>
          </w:p>
        </w:tc>
        <w:tc>
          <w:tcPr>
            <w:tcW w:w="626" w:type="dxa"/>
            <w:vAlign w:val="top"/>
          </w:tcPr>
          <w:p w14:paraId="64B70732">
            <w:pPr>
              <w:keepNext w:val="0"/>
              <w:keepLines w:val="0"/>
              <w:pageBreakBefore w:val="0"/>
              <w:widowControl w:val="0"/>
              <w:kinsoku/>
              <w:wordWrap/>
              <w:overflowPunct/>
              <w:topLinePunct w:val="0"/>
              <w:autoSpaceDE/>
              <w:autoSpaceDN/>
              <w:bidi w:val="0"/>
              <w:adjustRightInd/>
              <w:snapToGrid/>
              <w:spacing w:line="400" w:lineRule="exact"/>
              <w:textAlignment w:val="auto"/>
              <w:rPr>
                <w:rFonts w:ascii="Arial"/>
                <w:color w:val="auto"/>
                <w:sz w:val="21"/>
                <w:szCs w:val="21"/>
              </w:rPr>
            </w:pPr>
          </w:p>
        </w:tc>
        <w:tc>
          <w:tcPr>
            <w:tcW w:w="857" w:type="dxa"/>
            <w:vAlign w:val="top"/>
          </w:tcPr>
          <w:p w14:paraId="0C85AF50">
            <w:pPr>
              <w:keepNext w:val="0"/>
              <w:keepLines w:val="0"/>
              <w:pageBreakBefore w:val="0"/>
              <w:widowControl w:val="0"/>
              <w:kinsoku/>
              <w:wordWrap/>
              <w:overflowPunct/>
              <w:topLinePunct w:val="0"/>
              <w:autoSpaceDE/>
              <w:autoSpaceDN/>
              <w:bidi w:val="0"/>
              <w:adjustRightInd/>
              <w:snapToGrid/>
              <w:spacing w:line="400" w:lineRule="exact"/>
              <w:textAlignment w:val="auto"/>
              <w:rPr>
                <w:rFonts w:ascii="Arial"/>
                <w:color w:val="auto"/>
                <w:sz w:val="21"/>
                <w:szCs w:val="21"/>
              </w:rPr>
            </w:pPr>
          </w:p>
        </w:tc>
        <w:tc>
          <w:tcPr>
            <w:tcW w:w="1422" w:type="dxa"/>
            <w:vAlign w:val="top"/>
          </w:tcPr>
          <w:p w14:paraId="5E78875B">
            <w:pPr>
              <w:keepNext w:val="0"/>
              <w:keepLines w:val="0"/>
              <w:pageBreakBefore w:val="0"/>
              <w:widowControl w:val="0"/>
              <w:kinsoku/>
              <w:wordWrap/>
              <w:overflowPunct/>
              <w:topLinePunct w:val="0"/>
              <w:autoSpaceDE/>
              <w:autoSpaceDN/>
              <w:bidi w:val="0"/>
              <w:adjustRightInd/>
              <w:snapToGrid/>
              <w:spacing w:line="400" w:lineRule="exact"/>
              <w:textAlignment w:val="auto"/>
              <w:rPr>
                <w:rFonts w:ascii="Arial"/>
                <w:color w:val="auto"/>
                <w:sz w:val="21"/>
                <w:szCs w:val="21"/>
              </w:rPr>
            </w:pPr>
          </w:p>
        </w:tc>
        <w:tc>
          <w:tcPr>
            <w:tcW w:w="1141" w:type="dxa"/>
            <w:vAlign w:val="top"/>
          </w:tcPr>
          <w:p w14:paraId="608ACAA8">
            <w:pPr>
              <w:keepNext w:val="0"/>
              <w:keepLines w:val="0"/>
              <w:pageBreakBefore w:val="0"/>
              <w:widowControl w:val="0"/>
              <w:kinsoku/>
              <w:wordWrap/>
              <w:overflowPunct/>
              <w:topLinePunct w:val="0"/>
              <w:autoSpaceDE/>
              <w:autoSpaceDN/>
              <w:bidi w:val="0"/>
              <w:adjustRightInd/>
              <w:snapToGrid/>
              <w:spacing w:line="400" w:lineRule="exact"/>
              <w:textAlignment w:val="auto"/>
              <w:rPr>
                <w:rFonts w:ascii="Arial"/>
                <w:color w:val="auto"/>
                <w:sz w:val="21"/>
                <w:szCs w:val="21"/>
              </w:rPr>
            </w:pPr>
          </w:p>
        </w:tc>
      </w:tr>
      <w:tr w14:paraId="5D770A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49" w:hRule="atLeast"/>
        </w:trPr>
        <w:tc>
          <w:tcPr>
            <w:tcW w:w="599" w:type="dxa"/>
            <w:vAlign w:val="top"/>
          </w:tcPr>
          <w:p w14:paraId="689288AA">
            <w:pPr>
              <w:pStyle w:val="27"/>
              <w:keepNext w:val="0"/>
              <w:keepLines w:val="0"/>
              <w:pageBreakBefore w:val="0"/>
              <w:widowControl w:val="0"/>
              <w:kinsoku/>
              <w:wordWrap/>
              <w:overflowPunct/>
              <w:topLinePunct w:val="0"/>
              <w:autoSpaceDE/>
              <w:autoSpaceDN/>
              <w:bidi w:val="0"/>
              <w:adjustRightInd/>
              <w:snapToGrid/>
              <w:spacing w:line="400" w:lineRule="exact"/>
              <w:ind w:left="199"/>
              <w:textAlignment w:val="auto"/>
              <w:rPr>
                <w:color w:val="auto"/>
                <w:sz w:val="21"/>
                <w:szCs w:val="21"/>
              </w:rPr>
            </w:pPr>
            <w:r>
              <w:rPr>
                <w:color w:val="auto"/>
                <w:sz w:val="21"/>
                <w:szCs w:val="21"/>
              </w:rPr>
              <w:t>…</w:t>
            </w:r>
          </w:p>
        </w:tc>
        <w:tc>
          <w:tcPr>
            <w:tcW w:w="2372" w:type="dxa"/>
            <w:vAlign w:val="top"/>
          </w:tcPr>
          <w:p w14:paraId="7606D7D0">
            <w:pPr>
              <w:pStyle w:val="27"/>
              <w:keepNext w:val="0"/>
              <w:keepLines w:val="0"/>
              <w:pageBreakBefore w:val="0"/>
              <w:widowControl w:val="0"/>
              <w:kinsoku/>
              <w:wordWrap/>
              <w:overflowPunct/>
              <w:topLinePunct w:val="0"/>
              <w:autoSpaceDE/>
              <w:autoSpaceDN/>
              <w:bidi w:val="0"/>
              <w:adjustRightInd/>
              <w:snapToGrid/>
              <w:spacing w:line="400" w:lineRule="exact"/>
              <w:ind w:left="964"/>
              <w:textAlignment w:val="auto"/>
              <w:rPr>
                <w:color w:val="auto"/>
                <w:sz w:val="21"/>
                <w:szCs w:val="21"/>
              </w:rPr>
            </w:pPr>
            <w:r>
              <w:rPr>
                <w:color w:val="auto"/>
                <w:spacing w:val="-7"/>
                <w:sz w:val="21"/>
                <w:szCs w:val="21"/>
              </w:rPr>
              <w:t>……</w:t>
            </w:r>
          </w:p>
        </w:tc>
        <w:tc>
          <w:tcPr>
            <w:tcW w:w="1129" w:type="dxa"/>
            <w:vAlign w:val="top"/>
          </w:tcPr>
          <w:p w14:paraId="72F85692">
            <w:pPr>
              <w:pStyle w:val="27"/>
              <w:keepNext w:val="0"/>
              <w:keepLines w:val="0"/>
              <w:pageBreakBefore w:val="0"/>
              <w:widowControl w:val="0"/>
              <w:kinsoku/>
              <w:wordWrap/>
              <w:overflowPunct/>
              <w:topLinePunct w:val="0"/>
              <w:autoSpaceDE/>
              <w:autoSpaceDN/>
              <w:bidi w:val="0"/>
              <w:adjustRightInd/>
              <w:snapToGrid/>
              <w:spacing w:line="400" w:lineRule="exact"/>
              <w:ind w:left="65"/>
              <w:textAlignment w:val="auto"/>
              <w:rPr>
                <w:color w:val="auto"/>
                <w:sz w:val="21"/>
                <w:szCs w:val="21"/>
              </w:rPr>
            </w:pPr>
            <w:r>
              <w:rPr>
                <w:color w:val="auto"/>
                <w:sz w:val="21"/>
                <w:szCs w:val="21"/>
              </w:rPr>
              <w:t>…</w:t>
            </w:r>
          </w:p>
        </w:tc>
        <w:tc>
          <w:tcPr>
            <w:tcW w:w="653" w:type="dxa"/>
            <w:vAlign w:val="top"/>
          </w:tcPr>
          <w:p w14:paraId="4EBD741F">
            <w:pPr>
              <w:pStyle w:val="27"/>
              <w:keepNext w:val="0"/>
              <w:keepLines w:val="0"/>
              <w:pageBreakBefore w:val="0"/>
              <w:widowControl w:val="0"/>
              <w:kinsoku/>
              <w:wordWrap/>
              <w:overflowPunct/>
              <w:topLinePunct w:val="0"/>
              <w:autoSpaceDE/>
              <w:autoSpaceDN/>
              <w:bidi w:val="0"/>
              <w:adjustRightInd/>
              <w:snapToGrid/>
              <w:spacing w:line="400" w:lineRule="exact"/>
              <w:ind w:left="232"/>
              <w:textAlignment w:val="auto"/>
              <w:rPr>
                <w:color w:val="auto"/>
                <w:sz w:val="21"/>
                <w:szCs w:val="21"/>
              </w:rPr>
            </w:pPr>
            <w:r>
              <w:rPr>
                <w:color w:val="auto"/>
                <w:sz w:val="21"/>
                <w:szCs w:val="21"/>
              </w:rPr>
              <w:t>…</w:t>
            </w:r>
          </w:p>
        </w:tc>
        <w:tc>
          <w:tcPr>
            <w:tcW w:w="626" w:type="dxa"/>
            <w:vAlign w:val="top"/>
          </w:tcPr>
          <w:p w14:paraId="1952C643">
            <w:pPr>
              <w:pStyle w:val="27"/>
              <w:keepNext w:val="0"/>
              <w:keepLines w:val="0"/>
              <w:pageBreakBefore w:val="0"/>
              <w:widowControl w:val="0"/>
              <w:kinsoku/>
              <w:wordWrap/>
              <w:overflowPunct/>
              <w:topLinePunct w:val="0"/>
              <w:autoSpaceDE/>
              <w:autoSpaceDN/>
              <w:bidi w:val="0"/>
              <w:adjustRightInd/>
              <w:snapToGrid/>
              <w:spacing w:line="400" w:lineRule="exact"/>
              <w:ind w:left="220"/>
              <w:textAlignment w:val="auto"/>
              <w:rPr>
                <w:color w:val="auto"/>
                <w:sz w:val="21"/>
                <w:szCs w:val="21"/>
              </w:rPr>
            </w:pPr>
            <w:r>
              <w:rPr>
                <w:color w:val="auto"/>
                <w:sz w:val="21"/>
                <w:szCs w:val="21"/>
              </w:rPr>
              <w:t>…</w:t>
            </w:r>
          </w:p>
        </w:tc>
        <w:tc>
          <w:tcPr>
            <w:tcW w:w="857" w:type="dxa"/>
            <w:vAlign w:val="top"/>
          </w:tcPr>
          <w:p w14:paraId="6E9B27BE">
            <w:pPr>
              <w:pStyle w:val="27"/>
              <w:keepNext w:val="0"/>
              <w:keepLines w:val="0"/>
              <w:pageBreakBefore w:val="0"/>
              <w:widowControl w:val="0"/>
              <w:kinsoku/>
              <w:wordWrap/>
              <w:overflowPunct/>
              <w:topLinePunct w:val="0"/>
              <w:autoSpaceDE/>
              <w:autoSpaceDN/>
              <w:bidi w:val="0"/>
              <w:adjustRightInd/>
              <w:snapToGrid/>
              <w:spacing w:line="400" w:lineRule="exact"/>
              <w:ind w:left="337"/>
              <w:textAlignment w:val="auto"/>
              <w:rPr>
                <w:color w:val="auto"/>
                <w:sz w:val="21"/>
                <w:szCs w:val="21"/>
              </w:rPr>
            </w:pPr>
            <w:r>
              <w:rPr>
                <w:color w:val="auto"/>
                <w:sz w:val="21"/>
                <w:szCs w:val="21"/>
              </w:rPr>
              <w:t>…</w:t>
            </w:r>
          </w:p>
        </w:tc>
        <w:tc>
          <w:tcPr>
            <w:tcW w:w="1422" w:type="dxa"/>
            <w:vAlign w:val="top"/>
          </w:tcPr>
          <w:p w14:paraId="76B5E4D1">
            <w:pPr>
              <w:pStyle w:val="27"/>
              <w:keepNext w:val="0"/>
              <w:keepLines w:val="0"/>
              <w:pageBreakBefore w:val="0"/>
              <w:widowControl w:val="0"/>
              <w:kinsoku/>
              <w:wordWrap/>
              <w:overflowPunct/>
              <w:topLinePunct w:val="0"/>
              <w:autoSpaceDE/>
              <w:autoSpaceDN/>
              <w:bidi w:val="0"/>
              <w:adjustRightInd/>
              <w:snapToGrid/>
              <w:spacing w:line="400" w:lineRule="exact"/>
              <w:ind w:left="73"/>
              <w:textAlignment w:val="auto"/>
              <w:rPr>
                <w:color w:val="auto"/>
                <w:sz w:val="21"/>
                <w:szCs w:val="21"/>
              </w:rPr>
            </w:pPr>
            <w:r>
              <w:rPr>
                <w:color w:val="auto"/>
                <w:sz w:val="21"/>
                <w:szCs w:val="21"/>
              </w:rPr>
              <w:t>…</w:t>
            </w:r>
          </w:p>
        </w:tc>
        <w:tc>
          <w:tcPr>
            <w:tcW w:w="1141" w:type="dxa"/>
            <w:vAlign w:val="top"/>
          </w:tcPr>
          <w:p w14:paraId="1C6FDECA">
            <w:pPr>
              <w:pStyle w:val="27"/>
              <w:keepNext w:val="0"/>
              <w:keepLines w:val="0"/>
              <w:pageBreakBefore w:val="0"/>
              <w:widowControl w:val="0"/>
              <w:kinsoku/>
              <w:wordWrap/>
              <w:overflowPunct/>
              <w:topLinePunct w:val="0"/>
              <w:autoSpaceDE/>
              <w:autoSpaceDN/>
              <w:bidi w:val="0"/>
              <w:adjustRightInd/>
              <w:snapToGrid/>
              <w:spacing w:line="400" w:lineRule="exact"/>
              <w:ind w:left="480"/>
              <w:textAlignment w:val="auto"/>
              <w:rPr>
                <w:color w:val="auto"/>
                <w:sz w:val="21"/>
                <w:szCs w:val="21"/>
              </w:rPr>
            </w:pPr>
            <w:r>
              <w:rPr>
                <w:color w:val="auto"/>
                <w:sz w:val="21"/>
                <w:szCs w:val="21"/>
              </w:rPr>
              <w:t>…</w:t>
            </w:r>
          </w:p>
        </w:tc>
      </w:tr>
      <w:tr w14:paraId="63441B4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6" w:hRule="atLeast"/>
        </w:trPr>
        <w:tc>
          <w:tcPr>
            <w:tcW w:w="6236" w:type="dxa"/>
            <w:gridSpan w:val="6"/>
            <w:vAlign w:val="top"/>
          </w:tcPr>
          <w:p w14:paraId="75E2DEC2">
            <w:pPr>
              <w:pStyle w:val="27"/>
              <w:keepNext w:val="0"/>
              <w:keepLines w:val="0"/>
              <w:pageBreakBefore w:val="0"/>
              <w:widowControl w:val="0"/>
              <w:kinsoku/>
              <w:wordWrap/>
              <w:overflowPunct/>
              <w:topLinePunct w:val="0"/>
              <w:autoSpaceDE/>
              <w:autoSpaceDN/>
              <w:bidi w:val="0"/>
              <w:adjustRightInd/>
              <w:snapToGrid/>
              <w:spacing w:line="400" w:lineRule="exact"/>
              <w:ind w:left="2891"/>
              <w:textAlignment w:val="auto"/>
              <w:rPr>
                <w:color w:val="auto"/>
                <w:sz w:val="21"/>
                <w:szCs w:val="21"/>
              </w:rPr>
            </w:pPr>
            <w:r>
              <w:rPr>
                <w:b/>
                <w:bCs/>
                <w:color w:val="auto"/>
                <w:spacing w:val="-6"/>
                <w:sz w:val="21"/>
                <w:szCs w:val="21"/>
              </w:rPr>
              <w:t>合计</w:t>
            </w:r>
          </w:p>
        </w:tc>
        <w:tc>
          <w:tcPr>
            <w:tcW w:w="2563" w:type="dxa"/>
            <w:gridSpan w:val="2"/>
            <w:vAlign w:val="top"/>
          </w:tcPr>
          <w:p w14:paraId="30127760">
            <w:pPr>
              <w:keepNext w:val="0"/>
              <w:keepLines w:val="0"/>
              <w:pageBreakBefore w:val="0"/>
              <w:widowControl w:val="0"/>
              <w:kinsoku/>
              <w:wordWrap/>
              <w:overflowPunct/>
              <w:topLinePunct w:val="0"/>
              <w:autoSpaceDE/>
              <w:autoSpaceDN/>
              <w:bidi w:val="0"/>
              <w:adjustRightInd/>
              <w:snapToGrid/>
              <w:spacing w:line="400" w:lineRule="exact"/>
              <w:textAlignment w:val="auto"/>
              <w:rPr>
                <w:rFonts w:ascii="Arial"/>
                <w:color w:val="auto"/>
                <w:sz w:val="21"/>
                <w:szCs w:val="21"/>
              </w:rPr>
            </w:pPr>
          </w:p>
        </w:tc>
      </w:tr>
    </w:tbl>
    <w:p w14:paraId="5AD14E17">
      <w:pPr>
        <w:keepNext w:val="0"/>
        <w:keepLines w:val="0"/>
        <w:pageBreakBefore w:val="0"/>
        <w:widowControl w:val="0"/>
        <w:kinsoku/>
        <w:wordWrap/>
        <w:overflowPunct/>
        <w:topLinePunct w:val="0"/>
        <w:autoSpaceDE/>
        <w:autoSpaceDN/>
        <w:bidi w:val="0"/>
        <w:adjustRightInd/>
        <w:snapToGrid/>
        <w:spacing w:line="400" w:lineRule="exact"/>
        <w:ind w:left="746"/>
        <w:textAlignment w:val="auto"/>
        <w:rPr>
          <w:rFonts w:ascii="宋体" w:hAnsi="宋体" w:eastAsia="宋体" w:cs="宋体"/>
          <w:color w:val="auto"/>
          <w:sz w:val="21"/>
          <w:szCs w:val="21"/>
        </w:rPr>
      </w:pPr>
      <w:r>
        <w:rPr>
          <w:rFonts w:ascii="宋体" w:hAnsi="宋体" w:eastAsia="宋体" w:cs="宋体"/>
          <w:b/>
          <w:bCs/>
          <w:color w:val="auto"/>
          <w:spacing w:val="-3"/>
          <w:sz w:val="21"/>
          <w:szCs w:val="21"/>
        </w:rPr>
        <w:t>三、</w:t>
      </w:r>
      <w:r>
        <w:rPr>
          <w:rFonts w:ascii="宋体" w:hAnsi="宋体" w:eastAsia="宋体" w:cs="宋体"/>
          <w:color w:val="auto"/>
          <w:spacing w:val="-3"/>
          <w:sz w:val="21"/>
          <w:szCs w:val="21"/>
        </w:rPr>
        <w:t xml:space="preserve">  </w:t>
      </w:r>
      <w:r>
        <w:rPr>
          <w:rFonts w:ascii="宋体" w:hAnsi="宋体" w:eastAsia="宋体" w:cs="宋体"/>
          <w:b/>
          <w:bCs/>
          <w:color w:val="auto"/>
          <w:spacing w:val="-3"/>
          <w:sz w:val="21"/>
          <w:szCs w:val="21"/>
        </w:rPr>
        <w:t>货物（服务）质量</w:t>
      </w:r>
    </w:p>
    <w:p w14:paraId="05C10A4C">
      <w:pPr>
        <w:keepNext w:val="0"/>
        <w:keepLines w:val="0"/>
        <w:pageBreakBefore w:val="0"/>
        <w:widowControl w:val="0"/>
        <w:kinsoku/>
        <w:wordWrap/>
        <w:overflowPunct/>
        <w:topLinePunct w:val="0"/>
        <w:autoSpaceDE/>
        <w:autoSpaceDN/>
        <w:bidi w:val="0"/>
        <w:adjustRightInd/>
        <w:snapToGrid/>
        <w:spacing w:line="400" w:lineRule="exact"/>
        <w:ind w:left="2594"/>
        <w:textAlignment w:val="auto"/>
        <w:rPr>
          <w:rFonts w:ascii="宋体" w:hAnsi="宋体" w:eastAsia="宋体" w:cs="宋体"/>
          <w:color w:val="auto"/>
          <w:sz w:val="21"/>
          <w:szCs w:val="21"/>
        </w:rPr>
      </w:pPr>
      <w:r>
        <w:rPr>
          <w:color w:val="auto"/>
          <w:sz w:val="21"/>
          <w:szCs w:val="21"/>
        </w:rPr>
        <mc:AlternateContent>
          <mc:Choice Requires="wps">
            <w:drawing>
              <wp:anchor distT="0" distB="0" distL="114300" distR="114300" simplePos="0" relativeHeight="251661312" behindDoc="1" locked="0" layoutInCell="1" allowOverlap="1">
                <wp:simplePos x="0" y="0"/>
                <wp:positionH relativeFrom="column">
                  <wp:posOffset>891540</wp:posOffset>
                </wp:positionH>
                <wp:positionV relativeFrom="paragraph">
                  <wp:posOffset>310515</wp:posOffset>
                </wp:positionV>
                <wp:extent cx="4545965" cy="13335"/>
                <wp:effectExtent l="0" t="0" r="0" b="0"/>
                <wp:wrapNone/>
                <wp:docPr id="8" name="任意多边形 8"/>
                <wp:cNvGraphicFramePr/>
                <a:graphic xmlns:a="http://schemas.openxmlformats.org/drawingml/2006/main">
                  <a:graphicData uri="http://schemas.microsoft.com/office/word/2010/wordprocessingShape">
                    <wps:wsp>
                      <wps:cNvSpPr/>
                      <wps:spPr>
                        <a:xfrm>
                          <a:off x="0" y="0"/>
                          <a:ext cx="4545965" cy="13335"/>
                        </a:xfrm>
                        <a:custGeom>
                          <a:avLst/>
                          <a:gdLst/>
                          <a:ahLst/>
                          <a:cxnLst/>
                          <a:pathLst>
                            <a:path w="7159" h="20">
                              <a:moveTo>
                                <a:pt x="0" y="10"/>
                              </a:moveTo>
                              <a:lnTo>
                                <a:pt x="7158" y="10"/>
                              </a:lnTo>
                            </a:path>
                          </a:pathLst>
                        </a:custGeom>
                        <a:noFill/>
                        <a:ln w="12700" cap="flat" cmpd="sng">
                          <a:solidFill>
                            <a:srgbClr val="000000"/>
                          </a:solidFill>
                          <a:prstDash val="solid"/>
                          <a:miter lim="1000000"/>
                          <a:headEnd type="none" w="med" len="med"/>
                          <a:tailEnd type="none" w="med" len="med"/>
                        </a:ln>
                      </wps:spPr>
                      <wps:bodyPr upright="1"/>
                    </wps:wsp>
                  </a:graphicData>
                </a:graphic>
              </wp:anchor>
            </w:drawing>
          </mc:Choice>
          <mc:Fallback>
            <w:pict>
              <v:shape id="_x0000_s1026" o:spid="_x0000_s1026" o:spt="100" style="position:absolute;left:0pt;margin-left:70.2pt;margin-top:24.45pt;height:1.05pt;width:357.95pt;z-index:-251655168;mso-width-relative:page;mso-height-relative:page;" filled="f" stroked="t" coordsize="7159,20" o:gfxdata="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B8t5rw1gAAAAkBAAAPAAAAAAAAAAEAIAAA&#10;ACIAAABkcnMvZG93bnJldi54bWxQSwECFAAUAAAACACHTuJACEBGa0cCAACoBAAADgAAAAAAAAAB&#10;ACAAAAAlAQAAZHJzL2Uyb0RvYy54bWxQSwUGAAAAAAYABgBZAQAA3gUAAAAA&#10;" path="m0,10l7158,10e">
                <v:fill on="f" focussize="0,0"/>
                <v:stroke weight="1pt" color="#000000" miterlimit="10" joinstyle="miter"/>
                <v:imagedata o:title=""/>
                <o:lock v:ext="edit" aspectratio="f"/>
              </v:shape>
            </w:pict>
          </mc:Fallback>
        </mc:AlternateContent>
      </w:r>
      <w:r>
        <w:rPr>
          <w:rFonts w:ascii="宋体" w:hAnsi="宋体" w:eastAsia="宋体" w:cs="宋体"/>
          <w:i/>
          <w:iCs/>
          <w:color w:val="auto"/>
          <w:spacing w:val="-17"/>
          <w:sz w:val="21"/>
          <w:szCs w:val="21"/>
        </w:rPr>
        <w:t>(</w:t>
      </w:r>
      <w:r>
        <w:rPr>
          <w:rFonts w:ascii="宋体" w:hAnsi="宋体" w:eastAsia="宋体" w:cs="宋体"/>
          <w:color w:val="auto"/>
          <w:spacing w:val="-26"/>
          <w:sz w:val="21"/>
          <w:szCs w:val="21"/>
        </w:rPr>
        <w:t xml:space="preserve"> </w:t>
      </w:r>
      <w:r>
        <w:rPr>
          <w:rFonts w:ascii="宋体" w:hAnsi="宋体" w:eastAsia="宋体" w:cs="宋体"/>
          <w:i/>
          <w:iCs/>
          <w:color w:val="auto"/>
          <w:spacing w:val="-17"/>
          <w:sz w:val="21"/>
          <w:szCs w:val="21"/>
        </w:rPr>
        <w:t>以</w:t>
      </w:r>
      <w:r>
        <w:rPr>
          <w:rFonts w:hint="eastAsia" w:ascii="宋体" w:hAnsi="宋体" w:eastAsia="宋体" w:cs="宋体"/>
          <w:i/>
          <w:iCs/>
          <w:color w:val="auto"/>
          <w:spacing w:val="-17"/>
          <w:sz w:val="21"/>
          <w:szCs w:val="21"/>
          <w:lang w:eastAsia="zh-CN"/>
        </w:rPr>
        <w:t>招标文件</w:t>
      </w:r>
      <w:r>
        <w:rPr>
          <w:rFonts w:ascii="宋体" w:hAnsi="宋体" w:eastAsia="宋体" w:cs="宋体"/>
          <w:i/>
          <w:iCs/>
          <w:color w:val="auto"/>
          <w:spacing w:val="-17"/>
          <w:sz w:val="21"/>
          <w:szCs w:val="21"/>
        </w:rPr>
        <w:t>要求以及响应文件的响应)</w:t>
      </w:r>
      <w:r>
        <w:rPr>
          <w:rFonts w:ascii="宋体" w:hAnsi="宋体" w:eastAsia="宋体" w:cs="宋体"/>
          <w:color w:val="auto"/>
          <w:position w:val="1"/>
          <w:sz w:val="21"/>
          <w:szCs w:val="21"/>
        </w:rPr>
        <w:t>。</w:t>
      </w:r>
    </w:p>
    <w:p w14:paraId="705C2F0C">
      <w:pPr>
        <w:keepNext w:val="0"/>
        <w:keepLines w:val="0"/>
        <w:pageBreakBefore w:val="0"/>
        <w:widowControl w:val="0"/>
        <w:kinsoku/>
        <w:wordWrap/>
        <w:overflowPunct/>
        <w:topLinePunct w:val="0"/>
        <w:autoSpaceDE/>
        <w:autoSpaceDN/>
        <w:bidi w:val="0"/>
        <w:adjustRightInd/>
        <w:snapToGrid/>
        <w:spacing w:line="400" w:lineRule="exact"/>
        <w:ind w:left="769"/>
        <w:textAlignment w:val="auto"/>
        <w:rPr>
          <w:rFonts w:ascii="宋体" w:hAnsi="宋体" w:eastAsia="宋体" w:cs="宋体"/>
          <w:color w:val="auto"/>
          <w:sz w:val="21"/>
          <w:szCs w:val="21"/>
        </w:rPr>
      </w:pPr>
      <w:r>
        <w:rPr>
          <w:rFonts w:ascii="宋体" w:hAnsi="宋体" w:eastAsia="宋体" w:cs="宋体"/>
          <w:b/>
          <w:bCs/>
          <w:color w:val="auto"/>
          <w:spacing w:val="-4"/>
          <w:sz w:val="21"/>
          <w:szCs w:val="21"/>
        </w:rPr>
        <w:t>四、</w:t>
      </w:r>
      <w:r>
        <w:rPr>
          <w:rFonts w:ascii="宋体" w:hAnsi="宋体" w:eastAsia="宋体" w:cs="宋体"/>
          <w:color w:val="auto"/>
          <w:spacing w:val="-4"/>
          <w:sz w:val="21"/>
          <w:szCs w:val="21"/>
        </w:rPr>
        <w:t xml:space="preserve">  </w:t>
      </w:r>
      <w:r>
        <w:rPr>
          <w:rFonts w:ascii="宋体" w:hAnsi="宋体" w:eastAsia="宋体" w:cs="宋体"/>
          <w:b/>
          <w:bCs/>
          <w:color w:val="auto"/>
          <w:spacing w:val="-4"/>
          <w:sz w:val="21"/>
          <w:szCs w:val="21"/>
        </w:rPr>
        <w:t>合同履行时间（期限）、地点和方式</w:t>
      </w:r>
    </w:p>
    <w:p w14:paraId="682F2114">
      <w:pPr>
        <w:keepNext w:val="0"/>
        <w:keepLines w:val="0"/>
        <w:pageBreakBefore w:val="0"/>
        <w:widowControl w:val="0"/>
        <w:kinsoku/>
        <w:wordWrap/>
        <w:overflowPunct/>
        <w:topLinePunct w:val="0"/>
        <w:autoSpaceDE/>
        <w:autoSpaceDN/>
        <w:bidi w:val="0"/>
        <w:adjustRightInd/>
        <w:snapToGrid/>
        <w:spacing w:line="400" w:lineRule="exact"/>
        <w:ind w:left="855" w:right="256" w:firstLine="456"/>
        <w:textAlignment w:val="auto"/>
        <w:rPr>
          <w:rFonts w:ascii="宋体" w:hAnsi="宋体" w:eastAsia="宋体" w:cs="宋体"/>
          <w:color w:val="auto"/>
          <w:sz w:val="21"/>
          <w:szCs w:val="21"/>
        </w:rPr>
      </w:pPr>
      <w:r>
        <w:rPr>
          <w:rFonts w:ascii="宋体" w:hAnsi="宋体" w:eastAsia="宋体" w:cs="宋体"/>
          <w:color w:val="auto"/>
          <w:spacing w:val="-9"/>
          <w:sz w:val="21"/>
          <w:szCs w:val="21"/>
        </w:rPr>
        <w:t>1．合同履行时间：</w:t>
      </w:r>
      <w:r>
        <w:rPr>
          <w:rFonts w:ascii="宋体" w:hAnsi="宋体" w:eastAsia="宋体" w:cs="宋体"/>
          <w:color w:val="auto"/>
          <w:spacing w:val="-71"/>
          <w:sz w:val="21"/>
          <w:szCs w:val="21"/>
        </w:rPr>
        <w:t xml:space="preserve"> </w:t>
      </w:r>
      <w:r>
        <w:rPr>
          <w:rFonts w:ascii="宋体" w:hAnsi="宋体" w:eastAsia="宋体" w:cs="宋体"/>
          <w:color w:val="auto"/>
          <w:spacing w:val="-9"/>
          <w:sz w:val="21"/>
          <w:szCs w:val="21"/>
        </w:rPr>
        <w:t>自</w:t>
      </w:r>
      <w:r>
        <w:rPr>
          <w:rFonts w:ascii="宋体" w:hAnsi="宋体" w:eastAsia="宋体" w:cs="宋体"/>
          <w:color w:val="auto"/>
          <w:spacing w:val="17"/>
          <w:sz w:val="21"/>
          <w:szCs w:val="21"/>
          <w:u w:val="single" w:color="auto"/>
        </w:rPr>
        <w:t xml:space="preserve">   </w:t>
      </w:r>
      <w:r>
        <w:rPr>
          <w:rFonts w:ascii="宋体" w:hAnsi="宋体" w:eastAsia="宋体" w:cs="宋体"/>
          <w:color w:val="auto"/>
          <w:spacing w:val="-108"/>
          <w:sz w:val="21"/>
          <w:szCs w:val="21"/>
        </w:rPr>
        <w:t xml:space="preserve"> </w:t>
      </w:r>
      <w:r>
        <w:rPr>
          <w:rFonts w:ascii="宋体" w:hAnsi="宋体" w:eastAsia="宋体" w:cs="宋体"/>
          <w:color w:val="auto"/>
          <w:spacing w:val="-9"/>
          <w:sz w:val="21"/>
          <w:szCs w:val="21"/>
        </w:rPr>
        <w:t>年</w:t>
      </w:r>
      <w:r>
        <w:rPr>
          <w:rFonts w:ascii="宋体" w:hAnsi="宋体" w:eastAsia="宋体" w:cs="宋体"/>
          <w:color w:val="auto"/>
          <w:spacing w:val="-9"/>
          <w:sz w:val="21"/>
          <w:szCs w:val="21"/>
          <w:u w:val="single" w:color="auto"/>
        </w:rPr>
        <w:t xml:space="preserve">    </w:t>
      </w:r>
      <w:r>
        <w:rPr>
          <w:rFonts w:ascii="宋体" w:hAnsi="宋体" w:eastAsia="宋体" w:cs="宋体"/>
          <w:color w:val="auto"/>
          <w:spacing w:val="-104"/>
          <w:sz w:val="21"/>
          <w:szCs w:val="21"/>
        </w:rPr>
        <w:t xml:space="preserve"> </w:t>
      </w:r>
      <w:r>
        <w:rPr>
          <w:rFonts w:ascii="宋体" w:hAnsi="宋体" w:eastAsia="宋体" w:cs="宋体"/>
          <w:color w:val="auto"/>
          <w:spacing w:val="-9"/>
          <w:sz w:val="21"/>
          <w:szCs w:val="21"/>
        </w:rPr>
        <w:t>月</w:t>
      </w:r>
      <w:r>
        <w:rPr>
          <w:rFonts w:ascii="宋体" w:hAnsi="宋体" w:eastAsia="宋体" w:cs="宋体"/>
          <w:color w:val="auto"/>
          <w:spacing w:val="39"/>
          <w:sz w:val="21"/>
          <w:szCs w:val="21"/>
          <w:u w:val="single" w:color="auto"/>
        </w:rPr>
        <w:t xml:space="preserve">   </w:t>
      </w:r>
      <w:r>
        <w:rPr>
          <w:rFonts w:ascii="宋体" w:hAnsi="宋体" w:eastAsia="宋体" w:cs="宋体"/>
          <w:color w:val="auto"/>
          <w:spacing w:val="-66"/>
          <w:sz w:val="21"/>
          <w:szCs w:val="21"/>
        </w:rPr>
        <w:t xml:space="preserve"> </w:t>
      </w:r>
      <w:r>
        <w:rPr>
          <w:rFonts w:ascii="宋体" w:hAnsi="宋体" w:eastAsia="宋体" w:cs="宋体"/>
          <w:color w:val="auto"/>
          <w:spacing w:val="-9"/>
          <w:sz w:val="21"/>
          <w:szCs w:val="21"/>
        </w:rPr>
        <w:t>日至</w:t>
      </w:r>
      <w:r>
        <w:rPr>
          <w:rFonts w:ascii="宋体" w:hAnsi="宋体" w:eastAsia="宋体" w:cs="宋体"/>
          <w:color w:val="auto"/>
          <w:spacing w:val="19"/>
          <w:sz w:val="21"/>
          <w:szCs w:val="21"/>
          <w:u w:val="single" w:color="auto"/>
        </w:rPr>
        <w:t xml:space="preserve">   </w:t>
      </w:r>
      <w:r>
        <w:rPr>
          <w:rFonts w:ascii="宋体" w:hAnsi="宋体" w:eastAsia="宋体" w:cs="宋体"/>
          <w:color w:val="auto"/>
          <w:spacing w:val="-104"/>
          <w:sz w:val="21"/>
          <w:szCs w:val="21"/>
        </w:rPr>
        <w:t xml:space="preserve"> </w:t>
      </w:r>
      <w:r>
        <w:rPr>
          <w:rFonts w:ascii="宋体" w:hAnsi="宋体" w:eastAsia="宋体" w:cs="宋体"/>
          <w:color w:val="auto"/>
          <w:spacing w:val="-9"/>
          <w:sz w:val="21"/>
          <w:szCs w:val="21"/>
        </w:rPr>
        <w:t>年</w:t>
      </w:r>
      <w:r>
        <w:rPr>
          <w:rFonts w:ascii="宋体" w:hAnsi="宋体" w:eastAsia="宋体" w:cs="宋体"/>
          <w:color w:val="auto"/>
          <w:spacing w:val="39"/>
          <w:sz w:val="21"/>
          <w:szCs w:val="21"/>
          <w:u w:val="single" w:color="auto"/>
        </w:rPr>
        <w:t xml:space="preserve"> </w:t>
      </w:r>
      <w:r>
        <w:rPr>
          <w:rFonts w:ascii="宋体" w:hAnsi="宋体" w:eastAsia="宋体" w:cs="宋体"/>
          <w:color w:val="auto"/>
          <w:spacing w:val="-102"/>
          <w:sz w:val="21"/>
          <w:szCs w:val="21"/>
        </w:rPr>
        <w:t xml:space="preserve"> </w:t>
      </w:r>
      <w:r>
        <w:rPr>
          <w:rFonts w:ascii="宋体" w:hAnsi="宋体" w:eastAsia="宋体" w:cs="宋体"/>
          <w:color w:val="auto"/>
          <w:spacing w:val="-9"/>
          <w:sz w:val="21"/>
          <w:szCs w:val="21"/>
        </w:rPr>
        <w:t>月</w:t>
      </w:r>
      <w:r>
        <w:rPr>
          <w:rFonts w:ascii="宋体" w:hAnsi="宋体" w:eastAsia="宋体" w:cs="宋体"/>
          <w:color w:val="auto"/>
          <w:spacing w:val="39"/>
          <w:sz w:val="21"/>
          <w:szCs w:val="21"/>
          <w:u w:val="single" w:color="auto"/>
        </w:rPr>
        <w:t xml:space="preserve">  </w:t>
      </w:r>
      <w:r>
        <w:rPr>
          <w:rFonts w:ascii="宋体" w:hAnsi="宋体" w:eastAsia="宋体" w:cs="宋体"/>
          <w:color w:val="auto"/>
          <w:spacing w:val="-24"/>
          <w:sz w:val="21"/>
          <w:szCs w:val="21"/>
        </w:rPr>
        <w:t>日止；</w:t>
      </w:r>
    </w:p>
    <w:p w14:paraId="4C293F63">
      <w:pPr>
        <w:keepNext w:val="0"/>
        <w:keepLines w:val="0"/>
        <w:pageBreakBefore w:val="0"/>
        <w:widowControl w:val="0"/>
        <w:kinsoku/>
        <w:wordWrap/>
        <w:overflowPunct/>
        <w:topLinePunct w:val="0"/>
        <w:autoSpaceDE/>
        <w:autoSpaceDN/>
        <w:bidi w:val="0"/>
        <w:adjustRightInd/>
        <w:snapToGrid/>
        <w:spacing w:line="400" w:lineRule="exact"/>
        <w:ind w:left="1296"/>
        <w:textAlignment w:val="auto"/>
        <w:rPr>
          <w:rFonts w:ascii="宋体" w:hAnsi="宋体" w:eastAsia="宋体" w:cs="宋体"/>
          <w:color w:val="auto"/>
          <w:sz w:val="21"/>
          <w:szCs w:val="21"/>
        </w:rPr>
      </w:pPr>
      <w:r>
        <w:rPr>
          <w:rFonts w:ascii="宋体" w:hAnsi="宋体" w:eastAsia="宋体" w:cs="宋体"/>
          <w:color w:val="auto"/>
          <w:spacing w:val="-5"/>
          <w:sz w:val="21"/>
          <w:szCs w:val="21"/>
        </w:rPr>
        <w:t>2．交付或服务地点及方式：</w:t>
      </w:r>
      <w:r>
        <w:rPr>
          <w:rFonts w:ascii="宋体" w:hAnsi="宋体" w:eastAsia="宋体" w:cs="宋体"/>
          <w:color w:val="auto"/>
          <w:spacing w:val="13"/>
          <w:sz w:val="21"/>
          <w:szCs w:val="21"/>
          <w:u w:val="single" w:color="auto"/>
        </w:rPr>
        <w:t xml:space="preserve">      </w:t>
      </w:r>
      <w:r>
        <w:rPr>
          <w:rFonts w:ascii="宋体" w:hAnsi="宋体" w:eastAsia="宋体" w:cs="宋体"/>
          <w:i/>
          <w:iCs/>
          <w:color w:val="auto"/>
          <w:spacing w:val="-5"/>
          <w:sz w:val="21"/>
          <w:szCs w:val="21"/>
          <w:u w:val="single" w:color="auto"/>
        </w:rPr>
        <w:t>(见</w:t>
      </w:r>
      <w:r>
        <w:rPr>
          <w:rFonts w:hint="eastAsia" w:ascii="宋体" w:hAnsi="宋体" w:eastAsia="宋体" w:cs="宋体"/>
          <w:i/>
          <w:iCs/>
          <w:color w:val="auto"/>
          <w:spacing w:val="-5"/>
          <w:sz w:val="21"/>
          <w:szCs w:val="21"/>
          <w:u w:val="single" w:color="auto"/>
          <w:lang w:eastAsia="zh-CN"/>
        </w:rPr>
        <w:t>招标文件</w:t>
      </w:r>
      <w:r>
        <w:rPr>
          <w:rFonts w:ascii="宋体" w:hAnsi="宋体" w:eastAsia="宋体" w:cs="宋体"/>
          <w:i/>
          <w:iCs/>
          <w:color w:val="auto"/>
          <w:spacing w:val="-5"/>
          <w:sz w:val="21"/>
          <w:szCs w:val="21"/>
          <w:u w:val="single" w:color="auto"/>
        </w:rPr>
        <w:t>)</w:t>
      </w:r>
      <w:r>
        <w:rPr>
          <w:rFonts w:ascii="宋体" w:hAnsi="宋体" w:eastAsia="宋体" w:cs="宋体"/>
          <w:color w:val="auto"/>
          <w:spacing w:val="-5"/>
          <w:sz w:val="21"/>
          <w:szCs w:val="21"/>
          <w:u w:val="single" w:color="auto"/>
        </w:rPr>
        <w:t xml:space="preserve">           </w:t>
      </w:r>
      <w:r>
        <w:rPr>
          <w:rFonts w:ascii="宋体" w:hAnsi="宋体" w:eastAsia="宋体" w:cs="宋体"/>
          <w:color w:val="auto"/>
          <w:spacing w:val="-6"/>
          <w:sz w:val="21"/>
          <w:szCs w:val="21"/>
          <w:u w:val="single" w:color="auto"/>
        </w:rPr>
        <w:t xml:space="preserve">    </w:t>
      </w:r>
      <w:r>
        <w:rPr>
          <w:rFonts w:ascii="宋体" w:hAnsi="宋体" w:eastAsia="宋体" w:cs="宋体"/>
          <w:i/>
          <w:iCs/>
          <w:color w:val="auto"/>
          <w:position w:val="-2"/>
          <w:sz w:val="21"/>
          <w:szCs w:val="21"/>
        </w:rPr>
        <w:t>。</w:t>
      </w:r>
    </w:p>
    <w:p w14:paraId="3891108E">
      <w:pPr>
        <w:keepNext w:val="0"/>
        <w:keepLines w:val="0"/>
        <w:pageBreakBefore w:val="0"/>
        <w:widowControl w:val="0"/>
        <w:kinsoku/>
        <w:wordWrap/>
        <w:overflowPunct/>
        <w:topLinePunct w:val="0"/>
        <w:autoSpaceDE/>
        <w:autoSpaceDN/>
        <w:bidi w:val="0"/>
        <w:adjustRightInd/>
        <w:snapToGrid/>
        <w:spacing w:line="400" w:lineRule="exact"/>
        <w:ind w:left="750"/>
        <w:textAlignment w:val="auto"/>
        <w:rPr>
          <w:rFonts w:ascii="宋体" w:hAnsi="宋体" w:eastAsia="宋体" w:cs="宋体"/>
          <w:color w:val="auto"/>
          <w:sz w:val="21"/>
          <w:szCs w:val="21"/>
        </w:rPr>
      </w:pPr>
      <w:r>
        <w:rPr>
          <w:rFonts w:ascii="宋体" w:hAnsi="宋体" w:eastAsia="宋体" w:cs="宋体"/>
          <w:b/>
          <w:bCs/>
          <w:color w:val="auto"/>
          <w:spacing w:val="-4"/>
          <w:sz w:val="21"/>
          <w:szCs w:val="21"/>
        </w:rPr>
        <w:t>五、</w:t>
      </w:r>
      <w:r>
        <w:rPr>
          <w:rFonts w:ascii="宋体" w:hAnsi="宋体" w:eastAsia="宋体" w:cs="宋体"/>
          <w:color w:val="auto"/>
          <w:spacing w:val="-4"/>
          <w:sz w:val="21"/>
          <w:szCs w:val="21"/>
        </w:rPr>
        <w:t xml:space="preserve">  </w:t>
      </w:r>
      <w:r>
        <w:rPr>
          <w:rFonts w:ascii="宋体" w:hAnsi="宋体" w:eastAsia="宋体" w:cs="宋体"/>
          <w:b/>
          <w:bCs/>
          <w:color w:val="auto"/>
          <w:spacing w:val="-4"/>
          <w:sz w:val="21"/>
          <w:szCs w:val="21"/>
        </w:rPr>
        <w:t>包装及运输</w:t>
      </w:r>
    </w:p>
    <w:p w14:paraId="5886A2C5">
      <w:pPr>
        <w:keepNext w:val="0"/>
        <w:keepLines w:val="0"/>
        <w:pageBreakBefore w:val="0"/>
        <w:widowControl w:val="0"/>
        <w:kinsoku/>
        <w:wordWrap/>
        <w:overflowPunct/>
        <w:topLinePunct w:val="0"/>
        <w:autoSpaceDE/>
        <w:autoSpaceDN/>
        <w:bidi w:val="0"/>
        <w:adjustRightInd/>
        <w:snapToGrid/>
        <w:spacing w:line="400" w:lineRule="exact"/>
        <w:ind w:left="5114"/>
        <w:textAlignment w:val="auto"/>
        <w:rPr>
          <w:rFonts w:ascii="Arial"/>
          <w:color w:val="auto"/>
          <w:sz w:val="21"/>
          <w:szCs w:val="21"/>
        </w:rPr>
      </w:pPr>
      <w:r>
        <w:rPr>
          <w:color w:val="auto"/>
          <w:sz w:val="21"/>
          <w:szCs w:val="21"/>
        </w:rPr>
        <mc:AlternateContent>
          <mc:Choice Requires="wps">
            <w:drawing>
              <wp:anchor distT="0" distB="0" distL="114300" distR="114300" simplePos="0" relativeHeight="251662336" behindDoc="1" locked="0" layoutInCell="1" allowOverlap="1">
                <wp:simplePos x="0" y="0"/>
                <wp:positionH relativeFrom="column">
                  <wp:posOffset>891540</wp:posOffset>
                </wp:positionH>
                <wp:positionV relativeFrom="paragraph">
                  <wp:posOffset>309245</wp:posOffset>
                </wp:positionV>
                <wp:extent cx="4545965" cy="13335"/>
                <wp:effectExtent l="0" t="0" r="0" b="0"/>
                <wp:wrapNone/>
                <wp:docPr id="9" name="任意多边形 9"/>
                <wp:cNvGraphicFramePr/>
                <a:graphic xmlns:a="http://schemas.openxmlformats.org/drawingml/2006/main">
                  <a:graphicData uri="http://schemas.microsoft.com/office/word/2010/wordprocessingShape">
                    <wps:wsp>
                      <wps:cNvSpPr/>
                      <wps:spPr>
                        <a:xfrm>
                          <a:off x="0" y="0"/>
                          <a:ext cx="4545965" cy="13335"/>
                        </a:xfrm>
                        <a:custGeom>
                          <a:avLst/>
                          <a:gdLst/>
                          <a:ahLst/>
                          <a:cxnLst/>
                          <a:pathLst>
                            <a:path w="7159" h="20">
                              <a:moveTo>
                                <a:pt x="0" y="10"/>
                              </a:moveTo>
                              <a:lnTo>
                                <a:pt x="7158" y="10"/>
                              </a:lnTo>
                            </a:path>
                          </a:pathLst>
                        </a:custGeom>
                        <a:noFill/>
                        <a:ln w="12700" cap="flat" cmpd="sng">
                          <a:solidFill>
                            <a:srgbClr val="000000"/>
                          </a:solidFill>
                          <a:prstDash val="solid"/>
                          <a:miter lim="1000000"/>
                          <a:headEnd type="none" w="med" len="med"/>
                          <a:tailEnd type="none" w="med" len="med"/>
                        </a:ln>
                      </wps:spPr>
                      <wps:bodyPr upright="1"/>
                    </wps:wsp>
                  </a:graphicData>
                </a:graphic>
              </wp:anchor>
            </w:drawing>
          </mc:Choice>
          <mc:Fallback>
            <w:pict>
              <v:shape id="_x0000_s1026" o:spid="_x0000_s1026" o:spt="100" style="position:absolute;left:0pt;margin-left:70.2pt;margin-top:24.35pt;height:1.05pt;width:357.95pt;z-index:-251654144;mso-width-relative:page;mso-height-relative:page;" filled="f" stroked="t" coordsize="7159,20" o:gfxdata="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Bt1zwl1gAAAAkBAAAPAAAAAAAAAAEAIAAA&#10;ACIAAABkcnMvZG93bnJldi54bWxQSwECFAAUAAAACACHTuJAqjzEU0cCAACoBAAADgAAAAAAAAAB&#10;ACAAAAAlAQAAZHJzL2Uyb0RvYy54bWxQSwUGAAAAAAYABgBZAQAA3gUAAAAA&#10;" path="m0,10l7158,10e">
                <v:fill on="f" focussize="0,0"/>
                <v:stroke weight="1pt" color="#000000" miterlimit="10" joinstyle="miter"/>
                <v:imagedata o:title=""/>
                <o:lock v:ext="edit" aspectratio="f"/>
              </v:shape>
            </w:pict>
          </mc:Fallback>
        </mc:AlternateContent>
      </w:r>
      <w:r>
        <w:rPr>
          <w:rFonts w:ascii="宋体" w:hAnsi="宋体" w:eastAsia="宋体" w:cs="宋体"/>
          <w:i/>
          <w:iCs/>
          <w:color w:val="auto"/>
          <w:spacing w:val="-14"/>
          <w:sz w:val="21"/>
          <w:szCs w:val="21"/>
        </w:rPr>
        <w:t>(见</w:t>
      </w:r>
      <w:r>
        <w:rPr>
          <w:rFonts w:hint="eastAsia" w:ascii="宋体" w:hAnsi="宋体" w:eastAsia="宋体" w:cs="宋体"/>
          <w:i/>
          <w:iCs/>
          <w:color w:val="auto"/>
          <w:spacing w:val="-14"/>
          <w:sz w:val="21"/>
          <w:szCs w:val="21"/>
          <w:lang w:eastAsia="zh-CN"/>
        </w:rPr>
        <w:t>招标文件</w:t>
      </w:r>
      <w:r>
        <w:rPr>
          <w:rFonts w:ascii="宋体" w:hAnsi="宋体" w:eastAsia="宋体" w:cs="宋体"/>
          <w:i/>
          <w:iCs/>
          <w:color w:val="auto"/>
          <w:spacing w:val="-14"/>
          <w:sz w:val="21"/>
          <w:szCs w:val="21"/>
        </w:rPr>
        <w:t>)</w:t>
      </w:r>
      <w:r>
        <w:rPr>
          <w:rFonts w:ascii="宋体" w:hAnsi="宋体" w:eastAsia="宋体" w:cs="宋体"/>
          <w:color w:val="auto"/>
          <w:position w:val="1"/>
          <w:sz w:val="21"/>
          <w:szCs w:val="21"/>
        </w:rPr>
        <w:t>。</w:t>
      </w:r>
    </w:p>
    <w:p w14:paraId="137C4C93">
      <w:pPr>
        <w:keepNext w:val="0"/>
        <w:keepLines w:val="0"/>
        <w:pageBreakBefore w:val="0"/>
        <w:widowControl w:val="0"/>
        <w:kinsoku/>
        <w:wordWrap/>
        <w:overflowPunct/>
        <w:topLinePunct w:val="0"/>
        <w:autoSpaceDE/>
        <w:autoSpaceDN/>
        <w:bidi w:val="0"/>
        <w:adjustRightInd/>
        <w:snapToGrid/>
        <w:spacing w:line="400" w:lineRule="exact"/>
        <w:ind w:left="520"/>
        <w:textAlignment w:val="auto"/>
        <w:rPr>
          <w:rFonts w:ascii="宋体" w:hAnsi="宋体" w:eastAsia="宋体" w:cs="宋体"/>
          <w:color w:val="auto"/>
          <w:sz w:val="21"/>
          <w:szCs w:val="21"/>
        </w:rPr>
      </w:pPr>
      <w:r>
        <w:rPr>
          <w:rFonts w:ascii="宋体" w:hAnsi="宋体" w:eastAsia="宋体" w:cs="宋体"/>
          <w:b/>
          <w:bCs/>
          <w:color w:val="auto"/>
          <w:spacing w:val="-3"/>
          <w:sz w:val="21"/>
          <w:szCs w:val="21"/>
        </w:rPr>
        <w:t>六、</w:t>
      </w:r>
      <w:r>
        <w:rPr>
          <w:rFonts w:ascii="宋体" w:hAnsi="宋体" w:eastAsia="宋体" w:cs="宋体"/>
          <w:color w:val="auto"/>
          <w:spacing w:val="-3"/>
          <w:sz w:val="21"/>
          <w:szCs w:val="21"/>
        </w:rPr>
        <w:t xml:space="preserve">  </w:t>
      </w:r>
      <w:r>
        <w:rPr>
          <w:rFonts w:ascii="宋体" w:hAnsi="宋体" w:eastAsia="宋体" w:cs="宋体"/>
          <w:b/>
          <w:bCs/>
          <w:color w:val="auto"/>
          <w:spacing w:val="-3"/>
          <w:sz w:val="21"/>
          <w:szCs w:val="21"/>
        </w:rPr>
        <w:t>合同价款</w:t>
      </w:r>
    </w:p>
    <w:p w14:paraId="3B614D3A">
      <w:pPr>
        <w:keepNext w:val="0"/>
        <w:keepLines w:val="0"/>
        <w:pageBreakBefore w:val="0"/>
        <w:widowControl w:val="0"/>
        <w:kinsoku/>
        <w:wordWrap/>
        <w:overflowPunct/>
        <w:topLinePunct w:val="0"/>
        <w:autoSpaceDE/>
        <w:autoSpaceDN/>
        <w:bidi w:val="0"/>
        <w:adjustRightInd/>
        <w:snapToGrid/>
        <w:spacing w:line="400" w:lineRule="exact"/>
        <w:ind w:left="611" w:right="28" w:firstLine="472"/>
        <w:textAlignment w:val="auto"/>
        <w:rPr>
          <w:rFonts w:ascii="宋体" w:hAnsi="宋体" w:eastAsia="宋体" w:cs="宋体"/>
          <w:color w:val="auto"/>
          <w:sz w:val="21"/>
          <w:szCs w:val="21"/>
        </w:rPr>
      </w:pPr>
      <w:r>
        <w:rPr>
          <w:rFonts w:ascii="宋体" w:hAnsi="宋体" w:eastAsia="宋体" w:cs="宋体"/>
          <w:color w:val="auto"/>
          <w:spacing w:val="-2"/>
          <w:sz w:val="21"/>
          <w:szCs w:val="21"/>
        </w:rPr>
        <w:t>1．本合同金额为（大写</w:t>
      </w:r>
      <w:r>
        <w:rPr>
          <w:rFonts w:ascii="宋体" w:hAnsi="宋体" w:eastAsia="宋体" w:cs="宋体"/>
          <w:color w:val="auto"/>
          <w:spacing w:val="8"/>
          <w:sz w:val="21"/>
          <w:szCs w:val="21"/>
        </w:rPr>
        <w:t>）：</w:t>
      </w:r>
      <w:r>
        <w:rPr>
          <w:rFonts w:ascii="宋体" w:hAnsi="宋体" w:eastAsia="宋体" w:cs="宋体"/>
          <w:color w:val="auto"/>
          <w:spacing w:val="-2"/>
          <w:sz w:val="21"/>
          <w:szCs w:val="21"/>
        </w:rPr>
        <w:t>人民币</w:t>
      </w:r>
      <w:r>
        <w:rPr>
          <w:rFonts w:ascii="宋体" w:hAnsi="宋体" w:eastAsia="宋体" w:cs="宋体"/>
          <w:color w:val="auto"/>
          <w:spacing w:val="16"/>
          <w:sz w:val="21"/>
          <w:szCs w:val="21"/>
          <w:u w:val="single" w:color="auto"/>
        </w:rPr>
        <w:t xml:space="preserve"> </w:t>
      </w:r>
      <w:r>
        <w:rPr>
          <w:rFonts w:ascii="宋体" w:hAnsi="宋体" w:eastAsia="宋体" w:cs="宋体"/>
          <w:i/>
          <w:iCs/>
          <w:color w:val="auto"/>
          <w:spacing w:val="-2"/>
          <w:sz w:val="21"/>
          <w:szCs w:val="21"/>
          <w:u w:val="single" w:color="auto"/>
        </w:rPr>
        <w:t>(见</w:t>
      </w:r>
      <w:r>
        <w:rPr>
          <w:rFonts w:hint="eastAsia" w:ascii="宋体" w:hAnsi="宋体" w:eastAsia="宋体" w:cs="宋体"/>
          <w:i/>
          <w:iCs/>
          <w:color w:val="auto"/>
          <w:spacing w:val="-2"/>
          <w:sz w:val="21"/>
          <w:szCs w:val="21"/>
          <w:u w:val="single" w:color="auto"/>
          <w:lang w:eastAsia="zh-CN"/>
        </w:rPr>
        <w:t>招标文件</w:t>
      </w:r>
      <w:r>
        <w:rPr>
          <w:rFonts w:ascii="宋体" w:hAnsi="宋体" w:eastAsia="宋体" w:cs="宋体"/>
          <w:i/>
          <w:iCs/>
          <w:color w:val="auto"/>
          <w:spacing w:val="-2"/>
          <w:sz w:val="21"/>
          <w:szCs w:val="21"/>
          <w:u w:val="single" w:color="auto"/>
        </w:rPr>
        <w:t>)</w:t>
      </w:r>
      <w:r>
        <w:rPr>
          <w:rFonts w:ascii="宋体" w:hAnsi="宋体" w:eastAsia="宋体" w:cs="宋体"/>
          <w:color w:val="auto"/>
          <w:spacing w:val="-2"/>
          <w:sz w:val="21"/>
          <w:szCs w:val="21"/>
          <w:u w:val="single" w:color="auto"/>
        </w:rPr>
        <w:t xml:space="preserve">  </w:t>
      </w:r>
      <w:r>
        <w:rPr>
          <w:rFonts w:ascii="宋体" w:hAnsi="宋体" w:eastAsia="宋体" w:cs="宋体"/>
          <w:color w:val="auto"/>
          <w:spacing w:val="-108"/>
          <w:sz w:val="21"/>
          <w:szCs w:val="21"/>
        </w:rPr>
        <w:t xml:space="preserve"> </w:t>
      </w:r>
      <w:r>
        <w:rPr>
          <w:rFonts w:ascii="宋体" w:hAnsi="宋体" w:eastAsia="宋体" w:cs="宋体"/>
          <w:color w:val="auto"/>
          <w:spacing w:val="-2"/>
          <w:sz w:val="21"/>
          <w:szCs w:val="21"/>
        </w:rPr>
        <w:t>元(¥:</w:t>
      </w:r>
      <w:r>
        <w:rPr>
          <w:rFonts w:ascii="宋体" w:hAnsi="宋体" w:eastAsia="宋体" w:cs="宋体"/>
          <w:color w:val="auto"/>
          <w:spacing w:val="54"/>
          <w:sz w:val="21"/>
          <w:szCs w:val="21"/>
        </w:rPr>
        <w:t xml:space="preserve"> </w:t>
      </w:r>
      <w:r>
        <w:rPr>
          <w:rFonts w:ascii="宋体" w:hAnsi="宋体" w:eastAsia="宋体" w:cs="宋体"/>
          <w:color w:val="auto"/>
          <w:spacing w:val="79"/>
          <w:sz w:val="21"/>
          <w:szCs w:val="21"/>
          <w:u w:val="single" w:color="auto"/>
        </w:rPr>
        <w:t xml:space="preserve"> </w:t>
      </w:r>
      <w:r>
        <w:rPr>
          <w:rFonts w:ascii="宋体" w:hAnsi="宋体" w:eastAsia="宋体" w:cs="宋体"/>
          <w:color w:val="auto"/>
          <w:sz w:val="21"/>
          <w:szCs w:val="21"/>
        </w:rPr>
        <w:t xml:space="preserve"> </w:t>
      </w:r>
      <w:r>
        <w:rPr>
          <w:rFonts w:ascii="宋体" w:hAnsi="宋体" w:eastAsia="宋体" w:cs="宋体"/>
          <w:color w:val="auto"/>
          <w:spacing w:val="14"/>
          <w:sz w:val="21"/>
          <w:szCs w:val="21"/>
        </w:rPr>
        <w:t>);</w:t>
      </w:r>
    </w:p>
    <w:p w14:paraId="322F76E9">
      <w:pPr>
        <w:keepNext w:val="0"/>
        <w:keepLines w:val="0"/>
        <w:pageBreakBefore w:val="0"/>
        <w:widowControl w:val="0"/>
        <w:kinsoku/>
        <w:wordWrap/>
        <w:overflowPunct/>
        <w:topLinePunct w:val="0"/>
        <w:autoSpaceDE/>
        <w:autoSpaceDN/>
        <w:bidi w:val="0"/>
        <w:adjustRightInd/>
        <w:snapToGrid/>
        <w:spacing w:line="400" w:lineRule="exact"/>
        <w:ind w:left="586" w:right="106" w:firstLine="481"/>
        <w:textAlignment w:val="auto"/>
        <w:rPr>
          <w:rFonts w:ascii="宋体" w:hAnsi="宋体" w:eastAsia="宋体" w:cs="宋体"/>
          <w:color w:val="auto"/>
          <w:sz w:val="21"/>
          <w:szCs w:val="21"/>
        </w:rPr>
      </w:pPr>
      <w:r>
        <w:rPr>
          <w:rFonts w:ascii="宋体" w:hAnsi="宋体" w:eastAsia="宋体" w:cs="宋体"/>
          <w:color w:val="auto"/>
          <w:spacing w:val="-1"/>
          <w:sz w:val="21"/>
          <w:szCs w:val="21"/>
        </w:rPr>
        <w:t>2．合同金额包括乙方完成本合同约定的全部工作可能发生的所有费</w:t>
      </w:r>
      <w:r>
        <w:rPr>
          <w:rFonts w:ascii="宋体" w:hAnsi="宋体" w:eastAsia="宋体" w:cs="宋体"/>
          <w:color w:val="auto"/>
          <w:spacing w:val="-2"/>
          <w:sz w:val="21"/>
          <w:szCs w:val="21"/>
        </w:rPr>
        <w:t>用（含市场变化等可能发生的费用</w:t>
      </w:r>
      <w:r>
        <w:rPr>
          <w:rFonts w:ascii="宋体" w:hAnsi="宋体" w:eastAsia="宋体" w:cs="宋体"/>
          <w:color w:val="auto"/>
          <w:spacing w:val="8"/>
          <w:sz w:val="21"/>
          <w:szCs w:val="21"/>
        </w:rPr>
        <w:t>），</w:t>
      </w:r>
      <w:r>
        <w:rPr>
          <w:rFonts w:ascii="宋体" w:hAnsi="宋体" w:eastAsia="宋体" w:cs="宋体"/>
          <w:color w:val="auto"/>
          <w:spacing w:val="-2"/>
          <w:sz w:val="21"/>
          <w:szCs w:val="21"/>
        </w:rPr>
        <w:t>即总报价为“交钥匙</w:t>
      </w:r>
      <w:r>
        <w:rPr>
          <w:rFonts w:ascii="宋体" w:hAnsi="宋体" w:eastAsia="宋体" w:cs="宋体"/>
          <w:color w:val="auto"/>
          <w:spacing w:val="-87"/>
          <w:sz w:val="21"/>
          <w:szCs w:val="21"/>
        </w:rPr>
        <w:t xml:space="preserve"> </w:t>
      </w:r>
      <w:r>
        <w:rPr>
          <w:rFonts w:ascii="宋体" w:hAnsi="宋体" w:eastAsia="宋体" w:cs="宋体"/>
          <w:color w:val="auto"/>
          <w:spacing w:val="-2"/>
          <w:sz w:val="21"/>
          <w:szCs w:val="21"/>
        </w:rPr>
        <w:t>”价。甲方在</w:t>
      </w:r>
      <w:r>
        <w:rPr>
          <w:rFonts w:ascii="宋体" w:hAnsi="宋体" w:eastAsia="宋体" w:cs="宋体"/>
          <w:color w:val="auto"/>
          <w:spacing w:val="-3"/>
          <w:sz w:val="21"/>
          <w:szCs w:val="21"/>
        </w:rPr>
        <w:t>支付此金额后，不再因本合同支付任何其它费用；</w:t>
      </w:r>
    </w:p>
    <w:p w14:paraId="69F4CFE5">
      <w:pPr>
        <w:keepNext w:val="0"/>
        <w:keepLines w:val="0"/>
        <w:pageBreakBefore w:val="0"/>
        <w:widowControl w:val="0"/>
        <w:kinsoku/>
        <w:wordWrap/>
        <w:overflowPunct/>
        <w:topLinePunct w:val="0"/>
        <w:autoSpaceDE/>
        <w:autoSpaceDN/>
        <w:bidi w:val="0"/>
        <w:adjustRightInd/>
        <w:snapToGrid/>
        <w:spacing w:line="400" w:lineRule="exact"/>
        <w:ind w:left="1070"/>
        <w:textAlignment w:val="auto"/>
        <w:rPr>
          <w:rFonts w:ascii="宋体" w:hAnsi="宋体" w:eastAsia="宋体" w:cs="宋体"/>
          <w:color w:val="auto"/>
          <w:sz w:val="21"/>
          <w:szCs w:val="21"/>
        </w:rPr>
      </w:pPr>
      <w:r>
        <w:rPr>
          <w:rFonts w:ascii="宋体" w:hAnsi="宋体" w:eastAsia="宋体" w:cs="宋体"/>
          <w:color w:val="auto"/>
          <w:spacing w:val="-8"/>
          <w:sz w:val="21"/>
          <w:szCs w:val="21"/>
        </w:rPr>
        <w:t>3．</w:t>
      </w:r>
      <w:r>
        <w:rPr>
          <w:rFonts w:ascii="宋体" w:hAnsi="宋体" w:eastAsia="宋体" w:cs="宋体"/>
          <w:color w:val="auto"/>
          <w:sz w:val="21"/>
          <w:szCs w:val="21"/>
          <w:u w:val="single" w:color="auto"/>
        </w:rPr>
        <w:t xml:space="preserve">                                          </w:t>
      </w:r>
      <w:r>
        <w:rPr>
          <w:rFonts w:ascii="宋体" w:hAnsi="宋体" w:eastAsia="宋体" w:cs="宋体"/>
          <w:color w:val="auto"/>
          <w:position w:val="1"/>
          <w:sz w:val="21"/>
          <w:szCs w:val="21"/>
        </w:rPr>
        <w:t>。</w:t>
      </w:r>
    </w:p>
    <w:p w14:paraId="1A4AE58B">
      <w:pPr>
        <w:keepNext w:val="0"/>
        <w:keepLines w:val="0"/>
        <w:pageBreakBefore w:val="0"/>
        <w:widowControl w:val="0"/>
        <w:kinsoku/>
        <w:wordWrap/>
        <w:overflowPunct/>
        <w:topLinePunct w:val="0"/>
        <w:autoSpaceDE/>
        <w:autoSpaceDN/>
        <w:bidi w:val="0"/>
        <w:adjustRightInd/>
        <w:snapToGrid/>
        <w:spacing w:line="400" w:lineRule="exact"/>
        <w:ind w:left="517"/>
        <w:textAlignment w:val="auto"/>
        <w:rPr>
          <w:rFonts w:ascii="宋体" w:hAnsi="宋体" w:eastAsia="宋体" w:cs="宋体"/>
          <w:color w:val="auto"/>
          <w:sz w:val="21"/>
          <w:szCs w:val="21"/>
        </w:rPr>
      </w:pPr>
      <w:r>
        <w:rPr>
          <w:rFonts w:ascii="宋体" w:hAnsi="宋体" w:eastAsia="宋体" w:cs="宋体"/>
          <w:b/>
          <w:bCs/>
          <w:color w:val="auto"/>
          <w:spacing w:val="-3"/>
          <w:sz w:val="21"/>
          <w:szCs w:val="21"/>
        </w:rPr>
        <w:t>七、</w:t>
      </w:r>
      <w:r>
        <w:rPr>
          <w:rFonts w:ascii="宋体" w:hAnsi="宋体" w:eastAsia="宋体" w:cs="宋体"/>
          <w:color w:val="auto"/>
          <w:spacing w:val="-3"/>
          <w:sz w:val="21"/>
          <w:szCs w:val="21"/>
        </w:rPr>
        <w:t xml:space="preserve">  </w:t>
      </w:r>
      <w:r>
        <w:rPr>
          <w:rFonts w:ascii="宋体" w:hAnsi="宋体" w:eastAsia="宋体" w:cs="宋体"/>
          <w:b/>
          <w:bCs/>
          <w:color w:val="auto"/>
          <w:spacing w:val="-3"/>
          <w:sz w:val="21"/>
          <w:szCs w:val="21"/>
        </w:rPr>
        <w:t>资金支付方式及安排</w:t>
      </w:r>
    </w:p>
    <w:p w14:paraId="0AC4FC9E">
      <w:pPr>
        <w:keepNext w:val="0"/>
        <w:keepLines w:val="0"/>
        <w:pageBreakBefore w:val="0"/>
        <w:widowControl w:val="0"/>
        <w:tabs>
          <w:tab w:val="left" w:pos="1886"/>
        </w:tabs>
        <w:kinsoku/>
        <w:wordWrap/>
        <w:overflowPunct/>
        <w:topLinePunct w:val="0"/>
        <w:autoSpaceDE/>
        <w:autoSpaceDN/>
        <w:bidi w:val="0"/>
        <w:adjustRightInd/>
        <w:snapToGrid/>
        <w:spacing w:line="400" w:lineRule="exact"/>
        <w:ind w:left="1295"/>
        <w:textAlignment w:val="auto"/>
        <w:rPr>
          <w:rFonts w:ascii="宋体" w:hAnsi="宋体" w:eastAsia="宋体" w:cs="宋体"/>
          <w:color w:val="auto"/>
          <w:sz w:val="21"/>
          <w:szCs w:val="21"/>
        </w:rPr>
      </w:pPr>
      <w:r>
        <w:rPr>
          <w:rFonts w:ascii="宋体" w:hAnsi="宋体" w:eastAsia="宋体" w:cs="宋体"/>
          <w:color w:val="auto"/>
          <w:sz w:val="21"/>
          <w:szCs w:val="21"/>
          <w:u w:val="single" w:color="auto"/>
        </w:rPr>
        <w:tab/>
      </w:r>
      <w:r>
        <w:rPr>
          <w:rFonts w:ascii="宋体" w:hAnsi="宋体" w:eastAsia="宋体" w:cs="宋体"/>
          <w:i/>
          <w:iCs/>
          <w:color w:val="auto"/>
          <w:spacing w:val="-12"/>
          <w:sz w:val="21"/>
          <w:szCs w:val="21"/>
          <w:u w:val="single" w:color="auto"/>
        </w:rPr>
        <w:t>(见</w:t>
      </w:r>
      <w:r>
        <w:rPr>
          <w:rFonts w:hint="eastAsia" w:ascii="宋体" w:hAnsi="宋体" w:eastAsia="宋体" w:cs="宋体"/>
          <w:i/>
          <w:iCs/>
          <w:color w:val="auto"/>
          <w:spacing w:val="-12"/>
          <w:sz w:val="21"/>
          <w:szCs w:val="21"/>
          <w:u w:val="single" w:color="auto"/>
          <w:lang w:eastAsia="zh-CN"/>
        </w:rPr>
        <w:t>招标文件</w:t>
      </w:r>
      <w:r>
        <w:rPr>
          <w:rFonts w:ascii="宋体" w:hAnsi="宋体" w:eastAsia="宋体" w:cs="宋体"/>
          <w:i/>
          <w:iCs/>
          <w:color w:val="auto"/>
          <w:spacing w:val="-12"/>
          <w:sz w:val="21"/>
          <w:szCs w:val="21"/>
          <w:u w:val="single" w:color="auto"/>
        </w:rPr>
        <w:t>)</w:t>
      </w:r>
      <w:r>
        <w:rPr>
          <w:rFonts w:ascii="宋体" w:hAnsi="宋体" w:eastAsia="宋体" w:cs="宋体"/>
          <w:color w:val="auto"/>
          <w:sz w:val="21"/>
          <w:szCs w:val="21"/>
          <w:u w:val="single" w:color="auto"/>
        </w:rPr>
        <w:t xml:space="preserve">                                </w:t>
      </w:r>
      <w:r>
        <w:rPr>
          <w:rFonts w:ascii="宋体" w:hAnsi="宋体" w:eastAsia="宋体" w:cs="宋体"/>
          <w:color w:val="auto"/>
          <w:spacing w:val="-12"/>
          <w:sz w:val="21"/>
          <w:szCs w:val="21"/>
        </w:rPr>
        <w:t>。</w:t>
      </w:r>
    </w:p>
    <w:p w14:paraId="13D68211">
      <w:pPr>
        <w:keepNext w:val="0"/>
        <w:keepLines w:val="0"/>
        <w:pageBreakBefore w:val="0"/>
        <w:widowControl w:val="0"/>
        <w:kinsoku/>
        <w:wordWrap/>
        <w:overflowPunct/>
        <w:topLinePunct w:val="0"/>
        <w:autoSpaceDE/>
        <w:autoSpaceDN/>
        <w:bidi w:val="0"/>
        <w:adjustRightInd/>
        <w:snapToGrid/>
        <w:spacing w:line="400" w:lineRule="exact"/>
        <w:ind w:left="522"/>
        <w:textAlignment w:val="auto"/>
        <w:rPr>
          <w:rFonts w:ascii="宋体" w:hAnsi="宋体" w:eastAsia="宋体" w:cs="宋体"/>
          <w:color w:val="auto"/>
          <w:sz w:val="21"/>
          <w:szCs w:val="21"/>
        </w:rPr>
      </w:pPr>
      <w:r>
        <w:rPr>
          <w:rFonts w:ascii="宋体" w:hAnsi="宋体" w:eastAsia="宋体" w:cs="宋体"/>
          <w:b/>
          <w:bCs/>
          <w:color w:val="auto"/>
          <w:spacing w:val="-3"/>
          <w:sz w:val="21"/>
          <w:szCs w:val="21"/>
        </w:rPr>
        <w:t>八、</w:t>
      </w:r>
      <w:r>
        <w:rPr>
          <w:rFonts w:ascii="宋体" w:hAnsi="宋体" w:eastAsia="宋体" w:cs="宋体"/>
          <w:color w:val="auto"/>
          <w:spacing w:val="-3"/>
          <w:sz w:val="21"/>
          <w:szCs w:val="21"/>
        </w:rPr>
        <w:t xml:space="preserve">  </w:t>
      </w:r>
      <w:r>
        <w:rPr>
          <w:rFonts w:ascii="宋体" w:hAnsi="宋体" w:eastAsia="宋体" w:cs="宋体"/>
          <w:b/>
          <w:bCs/>
          <w:color w:val="auto"/>
          <w:spacing w:val="-3"/>
          <w:sz w:val="21"/>
          <w:szCs w:val="21"/>
        </w:rPr>
        <w:t>交付标准、方法和验收方案</w:t>
      </w:r>
    </w:p>
    <w:p w14:paraId="1CDCF0A2">
      <w:pPr>
        <w:keepNext w:val="0"/>
        <w:keepLines w:val="0"/>
        <w:pageBreakBefore w:val="0"/>
        <w:widowControl w:val="0"/>
        <w:kinsoku/>
        <w:wordWrap/>
        <w:overflowPunct/>
        <w:topLinePunct w:val="0"/>
        <w:autoSpaceDE/>
        <w:autoSpaceDN/>
        <w:bidi w:val="0"/>
        <w:adjustRightInd/>
        <w:snapToGrid/>
        <w:spacing w:line="400" w:lineRule="exact"/>
        <w:ind w:left="1083"/>
        <w:textAlignment w:val="auto"/>
        <w:rPr>
          <w:rFonts w:ascii="宋体" w:hAnsi="宋体" w:eastAsia="宋体" w:cs="宋体"/>
          <w:color w:val="auto"/>
          <w:sz w:val="21"/>
          <w:szCs w:val="21"/>
        </w:rPr>
      </w:pPr>
      <w:r>
        <w:rPr>
          <w:rFonts w:ascii="宋体" w:hAnsi="宋体" w:eastAsia="宋体" w:cs="宋体"/>
          <w:color w:val="auto"/>
          <w:spacing w:val="-5"/>
          <w:sz w:val="21"/>
          <w:szCs w:val="21"/>
        </w:rPr>
        <w:t>1．交付标准、方法</w:t>
      </w:r>
      <w:r>
        <w:rPr>
          <w:rFonts w:ascii="宋体" w:hAnsi="宋体" w:eastAsia="宋体" w:cs="宋体"/>
          <w:color w:val="auto"/>
          <w:spacing w:val="-5"/>
          <w:sz w:val="21"/>
          <w:szCs w:val="21"/>
          <w:u w:val="single" w:color="auto"/>
        </w:rPr>
        <w:t>：</w:t>
      </w:r>
      <w:r>
        <w:rPr>
          <w:rFonts w:ascii="宋体" w:hAnsi="宋体" w:eastAsia="宋体" w:cs="宋体"/>
          <w:color w:val="auto"/>
          <w:spacing w:val="12"/>
          <w:sz w:val="21"/>
          <w:szCs w:val="21"/>
          <w:u w:val="single" w:color="auto"/>
        </w:rPr>
        <w:t xml:space="preserve">       </w:t>
      </w:r>
      <w:r>
        <w:rPr>
          <w:rFonts w:ascii="宋体" w:hAnsi="宋体" w:eastAsia="宋体" w:cs="宋体"/>
          <w:i/>
          <w:iCs/>
          <w:color w:val="auto"/>
          <w:spacing w:val="-5"/>
          <w:sz w:val="21"/>
          <w:szCs w:val="21"/>
          <w:u w:val="single" w:color="auto"/>
        </w:rPr>
        <w:t>(见</w:t>
      </w:r>
      <w:r>
        <w:rPr>
          <w:rFonts w:hint="eastAsia" w:ascii="宋体" w:hAnsi="宋体" w:eastAsia="宋体" w:cs="宋体"/>
          <w:i/>
          <w:iCs/>
          <w:color w:val="auto"/>
          <w:spacing w:val="-5"/>
          <w:sz w:val="21"/>
          <w:szCs w:val="21"/>
          <w:u w:val="single" w:color="auto"/>
          <w:lang w:eastAsia="zh-CN"/>
        </w:rPr>
        <w:t>招标文件</w:t>
      </w:r>
      <w:r>
        <w:rPr>
          <w:rFonts w:ascii="宋体" w:hAnsi="宋体" w:eastAsia="宋体" w:cs="宋体"/>
          <w:i/>
          <w:iCs/>
          <w:color w:val="auto"/>
          <w:spacing w:val="-5"/>
          <w:sz w:val="21"/>
          <w:szCs w:val="21"/>
          <w:u w:val="single" w:color="auto"/>
        </w:rPr>
        <w:t>)</w:t>
      </w:r>
      <w:r>
        <w:rPr>
          <w:rFonts w:ascii="宋体" w:hAnsi="宋体" w:eastAsia="宋体" w:cs="宋体"/>
          <w:color w:val="auto"/>
          <w:spacing w:val="-5"/>
          <w:sz w:val="21"/>
          <w:szCs w:val="21"/>
          <w:u w:val="single" w:color="auto"/>
        </w:rPr>
        <w:t xml:space="preserve">                   ；</w:t>
      </w:r>
    </w:p>
    <w:p w14:paraId="0759CBB2">
      <w:pPr>
        <w:keepNext w:val="0"/>
        <w:keepLines w:val="0"/>
        <w:pageBreakBefore w:val="0"/>
        <w:widowControl w:val="0"/>
        <w:kinsoku/>
        <w:wordWrap/>
        <w:overflowPunct/>
        <w:topLinePunct w:val="0"/>
        <w:autoSpaceDE/>
        <w:autoSpaceDN/>
        <w:bidi w:val="0"/>
        <w:adjustRightInd/>
        <w:snapToGrid/>
        <w:spacing w:line="400" w:lineRule="exact"/>
        <w:ind w:left="1068"/>
        <w:textAlignment w:val="auto"/>
        <w:rPr>
          <w:rFonts w:ascii="宋体" w:hAnsi="宋体" w:eastAsia="宋体" w:cs="宋体"/>
          <w:color w:val="auto"/>
          <w:sz w:val="21"/>
          <w:szCs w:val="21"/>
        </w:rPr>
      </w:pPr>
      <w:r>
        <w:rPr>
          <w:rFonts w:ascii="宋体" w:hAnsi="宋体" w:eastAsia="宋体" w:cs="宋体"/>
          <w:color w:val="auto"/>
          <w:spacing w:val="-5"/>
          <w:sz w:val="21"/>
          <w:szCs w:val="21"/>
        </w:rPr>
        <w:t>2．验收方案：</w:t>
      </w:r>
      <w:r>
        <w:rPr>
          <w:rFonts w:ascii="宋体" w:hAnsi="宋体" w:eastAsia="宋体" w:cs="宋体"/>
          <w:color w:val="auto"/>
          <w:spacing w:val="6"/>
          <w:sz w:val="21"/>
          <w:szCs w:val="21"/>
          <w:u w:val="single" w:color="auto"/>
        </w:rPr>
        <w:t xml:space="preserve">           </w:t>
      </w:r>
      <w:r>
        <w:rPr>
          <w:rFonts w:ascii="宋体" w:hAnsi="宋体" w:eastAsia="宋体" w:cs="宋体"/>
          <w:i/>
          <w:iCs/>
          <w:color w:val="auto"/>
          <w:spacing w:val="-5"/>
          <w:sz w:val="21"/>
          <w:szCs w:val="21"/>
          <w:u w:val="single" w:color="auto"/>
        </w:rPr>
        <w:t>(见</w:t>
      </w:r>
      <w:r>
        <w:rPr>
          <w:rFonts w:hint="eastAsia" w:ascii="宋体" w:hAnsi="宋体" w:eastAsia="宋体" w:cs="宋体"/>
          <w:i/>
          <w:iCs/>
          <w:color w:val="auto"/>
          <w:spacing w:val="-5"/>
          <w:sz w:val="21"/>
          <w:szCs w:val="21"/>
          <w:u w:val="single" w:color="auto"/>
          <w:lang w:eastAsia="zh-CN"/>
        </w:rPr>
        <w:t>招标文件</w:t>
      </w:r>
      <w:r>
        <w:rPr>
          <w:rFonts w:ascii="宋体" w:hAnsi="宋体" w:eastAsia="宋体" w:cs="宋体"/>
          <w:i/>
          <w:iCs/>
          <w:color w:val="auto"/>
          <w:spacing w:val="-5"/>
          <w:sz w:val="21"/>
          <w:szCs w:val="21"/>
          <w:u w:val="single" w:color="auto"/>
        </w:rPr>
        <w:t>)</w:t>
      </w:r>
      <w:r>
        <w:rPr>
          <w:rFonts w:ascii="宋体" w:hAnsi="宋体" w:eastAsia="宋体" w:cs="宋体"/>
          <w:color w:val="auto"/>
          <w:spacing w:val="-5"/>
          <w:sz w:val="21"/>
          <w:szCs w:val="21"/>
          <w:u w:val="single" w:color="auto"/>
        </w:rPr>
        <w:t xml:space="preserve">                     </w:t>
      </w:r>
      <w:r>
        <w:rPr>
          <w:rFonts w:ascii="宋体" w:hAnsi="宋体" w:eastAsia="宋体" w:cs="宋体"/>
          <w:color w:val="auto"/>
          <w:spacing w:val="-5"/>
          <w:sz w:val="21"/>
          <w:szCs w:val="21"/>
        </w:rPr>
        <w:t>。</w:t>
      </w:r>
    </w:p>
    <w:p w14:paraId="304EB84F">
      <w:pPr>
        <w:keepNext w:val="0"/>
        <w:keepLines w:val="0"/>
        <w:pageBreakBefore w:val="0"/>
        <w:widowControl w:val="0"/>
        <w:kinsoku/>
        <w:wordWrap/>
        <w:overflowPunct/>
        <w:topLinePunct w:val="0"/>
        <w:autoSpaceDE/>
        <w:autoSpaceDN/>
        <w:bidi w:val="0"/>
        <w:adjustRightInd/>
        <w:snapToGrid/>
        <w:spacing w:line="400" w:lineRule="exact"/>
        <w:ind w:left="524"/>
        <w:textAlignment w:val="auto"/>
        <w:rPr>
          <w:rFonts w:ascii="宋体" w:hAnsi="宋体" w:eastAsia="宋体" w:cs="宋体"/>
          <w:color w:val="auto"/>
          <w:sz w:val="21"/>
          <w:szCs w:val="21"/>
        </w:rPr>
      </w:pPr>
      <w:r>
        <w:rPr>
          <w:rFonts w:ascii="宋体" w:hAnsi="宋体" w:eastAsia="宋体" w:cs="宋体"/>
          <w:b/>
          <w:bCs/>
          <w:color w:val="auto"/>
          <w:spacing w:val="-3"/>
          <w:sz w:val="21"/>
          <w:szCs w:val="21"/>
        </w:rPr>
        <w:t>九、</w:t>
      </w:r>
      <w:r>
        <w:rPr>
          <w:rFonts w:ascii="宋体" w:hAnsi="宋体" w:eastAsia="宋体" w:cs="宋体"/>
          <w:color w:val="auto"/>
          <w:spacing w:val="-3"/>
          <w:sz w:val="21"/>
          <w:szCs w:val="21"/>
        </w:rPr>
        <w:t xml:space="preserve">  </w:t>
      </w:r>
      <w:r>
        <w:rPr>
          <w:rFonts w:ascii="宋体" w:hAnsi="宋体" w:eastAsia="宋体" w:cs="宋体"/>
          <w:b/>
          <w:bCs/>
          <w:color w:val="auto"/>
          <w:spacing w:val="-3"/>
          <w:sz w:val="21"/>
          <w:szCs w:val="21"/>
        </w:rPr>
        <w:t>质保（服务）期及质保（服务）范围和要求</w:t>
      </w:r>
    </w:p>
    <w:p w14:paraId="42C998EB">
      <w:pPr>
        <w:keepNext w:val="0"/>
        <w:keepLines w:val="0"/>
        <w:pageBreakBefore w:val="0"/>
        <w:widowControl w:val="0"/>
        <w:kinsoku/>
        <w:wordWrap/>
        <w:overflowPunct/>
        <w:topLinePunct w:val="0"/>
        <w:autoSpaceDE/>
        <w:autoSpaceDN/>
        <w:bidi w:val="0"/>
        <w:adjustRightInd/>
        <w:snapToGrid/>
        <w:spacing w:line="400" w:lineRule="exact"/>
        <w:ind w:left="1083"/>
        <w:textAlignment w:val="auto"/>
        <w:rPr>
          <w:rFonts w:ascii="宋体" w:hAnsi="宋体" w:eastAsia="宋体" w:cs="宋体"/>
          <w:color w:val="auto"/>
          <w:sz w:val="21"/>
          <w:szCs w:val="21"/>
        </w:rPr>
      </w:pPr>
      <w:r>
        <w:rPr>
          <w:rFonts w:ascii="宋体" w:hAnsi="宋体" w:eastAsia="宋体" w:cs="宋体"/>
          <w:color w:val="auto"/>
          <w:spacing w:val="-7"/>
          <w:sz w:val="21"/>
          <w:szCs w:val="21"/>
        </w:rPr>
        <w:t>1．质保（服务)期：</w:t>
      </w:r>
      <w:r>
        <w:rPr>
          <w:rFonts w:ascii="宋体" w:hAnsi="宋体" w:eastAsia="宋体" w:cs="宋体"/>
          <w:color w:val="auto"/>
          <w:spacing w:val="5"/>
          <w:sz w:val="21"/>
          <w:szCs w:val="21"/>
          <w:u w:val="single" w:color="auto"/>
        </w:rPr>
        <w:t xml:space="preserve">           </w:t>
      </w:r>
      <w:r>
        <w:rPr>
          <w:rFonts w:ascii="宋体" w:hAnsi="宋体" w:eastAsia="宋体" w:cs="宋体"/>
          <w:i/>
          <w:iCs/>
          <w:color w:val="auto"/>
          <w:spacing w:val="-7"/>
          <w:sz w:val="21"/>
          <w:szCs w:val="21"/>
          <w:u w:val="single" w:color="auto"/>
        </w:rPr>
        <w:t>(见</w:t>
      </w:r>
      <w:r>
        <w:rPr>
          <w:rFonts w:hint="eastAsia" w:ascii="宋体" w:hAnsi="宋体" w:eastAsia="宋体" w:cs="宋体"/>
          <w:i/>
          <w:iCs/>
          <w:color w:val="auto"/>
          <w:spacing w:val="-7"/>
          <w:sz w:val="21"/>
          <w:szCs w:val="21"/>
          <w:u w:val="single" w:color="auto"/>
          <w:lang w:eastAsia="zh-CN"/>
        </w:rPr>
        <w:t>招标文件</w:t>
      </w:r>
      <w:r>
        <w:rPr>
          <w:rFonts w:ascii="宋体" w:hAnsi="宋体" w:eastAsia="宋体" w:cs="宋体"/>
          <w:i/>
          <w:iCs/>
          <w:color w:val="auto"/>
          <w:spacing w:val="-7"/>
          <w:sz w:val="21"/>
          <w:szCs w:val="21"/>
          <w:u w:val="single" w:color="auto"/>
        </w:rPr>
        <w:t>)</w:t>
      </w:r>
      <w:r>
        <w:rPr>
          <w:rFonts w:ascii="宋体" w:hAnsi="宋体" w:eastAsia="宋体" w:cs="宋体"/>
          <w:color w:val="auto"/>
          <w:spacing w:val="2"/>
          <w:sz w:val="21"/>
          <w:szCs w:val="21"/>
          <w:u w:val="single" w:color="auto"/>
        </w:rPr>
        <w:t xml:space="preserve">               </w:t>
      </w:r>
      <w:r>
        <w:rPr>
          <w:rFonts w:ascii="宋体" w:hAnsi="宋体" w:eastAsia="宋体" w:cs="宋体"/>
          <w:i/>
          <w:iCs/>
          <w:color w:val="auto"/>
          <w:spacing w:val="-7"/>
          <w:sz w:val="21"/>
          <w:szCs w:val="21"/>
        </w:rPr>
        <w:t>；</w:t>
      </w:r>
    </w:p>
    <w:p w14:paraId="7745AEB1">
      <w:pPr>
        <w:keepNext w:val="0"/>
        <w:keepLines w:val="0"/>
        <w:pageBreakBefore w:val="0"/>
        <w:widowControl w:val="0"/>
        <w:kinsoku/>
        <w:wordWrap/>
        <w:overflowPunct/>
        <w:topLinePunct w:val="0"/>
        <w:autoSpaceDE/>
        <w:autoSpaceDN/>
        <w:bidi w:val="0"/>
        <w:adjustRightInd/>
        <w:snapToGrid/>
        <w:spacing w:line="400" w:lineRule="exact"/>
        <w:ind w:left="1068"/>
        <w:textAlignment w:val="auto"/>
        <w:rPr>
          <w:rFonts w:ascii="宋体" w:hAnsi="宋体" w:eastAsia="宋体" w:cs="宋体"/>
          <w:color w:val="auto"/>
          <w:sz w:val="21"/>
          <w:szCs w:val="21"/>
        </w:rPr>
      </w:pPr>
      <w:r>
        <w:rPr>
          <w:rFonts w:ascii="宋体" w:hAnsi="宋体" w:eastAsia="宋体" w:cs="宋体"/>
          <w:color w:val="auto"/>
          <w:spacing w:val="-6"/>
          <w:sz w:val="21"/>
          <w:szCs w:val="21"/>
        </w:rPr>
        <w:t>2．质保（服务）范围：</w:t>
      </w:r>
      <w:r>
        <w:rPr>
          <w:rFonts w:ascii="宋体" w:hAnsi="宋体" w:eastAsia="宋体" w:cs="宋体"/>
          <w:color w:val="auto"/>
          <w:spacing w:val="7"/>
          <w:sz w:val="21"/>
          <w:szCs w:val="21"/>
          <w:u w:val="single" w:color="auto"/>
        </w:rPr>
        <w:t xml:space="preserve">         </w:t>
      </w:r>
      <w:r>
        <w:rPr>
          <w:rFonts w:ascii="宋体" w:hAnsi="宋体" w:eastAsia="宋体" w:cs="宋体"/>
          <w:i/>
          <w:iCs/>
          <w:color w:val="auto"/>
          <w:spacing w:val="-6"/>
          <w:sz w:val="21"/>
          <w:szCs w:val="21"/>
          <w:u w:val="single" w:color="auto"/>
        </w:rPr>
        <w:t>(见</w:t>
      </w:r>
      <w:r>
        <w:rPr>
          <w:rFonts w:hint="eastAsia" w:ascii="宋体" w:hAnsi="宋体" w:eastAsia="宋体" w:cs="宋体"/>
          <w:i/>
          <w:iCs/>
          <w:color w:val="auto"/>
          <w:spacing w:val="-6"/>
          <w:sz w:val="21"/>
          <w:szCs w:val="21"/>
          <w:u w:val="single" w:color="auto"/>
          <w:lang w:eastAsia="zh-CN"/>
        </w:rPr>
        <w:t>招标文件</w:t>
      </w:r>
      <w:r>
        <w:rPr>
          <w:rFonts w:ascii="宋体" w:hAnsi="宋体" w:eastAsia="宋体" w:cs="宋体"/>
          <w:i/>
          <w:iCs/>
          <w:color w:val="auto"/>
          <w:spacing w:val="-6"/>
          <w:sz w:val="21"/>
          <w:szCs w:val="21"/>
          <w:u w:val="single" w:color="auto"/>
        </w:rPr>
        <w:t>)</w:t>
      </w:r>
      <w:r>
        <w:rPr>
          <w:rFonts w:ascii="宋体" w:hAnsi="宋体" w:eastAsia="宋体" w:cs="宋体"/>
          <w:color w:val="auto"/>
          <w:spacing w:val="2"/>
          <w:sz w:val="21"/>
          <w:szCs w:val="21"/>
          <w:u w:val="single" w:color="auto"/>
        </w:rPr>
        <w:t xml:space="preserve">              </w:t>
      </w:r>
      <w:r>
        <w:rPr>
          <w:rFonts w:ascii="宋体" w:hAnsi="宋体" w:eastAsia="宋体" w:cs="宋体"/>
          <w:i/>
          <w:iCs/>
          <w:color w:val="auto"/>
          <w:spacing w:val="-6"/>
          <w:sz w:val="21"/>
          <w:szCs w:val="21"/>
        </w:rPr>
        <w:t>；</w:t>
      </w:r>
    </w:p>
    <w:p w14:paraId="4EAA30A9">
      <w:pPr>
        <w:keepNext w:val="0"/>
        <w:keepLines w:val="0"/>
        <w:pageBreakBefore w:val="0"/>
        <w:widowControl w:val="0"/>
        <w:kinsoku/>
        <w:wordWrap/>
        <w:overflowPunct/>
        <w:topLinePunct w:val="0"/>
        <w:autoSpaceDE/>
        <w:autoSpaceDN/>
        <w:bidi w:val="0"/>
        <w:adjustRightInd/>
        <w:snapToGrid/>
        <w:spacing w:line="400" w:lineRule="exact"/>
        <w:ind w:left="1070"/>
        <w:textAlignment w:val="auto"/>
        <w:rPr>
          <w:rFonts w:ascii="宋体" w:hAnsi="宋体" w:eastAsia="宋体" w:cs="宋体"/>
          <w:color w:val="auto"/>
          <w:sz w:val="21"/>
          <w:szCs w:val="21"/>
        </w:rPr>
      </w:pPr>
      <w:r>
        <w:rPr>
          <w:rFonts w:ascii="宋体" w:hAnsi="宋体" w:eastAsia="宋体" w:cs="宋体"/>
          <w:color w:val="auto"/>
          <w:spacing w:val="-6"/>
          <w:sz w:val="21"/>
          <w:szCs w:val="21"/>
        </w:rPr>
        <w:t>3．质保（服务）要求：</w:t>
      </w:r>
      <w:r>
        <w:rPr>
          <w:rFonts w:ascii="宋体" w:hAnsi="宋体" w:eastAsia="宋体" w:cs="宋体"/>
          <w:color w:val="auto"/>
          <w:spacing w:val="7"/>
          <w:sz w:val="21"/>
          <w:szCs w:val="21"/>
          <w:u w:val="single" w:color="auto"/>
        </w:rPr>
        <w:t xml:space="preserve">         </w:t>
      </w:r>
      <w:r>
        <w:rPr>
          <w:rFonts w:ascii="宋体" w:hAnsi="宋体" w:eastAsia="宋体" w:cs="宋体"/>
          <w:i/>
          <w:iCs/>
          <w:color w:val="auto"/>
          <w:spacing w:val="-6"/>
          <w:sz w:val="21"/>
          <w:szCs w:val="21"/>
          <w:u w:val="single" w:color="auto"/>
        </w:rPr>
        <w:t>(见</w:t>
      </w:r>
      <w:r>
        <w:rPr>
          <w:rFonts w:hint="eastAsia" w:ascii="宋体" w:hAnsi="宋体" w:eastAsia="宋体" w:cs="宋体"/>
          <w:i/>
          <w:iCs/>
          <w:color w:val="auto"/>
          <w:spacing w:val="-6"/>
          <w:sz w:val="21"/>
          <w:szCs w:val="21"/>
          <w:u w:val="single" w:color="auto"/>
          <w:lang w:eastAsia="zh-CN"/>
        </w:rPr>
        <w:t>招标文件</w:t>
      </w:r>
      <w:r>
        <w:rPr>
          <w:rFonts w:ascii="宋体" w:hAnsi="宋体" w:eastAsia="宋体" w:cs="宋体"/>
          <w:i/>
          <w:iCs/>
          <w:color w:val="auto"/>
          <w:spacing w:val="-6"/>
          <w:sz w:val="21"/>
          <w:szCs w:val="21"/>
          <w:u w:val="single" w:color="auto"/>
        </w:rPr>
        <w:t>)</w:t>
      </w:r>
      <w:r>
        <w:rPr>
          <w:rFonts w:ascii="宋体" w:hAnsi="宋体" w:eastAsia="宋体" w:cs="宋体"/>
          <w:color w:val="auto"/>
          <w:spacing w:val="2"/>
          <w:sz w:val="21"/>
          <w:szCs w:val="21"/>
          <w:u w:val="single" w:color="auto"/>
        </w:rPr>
        <w:t xml:space="preserve">            </w:t>
      </w:r>
      <w:r>
        <w:rPr>
          <w:rFonts w:ascii="宋体" w:hAnsi="宋体" w:eastAsia="宋体" w:cs="宋体"/>
          <w:i/>
          <w:iCs/>
          <w:color w:val="auto"/>
          <w:spacing w:val="-6"/>
          <w:sz w:val="21"/>
          <w:szCs w:val="21"/>
        </w:rPr>
        <w:t>。</w:t>
      </w:r>
    </w:p>
    <w:p w14:paraId="763B80A8">
      <w:pPr>
        <w:keepNext w:val="0"/>
        <w:keepLines w:val="0"/>
        <w:pageBreakBefore w:val="0"/>
        <w:widowControl w:val="0"/>
        <w:kinsoku/>
        <w:wordWrap/>
        <w:overflowPunct/>
        <w:topLinePunct w:val="0"/>
        <w:autoSpaceDE/>
        <w:autoSpaceDN/>
        <w:bidi w:val="0"/>
        <w:adjustRightInd/>
        <w:snapToGrid/>
        <w:spacing w:line="400" w:lineRule="exact"/>
        <w:ind w:left="519"/>
        <w:textAlignment w:val="auto"/>
        <w:rPr>
          <w:rFonts w:ascii="宋体" w:hAnsi="宋体" w:eastAsia="宋体" w:cs="宋体"/>
          <w:color w:val="auto"/>
          <w:sz w:val="21"/>
          <w:szCs w:val="21"/>
        </w:rPr>
      </w:pPr>
      <w:r>
        <w:rPr>
          <w:rFonts w:ascii="宋体" w:hAnsi="宋体" w:eastAsia="宋体" w:cs="宋体"/>
          <w:b/>
          <w:bCs/>
          <w:color w:val="auto"/>
          <w:spacing w:val="-6"/>
          <w:sz w:val="21"/>
          <w:szCs w:val="21"/>
        </w:rPr>
        <w:t>十、</w:t>
      </w:r>
      <w:r>
        <w:rPr>
          <w:rFonts w:ascii="宋体" w:hAnsi="宋体" w:eastAsia="宋体" w:cs="宋体"/>
          <w:color w:val="auto"/>
          <w:spacing w:val="6"/>
          <w:sz w:val="21"/>
          <w:szCs w:val="21"/>
        </w:rPr>
        <w:t xml:space="preserve">  </w:t>
      </w:r>
      <w:r>
        <w:rPr>
          <w:rFonts w:ascii="宋体" w:hAnsi="宋体" w:eastAsia="宋体" w:cs="宋体"/>
          <w:b/>
          <w:bCs/>
          <w:color w:val="auto"/>
          <w:spacing w:val="-6"/>
          <w:sz w:val="21"/>
          <w:szCs w:val="21"/>
        </w:rPr>
        <w:t>项目培训</w:t>
      </w:r>
    </w:p>
    <w:p w14:paraId="270AFA87">
      <w:pPr>
        <w:keepNext w:val="0"/>
        <w:keepLines w:val="0"/>
        <w:pageBreakBefore w:val="0"/>
        <w:widowControl w:val="0"/>
        <w:tabs>
          <w:tab w:val="left" w:pos="3806"/>
        </w:tabs>
        <w:kinsoku/>
        <w:wordWrap/>
        <w:overflowPunct/>
        <w:topLinePunct w:val="0"/>
        <w:autoSpaceDE/>
        <w:autoSpaceDN/>
        <w:bidi w:val="0"/>
        <w:adjustRightInd/>
        <w:snapToGrid/>
        <w:spacing w:line="400" w:lineRule="exact"/>
        <w:ind w:left="1295"/>
        <w:textAlignment w:val="auto"/>
        <w:rPr>
          <w:rFonts w:ascii="宋体" w:hAnsi="宋体" w:eastAsia="宋体" w:cs="宋体"/>
          <w:color w:val="auto"/>
          <w:sz w:val="21"/>
          <w:szCs w:val="21"/>
        </w:rPr>
      </w:pPr>
      <w:r>
        <w:rPr>
          <w:rFonts w:ascii="宋体" w:hAnsi="宋体" w:eastAsia="宋体" w:cs="宋体"/>
          <w:color w:val="auto"/>
          <w:sz w:val="21"/>
          <w:szCs w:val="21"/>
          <w:u w:val="single" w:color="auto"/>
        </w:rPr>
        <w:tab/>
      </w:r>
      <w:r>
        <w:rPr>
          <w:rFonts w:ascii="宋体" w:hAnsi="宋体" w:eastAsia="宋体" w:cs="宋体"/>
          <w:i/>
          <w:iCs/>
          <w:color w:val="auto"/>
          <w:spacing w:val="-12"/>
          <w:sz w:val="21"/>
          <w:szCs w:val="21"/>
          <w:u w:val="single" w:color="auto"/>
        </w:rPr>
        <w:t>(见</w:t>
      </w:r>
      <w:r>
        <w:rPr>
          <w:rFonts w:hint="eastAsia" w:ascii="宋体" w:hAnsi="宋体" w:eastAsia="宋体" w:cs="宋体"/>
          <w:i/>
          <w:iCs/>
          <w:color w:val="auto"/>
          <w:spacing w:val="-12"/>
          <w:sz w:val="21"/>
          <w:szCs w:val="21"/>
          <w:u w:val="single" w:color="auto"/>
          <w:lang w:eastAsia="zh-CN"/>
        </w:rPr>
        <w:t>招标文件</w:t>
      </w:r>
      <w:r>
        <w:rPr>
          <w:rFonts w:ascii="宋体" w:hAnsi="宋体" w:eastAsia="宋体" w:cs="宋体"/>
          <w:i/>
          <w:iCs/>
          <w:color w:val="auto"/>
          <w:spacing w:val="-12"/>
          <w:sz w:val="21"/>
          <w:szCs w:val="21"/>
          <w:u w:val="single" w:color="auto"/>
        </w:rPr>
        <w:t>)</w:t>
      </w:r>
      <w:r>
        <w:rPr>
          <w:rFonts w:ascii="宋体" w:hAnsi="宋体" w:eastAsia="宋体" w:cs="宋体"/>
          <w:color w:val="auto"/>
          <w:spacing w:val="2"/>
          <w:sz w:val="21"/>
          <w:szCs w:val="21"/>
          <w:u w:val="single" w:color="auto"/>
        </w:rPr>
        <w:t xml:space="preserve">                     </w:t>
      </w:r>
      <w:r>
        <w:rPr>
          <w:rFonts w:ascii="宋体" w:hAnsi="宋体" w:eastAsia="宋体" w:cs="宋体"/>
          <w:color w:val="auto"/>
          <w:spacing w:val="-12"/>
          <w:sz w:val="21"/>
          <w:szCs w:val="21"/>
        </w:rPr>
        <w:t>。</w:t>
      </w:r>
    </w:p>
    <w:p w14:paraId="6F0086D7">
      <w:pPr>
        <w:keepNext w:val="0"/>
        <w:keepLines w:val="0"/>
        <w:pageBreakBefore w:val="0"/>
        <w:widowControl w:val="0"/>
        <w:kinsoku/>
        <w:wordWrap/>
        <w:overflowPunct/>
        <w:topLinePunct w:val="0"/>
        <w:autoSpaceDE/>
        <w:autoSpaceDN/>
        <w:bidi w:val="0"/>
        <w:adjustRightInd/>
        <w:snapToGrid/>
        <w:spacing w:line="400" w:lineRule="exact"/>
        <w:ind w:left="519"/>
        <w:textAlignment w:val="auto"/>
        <w:rPr>
          <w:rFonts w:ascii="宋体" w:hAnsi="宋体" w:eastAsia="宋体" w:cs="宋体"/>
          <w:color w:val="auto"/>
          <w:sz w:val="21"/>
          <w:szCs w:val="21"/>
        </w:rPr>
      </w:pPr>
      <w:r>
        <w:rPr>
          <w:rFonts w:ascii="宋体" w:hAnsi="宋体" w:eastAsia="宋体" w:cs="宋体"/>
          <w:b/>
          <w:bCs/>
          <w:color w:val="auto"/>
          <w:spacing w:val="-5"/>
          <w:sz w:val="21"/>
          <w:szCs w:val="21"/>
        </w:rPr>
        <w:t>十一、</w:t>
      </w:r>
      <w:r>
        <w:rPr>
          <w:rFonts w:ascii="宋体" w:hAnsi="宋体" w:eastAsia="宋体" w:cs="宋体"/>
          <w:color w:val="auto"/>
          <w:spacing w:val="-35"/>
          <w:sz w:val="21"/>
          <w:szCs w:val="21"/>
        </w:rPr>
        <w:t xml:space="preserve"> </w:t>
      </w:r>
      <w:r>
        <w:rPr>
          <w:rFonts w:ascii="宋体" w:hAnsi="宋体" w:eastAsia="宋体" w:cs="宋体"/>
          <w:b/>
          <w:bCs/>
          <w:color w:val="auto"/>
          <w:spacing w:val="-5"/>
          <w:sz w:val="21"/>
          <w:szCs w:val="21"/>
        </w:rPr>
        <w:t>知识产权归属、处理方式</w:t>
      </w:r>
    </w:p>
    <w:p w14:paraId="5A5446D8">
      <w:pPr>
        <w:keepNext w:val="0"/>
        <w:keepLines w:val="0"/>
        <w:pageBreakBefore w:val="0"/>
        <w:widowControl w:val="0"/>
        <w:tabs>
          <w:tab w:val="left" w:pos="3686"/>
        </w:tabs>
        <w:kinsoku/>
        <w:wordWrap/>
        <w:overflowPunct/>
        <w:topLinePunct w:val="0"/>
        <w:autoSpaceDE/>
        <w:autoSpaceDN/>
        <w:bidi w:val="0"/>
        <w:adjustRightInd/>
        <w:snapToGrid/>
        <w:spacing w:line="400" w:lineRule="exact"/>
        <w:ind w:left="1295"/>
        <w:textAlignment w:val="auto"/>
        <w:rPr>
          <w:rFonts w:ascii="宋体" w:hAnsi="宋体" w:eastAsia="宋体" w:cs="宋体"/>
          <w:color w:val="auto"/>
          <w:sz w:val="21"/>
          <w:szCs w:val="21"/>
        </w:rPr>
      </w:pPr>
      <w:r>
        <w:rPr>
          <w:rFonts w:ascii="宋体" w:hAnsi="宋体" w:eastAsia="宋体" w:cs="宋体"/>
          <w:color w:val="auto"/>
          <w:sz w:val="21"/>
          <w:szCs w:val="21"/>
          <w:u w:val="single" w:color="auto"/>
        </w:rPr>
        <w:tab/>
      </w:r>
      <w:r>
        <w:rPr>
          <w:rFonts w:ascii="宋体" w:hAnsi="宋体" w:eastAsia="宋体" w:cs="宋体"/>
          <w:i/>
          <w:iCs/>
          <w:color w:val="auto"/>
          <w:spacing w:val="-14"/>
          <w:sz w:val="21"/>
          <w:szCs w:val="21"/>
          <w:u w:val="single" w:color="auto"/>
        </w:rPr>
        <w:t>(见</w:t>
      </w:r>
      <w:r>
        <w:rPr>
          <w:rFonts w:hint="eastAsia" w:ascii="宋体" w:hAnsi="宋体" w:eastAsia="宋体" w:cs="宋体"/>
          <w:i/>
          <w:iCs/>
          <w:color w:val="auto"/>
          <w:spacing w:val="-14"/>
          <w:sz w:val="21"/>
          <w:szCs w:val="21"/>
          <w:u w:val="single" w:color="auto"/>
          <w:lang w:eastAsia="zh-CN"/>
        </w:rPr>
        <w:t>招标文件</w:t>
      </w:r>
      <w:r>
        <w:rPr>
          <w:rFonts w:ascii="宋体" w:hAnsi="宋体" w:eastAsia="宋体" w:cs="宋体"/>
          <w:i/>
          <w:iCs/>
          <w:color w:val="auto"/>
          <w:spacing w:val="-14"/>
          <w:sz w:val="21"/>
          <w:szCs w:val="21"/>
          <w:u w:val="single" w:color="auto"/>
        </w:rPr>
        <w:t>)</w:t>
      </w:r>
      <w:r>
        <w:rPr>
          <w:rFonts w:ascii="宋体" w:hAnsi="宋体" w:eastAsia="宋体" w:cs="宋体"/>
          <w:color w:val="auto"/>
          <w:sz w:val="21"/>
          <w:szCs w:val="21"/>
          <w:u w:val="single" w:color="auto"/>
        </w:rPr>
        <w:t xml:space="preserve">                          </w:t>
      </w:r>
      <w:r>
        <w:rPr>
          <w:rFonts w:ascii="宋体" w:hAnsi="宋体" w:eastAsia="宋体" w:cs="宋体"/>
          <w:i/>
          <w:iCs/>
          <w:color w:val="auto"/>
          <w:position w:val="-2"/>
          <w:sz w:val="21"/>
          <w:szCs w:val="21"/>
        </w:rPr>
        <w:t>。</w:t>
      </w:r>
    </w:p>
    <w:p w14:paraId="32C64276">
      <w:pPr>
        <w:keepNext w:val="0"/>
        <w:keepLines w:val="0"/>
        <w:pageBreakBefore w:val="0"/>
        <w:widowControl w:val="0"/>
        <w:kinsoku/>
        <w:wordWrap/>
        <w:overflowPunct/>
        <w:topLinePunct w:val="0"/>
        <w:autoSpaceDE/>
        <w:autoSpaceDN/>
        <w:bidi w:val="0"/>
        <w:adjustRightInd/>
        <w:snapToGrid/>
        <w:spacing w:line="400" w:lineRule="exact"/>
        <w:ind w:left="519"/>
        <w:textAlignment w:val="auto"/>
        <w:rPr>
          <w:rFonts w:ascii="宋体" w:hAnsi="宋体" w:eastAsia="宋体" w:cs="宋体"/>
          <w:color w:val="auto"/>
          <w:sz w:val="21"/>
          <w:szCs w:val="21"/>
        </w:rPr>
      </w:pPr>
      <w:r>
        <w:rPr>
          <w:rFonts w:ascii="宋体" w:hAnsi="宋体" w:eastAsia="宋体" w:cs="宋体"/>
          <w:b/>
          <w:bCs/>
          <w:color w:val="auto"/>
          <w:spacing w:val="-5"/>
          <w:sz w:val="21"/>
          <w:szCs w:val="21"/>
        </w:rPr>
        <w:t>十二、</w:t>
      </w:r>
      <w:r>
        <w:rPr>
          <w:rFonts w:ascii="宋体" w:hAnsi="宋体" w:eastAsia="宋体" w:cs="宋体"/>
          <w:color w:val="auto"/>
          <w:spacing w:val="-43"/>
          <w:sz w:val="21"/>
          <w:szCs w:val="21"/>
        </w:rPr>
        <w:t xml:space="preserve"> </w:t>
      </w:r>
      <w:r>
        <w:rPr>
          <w:rFonts w:ascii="宋体" w:hAnsi="宋体" w:eastAsia="宋体" w:cs="宋体"/>
          <w:b/>
          <w:bCs/>
          <w:color w:val="auto"/>
          <w:spacing w:val="-5"/>
          <w:sz w:val="21"/>
          <w:szCs w:val="21"/>
        </w:rPr>
        <w:t>双方的权利和义务</w:t>
      </w:r>
    </w:p>
    <w:p w14:paraId="43953543">
      <w:pPr>
        <w:keepNext w:val="0"/>
        <w:keepLines w:val="0"/>
        <w:pageBreakBefore w:val="0"/>
        <w:widowControl w:val="0"/>
        <w:kinsoku/>
        <w:wordWrap/>
        <w:overflowPunct/>
        <w:topLinePunct w:val="0"/>
        <w:autoSpaceDE/>
        <w:autoSpaceDN/>
        <w:bidi w:val="0"/>
        <w:adjustRightInd/>
        <w:snapToGrid/>
        <w:spacing w:line="400" w:lineRule="exact"/>
        <w:ind w:left="606" w:right="107" w:firstLine="477"/>
        <w:jc w:val="left"/>
        <w:textAlignment w:val="auto"/>
        <w:rPr>
          <w:rFonts w:ascii="宋体" w:hAnsi="宋体" w:eastAsia="宋体" w:cs="宋体"/>
          <w:color w:val="auto"/>
          <w:sz w:val="21"/>
          <w:szCs w:val="21"/>
        </w:rPr>
      </w:pPr>
      <w:r>
        <w:rPr>
          <w:rFonts w:ascii="宋体" w:hAnsi="宋体" w:eastAsia="宋体" w:cs="宋体"/>
          <w:color w:val="auto"/>
          <w:sz w:val="21"/>
          <w:szCs w:val="21"/>
        </w:rPr>
        <w:t>1．甲方的权力和义务：</w:t>
      </w:r>
      <w:r>
        <w:rPr>
          <w:rFonts w:ascii="宋体" w:hAnsi="宋体" w:eastAsia="宋体" w:cs="宋体"/>
          <w:color w:val="auto"/>
          <w:sz w:val="21"/>
          <w:szCs w:val="21"/>
          <w:u w:val="single" w:color="auto"/>
        </w:rPr>
        <w:t xml:space="preserve">          </w:t>
      </w:r>
      <w:r>
        <w:rPr>
          <w:rFonts w:ascii="宋体" w:hAnsi="宋体" w:eastAsia="宋体" w:cs="宋体"/>
          <w:color w:val="auto"/>
          <w:spacing w:val="-1"/>
          <w:sz w:val="21"/>
          <w:szCs w:val="21"/>
          <w:u w:val="single" w:color="auto"/>
        </w:rPr>
        <w:t xml:space="preserve">                       </w:t>
      </w:r>
      <w:r>
        <w:rPr>
          <w:rFonts w:ascii="宋体" w:hAnsi="宋体" w:eastAsia="宋体" w:cs="宋体"/>
          <w:color w:val="auto"/>
          <w:sz w:val="21"/>
          <w:szCs w:val="21"/>
        </w:rPr>
        <w:t xml:space="preserve"> ;</w:t>
      </w:r>
    </w:p>
    <w:p w14:paraId="7997EB4E">
      <w:pPr>
        <w:keepNext w:val="0"/>
        <w:keepLines w:val="0"/>
        <w:pageBreakBefore w:val="0"/>
        <w:widowControl w:val="0"/>
        <w:kinsoku/>
        <w:wordWrap/>
        <w:overflowPunct/>
        <w:topLinePunct w:val="0"/>
        <w:autoSpaceDE/>
        <w:autoSpaceDN/>
        <w:bidi w:val="0"/>
        <w:adjustRightInd/>
        <w:snapToGrid/>
        <w:spacing w:line="400" w:lineRule="exact"/>
        <w:ind w:left="1068"/>
        <w:textAlignment w:val="auto"/>
        <w:rPr>
          <w:rFonts w:ascii="宋体" w:hAnsi="宋体" w:eastAsia="宋体" w:cs="宋体"/>
          <w:color w:val="auto"/>
          <w:sz w:val="21"/>
          <w:szCs w:val="21"/>
        </w:rPr>
      </w:pPr>
      <w:r>
        <w:rPr>
          <w:rFonts w:ascii="宋体" w:hAnsi="宋体" w:eastAsia="宋体" w:cs="宋体"/>
          <w:color w:val="auto"/>
          <w:spacing w:val="-2"/>
          <w:sz w:val="21"/>
          <w:szCs w:val="21"/>
        </w:rPr>
        <w:t>2．乙方的权力和义务：</w:t>
      </w:r>
      <w:r>
        <w:rPr>
          <w:rFonts w:ascii="宋体" w:hAnsi="宋体" w:eastAsia="宋体" w:cs="宋体"/>
          <w:color w:val="auto"/>
          <w:sz w:val="21"/>
          <w:szCs w:val="21"/>
          <w:u w:val="single" w:color="auto"/>
        </w:rPr>
        <w:t xml:space="preserve">                               </w:t>
      </w:r>
      <w:r>
        <w:rPr>
          <w:rFonts w:ascii="宋体" w:hAnsi="宋体" w:eastAsia="宋体" w:cs="宋体"/>
          <w:color w:val="auto"/>
          <w:position w:val="1"/>
          <w:sz w:val="21"/>
          <w:szCs w:val="21"/>
        </w:rPr>
        <w:t>。</w:t>
      </w:r>
    </w:p>
    <w:p w14:paraId="6A79944B">
      <w:pPr>
        <w:keepNext w:val="0"/>
        <w:keepLines w:val="0"/>
        <w:pageBreakBefore w:val="0"/>
        <w:widowControl w:val="0"/>
        <w:kinsoku/>
        <w:wordWrap/>
        <w:overflowPunct/>
        <w:topLinePunct w:val="0"/>
        <w:autoSpaceDE/>
        <w:autoSpaceDN/>
        <w:bidi w:val="0"/>
        <w:adjustRightInd/>
        <w:snapToGrid/>
        <w:spacing w:line="400" w:lineRule="exact"/>
        <w:ind w:left="519"/>
        <w:textAlignment w:val="auto"/>
        <w:rPr>
          <w:rFonts w:ascii="宋体" w:hAnsi="宋体" w:eastAsia="宋体" w:cs="宋体"/>
          <w:color w:val="auto"/>
          <w:sz w:val="21"/>
          <w:szCs w:val="21"/>
        </w:rPr>
      </w:pPr>
      <w:r>
        <w:rPr>
          <w:rFonts w:ascii="宋体" w:hAnsi="宋体" w:eastAsia="宋体" w:cs="宋体"/>
          <w:b/>
          <w:bCs/>
          <w:color w:val="auto"/>
          <w:spacing w:val="-5"/>
          <w:sz w:val="21"/>
          <w:szCs w:val="21"/>
        </w:rPr>
        <w:t>十三、</w:t>
      </w:r>
      <w:r>
        <w:rPr>
          <w:rFonts w:ascii="宋体" w:hAnsi="宋体" w:eastAsia="宋体" w:cs="宋体"/>
          <w:color w:val="auto"/>
          <w:spacing w:val="-51"/>
          <w:sz w:val="21"/>
          <w:szCs w:val="21"/>
        </w:rPr>
        <w:t xml:space="preserve"> </w:t>
      </w:r>
      <w:r>
        <w:rPr>
          <w:rFonts w:ascii="宋体" w:hAnsi="宋体" w:eastAsia="宋体" w:cs="宋体"/>
          <w:b/>
          <w:bCs/>
          <w:color w:val="auto"/>
          <w:spacing w:val="-5"/>
          <w:sz w:val="21"/>
          <w:szCs w:val="21"/>
        </w:rPr>
        <w:t>违约责任</w:t>
      </w:r>
    </w:p>
    <w:p w14:paraId="68476C96">
      <w:pPr>
        <w:keepNext w:val="0"/>
        <w:keepLines w:val="0"/>
        <w:pageBreakBefore w:val="0"/>
        <w:widowControl w:val="0"/>
        <w:kinsoku/>
        <w:wordWrap/>
        <w:overflowPunct/>
        <w:topLinePunct w:val="0"/>
        <w:autoSpaceDE/>
        <w:autoSpaceDN/>
        <w:bidi w:val="0"/>
        <w:adjustRightInd/>
        <w:snapToGrid/>
        <w:spacing w:line="400" w:lineRule="exact"/>
        <w:ind w:left="1083"/>
        <w:textAlignment w:val="auto"/>
        <w:rPr>
          <w:rFonts w:ascii="宋体" w:hAnsi="宋体" w:eastAsia="宋体" w:cs="宋体"/>
          <w:color w:val="auto"/>
          <w:sz w:val="21"/>
          <w:szCs w:val="21"/>
        </w:rPr>
      </w:pPr>
      <w:r>
        <w:rPr>
          <w:rFonts w:ascii="宋体" w:hAnsi="宋体" w:eastAsia="宋体" w:cs="宋体"/>
          <w:color w:val="auto"/>
          <w:sz w:val="21"/>
          <w:szCs w:val="21"/>
        </w:rPr>
        <w:t>1．甲方的违约责任</w:t>
      </w:r>
      <w:r>
        <w:rPr>
          <w:rFonts w:ascii="宋体" w:hAnsi="宋体" w:eastAsia="宋体" w:cs="宋体"/>
          <w:color w:val="auto"/>
          <w:spacing w:val="-15"/>
          <w:sz w:val="21"/>
          <w:szCs w:val="21"/>
        </w:rPr>
        <w:t>：</w:t>
      </w:r>
      <w:r>
        <w:rPr>
          <w:rFonts w:ascii="宋体" w:hAnsi="宋体" w:eastAsia="宋体" w:cs="宋体"/>
          <w:color w:val="auto"/>
          <w:spacing w:val="3"/>
          <w:sz w:val="21"/>
          <w:szCs w:val="21"/>
          <w:u w:val="single" w:color="auto"/>
        </w:rPr>
        <w:t xml:space="preserve">                                     </w:t>
      </w:r>
      <w:r>
        <w:rPr>
          <w:rFonts w:ascii="宋体" w:hAnsi="宋体" w:eastAsia="宋体" w:cs="宋体"/>
          <w:color w:val="auto"/>
          <w:spacing w:val="-15"/>
          <w:sz w:val="21"/>
          <w:szCs w:val="21"/>
        </w:rPr>
        <w:t>；</w:t>
      </w:r>
    </w:p>
    <w:p w14:paraId="4BDF68AD">
      <w:pPr>
        <w:keepNext w:val="0"/>
        <w:keepLines w:val="0"/>
        <w:pageBreakBefore w:val="0"/>
        <w:widowControl w:val="0"/>
        <w:kinsoku/>
        <w:wordWrap/>
        <w:overflowPunct/>
        <w:topLinePunct w:val="0"/>
        <w:autoSpaceDE/>
        <w:autoSpaceDN/>
        <w:bidi w:val="0"/>
        <w:adjustRightInd/>
        <w:snapToGrid/>
        <w:spacing w:line="400" w:lineRule="exact"/>
        <w:ind w:left="1068"/>
        <w:textAlignment w:val="auto"/>
        <w:rPr>
          <w:rFonts w:ascii="宋体" w:hAnsi="宋体" w:eastAsia="宋体" w:cs="宋体"/>
          <w:color w:val="auto"/>
          <w:sz w:val="21"/>
          <w:szCs w:val="21"/>
        </w:rPr>
      </w:pPr>
      <w:r>
        <w:rPr>
          <w:rFonts w:ascii="宋体" w:hAnsi="宋体" w:eastAsia="宋体" w:cs="宋体"/>
          <w:color w:val="auto"/>
          <w:spacing w:val="-4"/>
          <w:sz w:val="21"/>
          <w:szCs w:val="21"/>
        </w:rPr>
        <w:t>2．乙方的违约责任：</w:t>
      </w:r>
      <w:r>
        <w:rPr>
          <w:rFonts w:ascii="宋体" w:hAnsi="宋体" w:eastAsia="宋体" w:cs="宋体"/>
          <w:color w:val="auto"/>
          <w:spacing w:val="10"/>
          <w:sz w:val="21"/>
          <w:szCs w:val="21"/>
          <w:u w:val="single" w:color="auto"/>
        </w:rPr>
        <w:t xml:space="preserve">       </w:t>
      </w:r>
      <w:r>
        <w:rPr>
          <w:rFonts w:ascii="宋体" w:hAnsi="宋体" w:eastAsia="宋体" w:cs="宋体"/>
          <w:i/>
          <w:iCs/>
          <w:color w:val="auto"/>
          <w:spacing w:val="-4"/>
          <w:sz w:val="21"/>
          <w:szCs w:val="21"/>
          <w:u w:val="single" w:color="auto"/>
        </w:rPr>
        <w:t>(见</w:t>
      </w:r>
      <w:r>
        <w:rPr>
          <w:rFonts w:hint="eastAsia" w:ascii="宋体" w:hAnsi="宋体" w:eastAsia="宋体" w:cs="宋体"/>
          <w:i/>
          <w:iCs/>
          <w:color w:val="auto"/>
          <w:spacing w:val="-4"/>
          <w:sz w:val="21"/>
          <w:szCs w:val="21"/>
          <w:u w:val="single" w:color="auto"/>
          <w:lang w:eastAsia="zh-CN"/>
        </w:rPr>
        <w:t>招标文件</w:t>
      </w:r>
      <w:r>
        <w:rPr>
          <w:rFonts w:ascii="宋体" w:hAnsi="宋体" w:eastAsia="宋体" w:cs="宋体"/>
          <w:i/>
          <w:iCs/>
          <w:color w:val="auto"/>
          <w:spacing w:val="-4"/>
          <w:sz w:val="21"/>
          <w:szCs w:val="21"/>
          <w:u w:val="single" w:color="auto"/>
        </w:rPr>
        <w:t>)</w:t>
      </w:r>
      <w:r>
        <w:rPr>
          <w:rFonts w:ascii="宋体" w:hAnsi="宋体" w:eastAsia="宋体" w:cs="宋体"/>
          <w:color w:val="auto"/>
          <w:spacing w:val="-4"/>
          <w:sz w:val="21"/>
          <w:szCs w:val="21"/>
          <w:u w:val="single" w:color="auto"/>
        </w:rPr>
        <w:t xml:space="preserve">        </w:t>
      </w:r>
      <w:r>
        <w:rPr>
          <w:rFonts w:ascii="宋体" w:hAnsi="宋体" w:eastAsia="宋体" w:cs="宋体"/>
          <w:color w:val="auto"/>
          <w:spacing w:val="-5"/>
          <w:sz w:val="21"/>
          <w:szCs w:val="21"/>
          <w:u w:val="single" w:color="auto"/>
        </w:rPr>
        <w:t xml:space="preserve">          </w:t>
      </w:r>
      <w:r>
        <w:rPr>
          <w:rFonts w:ascii="宋体" w:hAnsi="宋体" w:eastAsia="宋体" w:cs="宋体"/>
          <w:color w:val="auto"/>
          <w:spacing w:val="-5"/>
          <w:sz w:val="21"/>
          <w:szCs w:val="21"/>
        </w:rPr>
        <w:t>。</w:t>
      </w:r>
    </w:p>
    <w:p w14:paraId="266AD21C">
      <w:pPr>
        <w:keepNext w:val="0"/>
        <w:keepLines w:val="0"/>
        <w:pageBreakBefore w:val="0"/>
        <w:widowControl w:val="0"/>
        <w:kinsoku/>
        <w:wordWrap/>
        <w:overflowPunct/>
        <w:topLinePunct w:val="0"/>
        <w:autoSpaceDE/>
        <w:autoSpaceDN/>
        <w:bidi w:val="0"/>
        <w:adjustRightInd/>
        <w:snapToGrid/>
        <w:spacing w:line="400" w:lineRule="exact"/>
        <w:ind w:left="519"/>
        <w:textAlignment w:val="auto"/>
        <w:rPr>
          <w:rFonts w:ascii="宋体" w:hAnsi="宋体" w:eastAsia="宋体" w:cs="宋体"/>
          <w:color w:val="auto"/>
          <w:sz w:val="21"/>
          <w:szCs w:val="21"/>
        </w:rPr>
      </w:pPr>
      <w:r>
        <w:rPr>
          <w:rFonts w:ascii="宋体" w:hAnsi="宋体" w:eastAsia="宋体" w:cs="宋体"/>
          <w:b/>
          <w:bCs/>
          <w:color w:val="auto"/>
          <w:spacing w:val="-6"/>
          <w:sz w:val="21"/>
          <w:szCs w:val="21"/>
        </w:rPr>
        <w:t>十四、</w:t>
      </w:r>
      <w:r>
        <w:rPr>
          <w:rFonts w:ascii="宋体" w:hAnsi="宋体" w:eastAsia="宋体" w:cs="宋体"/>
          <w:color w:val="auto"/>
          <w:spacing w:val="-45"/>
          <w:sz w:val="21"/>
          <w:szCs w:val="21"/>
        </w:rPr>
        <w:t xml:space="preserve"> </w:t>
      </w:r>
      <w:r>
        <w:rPr>
          <w:rFonts w:ascii="宋体" w:hAnsi="宋体" w:eastAsia="宋体" w:cs="宋体"/>
          <w:b/>
          <w:bCs/>
          <w:color w:val="auto"/>
          <w:spacing w:val="-6"/>
          <w:sz w:val="21"/>
          <w:szCs w:val="21"/>
        </w:rPr>
        <w:t>保密条款</w:t>
      </w:r>
    </w:p>
    <w:p w14:paraId="01D584C2">
      <w:pPr>
        <w:keepNext w:val="0"/>
        <w:keepLines w:val="0"/>
        <w:pageBreakBefore w:val="0"/>
        <w:widowControl w:val="0"/>
        <w:tabs>
          <w:tab w:val="left" w:pos="3926"/>
        </w:tabs>
        <w:kinsoku/>
        <w:wordWrap/>
        <w:overflowPunct/>
        <w:topLinePunct w:val="0"/>
        <w:autoSpaceDE/>
        <w:autoSpaceDN/>
        <w:bidi w:val="0"/>
        <w:adjustRightInd/>
        <w:snapToGrid/>
        <w:spacing w:line="400" w:lineRule="exact"/>
        <w:ind w:left="1295"/>
        <w:textAlignment w:val="auto"/>
        <w:rPr>
          <w:rFonts w:ascii="宋体" w:hAnsi="宋体" w:eastAsia="宋体" w:cs="宋体"/>
          <w:color w:val="auto"/>
          <w:sz w:val="21"/>
          <w:szCs w:val="21"/>
        </w:rPr>
      </w:pPr>
      <w:r>
        <w:rPr>
          <w:rFonts w:ascii="宋体" w:hAnsi="宋体" w:eastAsia="宋体" w:cs="宋体"/>
          <w:color w:val="auto"/>
          <w:sz w:val="21"/>
          <w:szCs w:val="21"/>
          <w:u w:val="single" w:color="auto"/>
        </w:rPr>
        <w:tab/>
      </w:r>
      <w:r>
        <w:rPr>
          <w:rFonts w:ascii="宋体" w:hAnsi="宋体" w:eastAsia="宋体" w:cs="宋体"/>
          <w:i/>
          <w:iCs/>
          <w:color w:val="auto"/>
          <w:spacing w:val="-12"/>
          <w:sz w:val="21"/>
          <w:szCs w:val="21"/>
          <w:u w:val="single" w:color="auto"/>
        </w:rPr>
        <w:t>(见</w:t>
      </w:r>
      <w:r>
        <w:rPr>
          <w:rFonts w:hint="eastAsia" w:ascii="宋体" w:hAnsi="宋体" w:eastAsia="宋体" w:cs="宋体"/>
          <w:i/>
          <w:iCs/>
          <w:color w:val="auto"/>
          <w:spacing w:val="-12"/>
          <w:sz w:val="21"/>
          <w:szCs w:val="21"/>
          <w:u w:val="single" w:color="auto"/>
          <w:lang w:eastAsia="zh-CN"/>
        </w:rPr>
        <w:t>招标文件</w:t>
      </w:r>
      <w:r>
        <w:rPr>
          <w:rFonts w:ascii="宋体" w:hAnsi="宋体" w:eastAsia="宋体" w:cs="宋体"/>
          <w:i/>
          <w:iCs/>
          <w:color w:val="auto"/>
          <w:spacing w:val="-12"/>
          <w:sz w:val="21"/>
          <w:szCs w:val="21"/>
          <w:u w:val="single" w:color="auto"/>
        </w:rPr>
        <w:t>)</w:t>
      </w:r>
      <w:r>
        <w:rPr>
          <w:rFonts w:ascii="宋体" w:hAnsi="宋体" w:eastAsia="宋体" w:cs="宋体"/>
          <w:color w:val="auto"/>
          <w:spacing w:val="2"/>
          <w:sz w:val="21"/>
          <w:szCs w:val="21"/>
          <w:u w:val="single" w:color="auto"/>
        </w:rPr>
        <w:t xml:space="preserve">                     </w:t>
      </w:r>
      <w:r>
        <w:rPr>
          <w:rFonts w:ascii="宋体" w:hAnsi="宋体" w:eastAsia="宋体" w:cs="宋体"/>
          <w:color w:val="auto"/>
          <w:spacing w:val="-12"/>
          <w:sz w:val="21"/>
          <w:szCs w:val="21"/>
        </w:rPr>
        <w:t>。</w:t>
      </w:r>
    </w:p>
    <w:p w14:paraId="6F0DE6C3">
      <w:pPr>
        <w:keepNext w:val="0"/>
        <w:keepLines w:val="0"/>
        <w:pageBreakBefore w:val="0"/>
        <w:widowControl w:val="0"/>
        <w:kinsoku/>
        <w:wordWrap/>
        <w:overflowPunct/>
        <w:topLinePunct w:val="0"/>
        <w:autoSpaceDE/>
        <w:autoSpaceDN/>
        <w:bidi w:val="0"/>
        <w:adjustRightInd/>
        <w:snapToGrid/>
        <w:spacing w:line="400" w:lineRule="exact"/>
        <w:ind w:left="519"/>
        <w:textAlignment w:val="auto"/>
        <w:rPr>
          <w:rFonts w:ascii="宋体" w:hAnsi="宋体" w:eastAsia="宋体" w:cs="宋体"/>
          <w:color w:val="auto"/>
          <w:sz w:val="21"/>
          <w:szCs w:val="21"/>
        </w:rPr>
      </w:pPr>
      <w:r>
        <w:rPr>
          <w:rFonts w:ascii="宋体" w:hAnsi="宋体" w:eastAsia="宋体" w:cs="宋体"/>
          <w:b/>
          <w:bCs/>
          <w:color w:val="auto"/>
          <w:spacing w:val="-5"/>
          <w:sz w:val="21"/>
          <w:szCs w:val="21"/>
        </w:rPr>
        <w:t>十五、</w:t>
      </w:r>
      <w:r>
        <w:rPr>
          <w:rFonts w:ascii="宋体" w:hAnsi="宋体" w:eastAsia="宋体" w:cs="宋体"/>
          <w:color w:val="auto"/>
          <w:spacing w:val="-47"/>
          <w:sz w:val="21"/>
          <w:szCs w:val="21"/>
        </w:rPr>
        <w:t xml:space="preserve"> </w:t>
      </w:r>
      <w:r>
        <w:rPr>
          <w:rFonts w:ascii="宋体" w:hAnsi="宋体" w:eastAsia="宋体" w:cs="宋体"/>
          <w:b/>
          <w:bCs/>
          <w:color w:val="auto"/>
          <w:spacing w:val="-5"/>
          <w:sz w:val="21"/>
          <w:szCs w:val="21"/>
        </w:rPr>
        <w:t>其它补充条款</w:t>
      </w:r>
    </w:p>
    <w:p w14:paraId="25221F85">
      <w:pPr>
        <w:keepNext w:val="0"/>
        <w:keepLines w:val="0"/>
        <w:pageBreakBefore w:val="0"/>
        <w:widowControl w:val="0"/>
        <w:tabs>
          <w:tab w:val="left" w:pos="8015"/>
        </w:tabs>
        <w:kinsoku/>
        <w:wordWrap/>
        <w:overflowPunct/>
        <w:topLinePunct w:val="0"/>
        <w:autoSpaceDE/>
        <w:autoSpaceDN/>
        <w:bidi w:val="0"/>
        <w:adjustRightInd/>
        <w:snapToGrid/>
        <w:spacing w:line="400" w:lineRule="exact"/>
        <w:ind w:left="1295"/>
        <w:textAlignment w:val="auto"/>
        <w:rPr>
          <w:rFonts w:ascii="宋体" w:hAnsi="宋体" w:eastAsia="宋体" w:cs="宋体"/>
          <w:color w:val="auto"/>
          <w:sz w:val="21"/>
          <w:szCs w:val="21"/>
        </w:rPr>
      </w:pPr>
      <w:r>
        <w:rPr>
          <w:rFonts w:ascii="宋体" w:hAnsi="宋体" w:eastAsia="宋体" w:cs="宋体"/>
          <w:color w:val="auto"/>
          <w:sz w:val="21"/>
          <w:szCs w:val="21"/>
          <w:u w:val="single" w:color="auto"/>
        </w:rPr>
        <w:tab/>
      </w:r>
      <w:r>
        <w:rPr>
          <w:rFonts w:ascii="宋体" w:hAnsi="宋体" w:eastAsia="宋体" w:cs="宋体"/>
          <w:color w:val="auto"/>
          <w:sz w:val="21"/>
          <w:szCs w:val="21"/>
        </w:rPr>
        <w:t>。</w:t>
      </w:r>
    </w:p>
    <w:p w14:paraId="1A43CC72">
      <w:pPr>
        <w:keepNext w:val="0"/>
        <w:keepLines w:val="0"/>
        <w:pageBreakBefore w:val="0"/>
        <w:widowControl w:val="0"/>
        <w:kinsoku/>
        <w:wordWrap/>
        <w:overflowPunct/>
        <w:topLinePunct w:val="0"/>
        <w:autoSpaceDE/>
        <w:autoSpaceDN/>
        <w:bidi w:val="0"/>
        <w:adjustRightInd/>
        <w:snapToGrid/>
        <w:spacing w:line="400" w:lineRule="exact"/>
        <w:ind w:left="519"/>
        <w:textAlignment w:val="auto"/>
        <w:rPr>
          <w:rFonts w:ascii="宋体" w:hAnsi="宋体" w:eastAsia="宋体" w:cs="宋体"/>
          <w:color w:val="auto"/>
          <w:sz w:val="21"/>
          <w:szCs w:val="21"/>
        </w:rPr>
      </w:pPr>
      <w:r>
        <w:rPr>
          <w:rFonts w:ascii="宋体" w:hAnsi="宋体" w:eastAsia="宋体" w:cs="宋体"/>
          <w:b/>
          <w:bCs/>
          <w:color w:val="auto"/>
          <w:spacing w:val="-6"/>
          <w:sz w:val="21"/>
          <w:szCs w:val="21"/>
        </w:rPr>
        <w:t>十六、</w:t>
      </w:r>
      <w:r>
        <w:rPr>
          <w:rFonts w:ascii="宋体" w:hAnsi="宋体" w:eastAsia="宋体" w:cs="宋体"/>
          <w:color w:val="auto"/>
          <w:spacing w:val="76"/>
          <w:sz w:val="21"/>
          <w:szCs w:val="21"/>
        </w:rPr>
        <w:t xml:space="preserve"> </w:t>
      </w:r>
      <w:r>
        <w:rPr>
          <w:rFonts w:ascii="宋体" w:hAnsi="宋体" w:eastAsia="宋体" w:cs="宋体"/>
          <w:b/>
          <w:bCs/>
          <w:color w:val="auto"/>
          <w:spacing w:val="-6"/>
          <w:sz w:val="21"/>
          <w:szCs w:val="21"/>
        </w:rPr>
        <w:t>不可抗力</w:t>
      </w:r>
    </w:p>
    <w:p w14:paraId="44B89405">
      <w:pPr>
        <w:keepNext w:val="0"/>
        <w:keepLines w:val="0"/>
        <w:pageBreakBefore w:val="0"/>
        <w:widowControl w:val="0"/>
        <w:kinsoku/>
        <w:wordWrap/>
        <w:overflowPunct/>
        <w:topLinePunct w:val="0"/>
        <w:autoSpaceDE/>
        <w:autoSpaceDN/>
        <w:bidi w:val="0"/>
        <w:adjustRightInd/>
        <w:snapToGrid/>
        <w:spacing w:line="400" w:lineRule="exact"/>
        <w:ind w:left="41" w:right="28" w:firstLine="476"/>
        <w:textAlignment w:val="auto"/>
        <w:rPr>
          <w:rFonts w:ascii="宋体" w:hAnsi="宋体" w:eastAsia="宋体" w:cs="宋体"/>
          <w:color w:val="auto"/>
          <w:sz w:val="21"/>
          <w:szCs w:val="21"/>
        </w:rPr>
      </w:pPr>
      <w:r>
        <w:rPr>
          <w:rFonts w:ascii="宋体" w:hAnsi="宋体" w:eastAsia="宋体" w:cs="宋体"/>
          <w:color w:val="auto"/>
          <w:sz w:val="21"/>
          <w:szCs w:val="21"/>
        </w:rPr>
        <w:t>任何一方由于不可抗力原因不能履行合同时，应在不可抗力事件结束后</w:t>
      </w:r>
      <w:r>
        <w:rPr>
          <w:rFonts w:ascii="宋体" w:hAnsi="宋体" w:eastAsia="宋体" w:cs="宋体"/>
          <w:color w:val="auto"/>
          <w:sz w:val="21"/>
          <w:szCs w:val="21"/>
          <w:u w:val="single" w:color="auto"/>
        </w:rPr>
        <w:t xml:space="preserve">   </w:t>
      </w:r>
      <w:r>
        <w:rPr>
          <w:rFonts w:ascii="宋体" w:hAnsi="宋体" w:eastAsia="宋体" w:cs="宋体"/>
          <w:color w:val="auto"/>
          <w:sz w:val="21"/>
          <w:szCs w:val="21"/>
        </w:rPr>
        <w:t>日内以书面形式通知对方，以减轻可能给对方造</w:t>
      </w:r>
      <w:r>
        <w:rPr>
          <w:rFonts w:ascii="宋体" w:hAnsi="宋体" w:eastAsia="宋体" w:cs="宋体"/>
          <w:color w:val="auto"/>
          <w:spacing w:val="-1"/>
          <w:sz w:val="21"/>
          <w:szCs w:val="21"/>
        </w:rPr>
        <w:t>成的损失，在取得有关机构的</w:t>
      </w:r>
      <w:r>
        <w:rPr>
          <w:rFonts w:ascii="宋体" w:hAnsi="宋体" w:eastAsia="宋体" w:cs="宋体"/>
          <w:color w:val="auto"/>
          <w:sz w:val="21"/>
          <w:szCs w:val="21"/>
        </w:rPr>
        <w:t>不可抗力证明或双方谅解确认后，允许延期履行</w:t>
      </w:r>
      <w:r>
        <w:rPr>
          <w:rFonts w:ascii="宋体" w:hAnsi="宋体" w:eastAsia="宋体" w:cs="宋体"/>
          <w:color w:val="auto"/>
          <w:spacing w:val="-1"/>
          <w:sz w:val="21"/>
          <w:szCs w:val="21"/>
        </w:rPr>
        <w:t>或修订合同，并根据情况可部</w:t>
      </w:r>
      <w:r>
        <w:rPr>
          <w:rFonts w:ascii="宋体" w:hAnsi="宋体" w:eastAsia="宋体" w:cs="宋体"/>
          <w:color w:val="auto"/>
          <w:spacing w:val="-4"/>
          <w:sz w:val="21"/>
          <w:szCs w:val="21"/>
        </w:rPr>
        <w:t>分或全部免于承担违约责任。</w:t>
      </w:r>
    </w:p>
    <w:p w14:paraId="2DF2DB0D">
      <w:pPr>
        <w:keepNext w:val="0"/>
        <w:keepLines w:val="0"/>
        <w:pageBreakBefore w:val="0"/>
        <w:widowControl w:val="0"/>
        <w:kinsoku/>
        <w:wordWrap/>
        <w:overflowPunct/>
        <w:topLinePunct w:val="0"/>
        <w:autoSpaceDE/>
        <w:autoSpaceDN/>
        <w:bidi w:val="0"/>
        <w:adjustRightInd/>
        <w:snapToGrid/>
        <w:spacing w:line="400" w:lineRule="exact"/>
        <w:ind w:left="519"/>
        <w:textAlignment w:val="auto"/>
        <w:rPr>
          <w:rFonts w:ascii="宋体" w:hAnsi="宋体" w:eastAsia="宋体" w:cs="宋体"/>
          <w:color w:val="auto"/>
          <w:sz w:val="21"/>
          <w:szCs w:val="21"/>
        </w:rPr>
      </w:pPr>
      <w:r>
        <w:rPr>
          <w:rFonts w:ascii="宋体" w:hAnsi="宋体" w:eastAsia="宋体" w:cs="宋体"/>
          <w:b/>
          <w:bCs/>
          <w:color w:val="auto"/>
          <w:spacing w:val="-5"/>
          <w:sz w:val="21"/>
          <w:szCs w:val="21"/>
        </w:rPr>
        <w:t>十七、</w:t>
      </w:r>
      <w:r>
        <w:rPr>
          <w:rFonts w:ascii="宋体" w:hAnsi="宋体" w:eastAsia="宋体" w:cs="宋体"/>
          <w:color w:val="auto"/>
          <w:spacing w:val="-45"/>
          <w:sz w:val="21"/>
          <w:szCs w:val="21"/>
        </w:rPr>
        <w:t xml:space="preserve"> </w:t>
      </w:r>
      <w:r>
        <w:rPr>
          <w:rFonts w:ascii="宋体" w:hAnsi="宋体" w:eastAsia="宋体" w:cs="宋体"/>
          <w:b/>
          <w:bCs/>
          <w:color w:val="auto"/>
          <w:spacing w:val="-5"/>
          <w:sz w:val="21"/>
          <w:szCs w:val="21"/>
        </w:rPr>
        <w:t>解决争议的方法</w:t>
      </w:r>
    </w:p>
    <w:p w14:paraId="5B7BF768">
      <w:pPr>
        <w:keepNext w:val="0"/>
        <w:keepLines w:val="0"/>
        <w:pageBreakBefore w:val="0"/>
        <w:widowControl w:val="0"/>
        <w:kinsoku/>
        <w:wordWrap/>
        <w:overflowPunct/>
        <w:topLinePunct w:val="0"/>
        <w:autoSpaceDE/>
        <w:autoSpaceDN/>
        <w:bidi w:val="0"/>
        <w:adjustRightInd/>
        <w:snapToGrid/>
        <w:spacing w:line="400" w:lineRule="exact"/>
        <w:ind w:left="46" w:right="413" w:firstLine="476"/>
        <w:textAlignment w:val="auto"/>
        <w:rPr>
          <w:rFonts w:ascii="宋体" w:hAnsi="宋体" w:eastAsia="宋体" w:cs="宋体"/>
          <w:color w:val="auto"/>
          <w:sz w:val="21"/>
          <w:szCs w:val="21"/>
        </w:rPr>
      </w:pPr>
      <w:r>
        <w:rPr>
          <w:rFonts w:ascii="宋体" w:hAnsi="宋体" w:eastAsia="宋体" w:cs="宋体"/>
          <w:color w:val="auto"/>
          <w:spacing w:val="-1"/>
          <w:sz w:val="21"/>
          <w:szCs w:val="21"/>
        </w:rPr>
        <w:t>一切由执行合同引起的或与本合同有关的争执，双方应通过友好协商解</w:t>
      </w:r>
      <w:r>
        <w:rPr>
          <w:rFonts w:ascii="宋体" w:hAnsi="宋体" w:eastAsia="宋体" w:cs="宋体"/>
          <w:color w:val="auto"/>
          <w:spacing w:val="-2"/>
          <w:sz w:val="21"/>
          <w:szCs w:val="21"/>
        </w:rPr>
        <w:t>决，如协商不能解决应提交甲方所在地有管辖权的人民法院诉讼解决。</w:t>
      </w:r>
    </w:p>
    <w:p w14:paraId="644D80C1">
      <w:pPr>
        <w:keepNext w:val="0"/>
        <w:keepLines w:val="0"/>
        <w:pageBreakBefore w:val="0"/>
        <w:widowControl w:val="0"/>
        <w:kinsoku/>
        <w:wordWrap/>
        <w:overflowPunct/>
        <w:topLinePunct w:val="0"/>
        <w:autoSpaceDE/>
        <w:autoSpaceDN/>
        <w:bidi w:val="0"/>
        <w:adjustRightInd/>
        <w:snapToGrid/>
        <w:spacing w:line="400" w:lineRule="exact"/>
        <w:ind w:left="519"/>
        <w:textAlignment w:val="auto"/>
        <w:rPr>
          <w:rFonts w:ascii="宋体" w:hAnsi="宋体" w:eastAsia="宋体" w:cs="宋体"/>
          <w:color w:val="auto"/>
          <w:sz w:val="21"/>
          <w:szCs w:val="21"/>
        </w:rPr>
      </w:pPr>
      <w:r>
        <w:rPr>
          <w:rFonts w:ascii="宋体" w:hAnsi="宋体" w:eastAsia="宋体" w:cs="宋体"/>
          <w:b/>
          <w:bCs/>
          <w:color w:val="auto"/>
          <w:spacing w:val="-6"/>
          <w:sz w:val="21"/>
          <w:szCs w:val="21"/>
        </w:rPr>
        <w:t>十八、</w:t>
      </w:r>
      <w:r>
        <w:rPr>
          <w:rFonts w:ascii="宋体" w:hAnsi="宋体" w:eastAsia="宋体" w:cs="宋体"/>
          <w:color w:val="auto"/>
          <w:spacing w:val="-45"/>
          <w:sz w:val="21"/>
          <w:szCs w:val="21"/>
        </w:rPr>
        <w:t xml:space="preserve"> </w:t>
      </w:r>
      <w:r>
        <w:rPr>
          <w:rFonts w:ascii="宋体" w:hAnsi="宋体" w:eastAsia="宋体" w:cs="宋体"/>
          <w:b/>
          <w:bCs/>
          <w:color w:val="auto"/>
          <w:spacing w:val="-6"/>
          <w:sz w:val="21"/>
          <w:szCs w:val="21"/>
        </w:rPr>
        <w:t>合同组成</w:t>
      </w:r>
    </w:p>
    <w:p w14:paraId="20CC3C28">
      <w:pPr>
        <w:keepNext w:val="0"/>
        <w:keepLines w:val="0"/>
        <w:pageBreakBefore w:val="0"/>
        <w:widowControl w:val="0"/>
        <w:kinsoku/>
        <w:wordWrap/>
        <w:overflowPunct/>
        <w:topLinePunct w:val="0"/>
        <w:autoSpaceDE/>
        <w:autoSpaceDN/>
        <w:bidi w:val="0"/>
        <w:adjustRightInd/>
        <w:snapToGrid/>
        <w:spacing w:line="400" w:lineRule="exact"/>
        <w:ind w:left="1006"/>
        <w:textAlignment w:val="auto"/>
        <w:rPr>
          <w:rFonts w:ascii="宋体" w:hAnsi="宋体" w:eastAsia="宋体" w:cs="宋体"/>
          <w:color w:val="auto"/>
          <w:sz w:val="21"/>
          <w:szCs w:val="21"/>
        </w:rPr>
      </w:pPr>
      <w:r>
        <w:rPr>
          <w:rFonts w:ascii="宋体" w:hAnsi="宋体" w:eastAsia="宋体" w:cs="宋体"/>
          <w:color w:val="auto"/>
          <w:spacing w:val="-5"/>
          <w:sz w:val="21"/>
          <w:szCs w:val="21"/>
        </w:rPr>
        <w:t>下列文件为本合同不可分割的部分：</w:t>
      </w:r>
    </w:p>
    <w:p w14:paraId="6688B847">
      <w:pPr>
        <w:keepNext w:val="0"/>
        <w:keepLines w:val="0"/>
        <w:pageBreakBefore w:val="0"/>
        <w:widowControl w:val="0"/>
        <w:kinsoku/>
        <w:wordWrap/>
        <w:overflowPunct/>
        <w:topLinePunct w:val="0"/>
        <w:autoSpaceDE/>
        <w:autoSpaceDN/>
        <w:bidi w:val="0"/>
        <w:adjustRightInd/>
        <w:snapToGrid/>
        <w:spacing w:line="400" w:lineRule="exact"/>
        <w:ind w:left="1083"/>
        <w:textAlignment w:val="auto"/>
        <w:rPr>
          <w:rFonts w:ascii="宋体" w:hAnsi="宋体" w:eastAsia="宋体" w:cs="宋体"/>
          <w:color w:val="auto"/>
          <w:sz w:val="21"/>
          <w:szCs w:val="21"/>
        </w:rPr>
      </w:pPr>
      <w:r>
        <w:rPr>
          <w:rFonts w:ascii="宋体" w:hAnsi="宋体" w:eastAsia="宋体" w:cs="宋体"/>
          <w:color w:val="auto"/>
          <w:spacing w:val="-12"/>
          <w:sz w:val="21"/>
          <w:szCs w:val="21"/>
        </w:rPr>
        <w:t>1．合同书；</w:t>
      </w:r>
    </w:p>
    <w:p w14:paraId="4D383723">
      <w:pPr>
        <w:keepNext w:val="0"/>
        <w:keepLines w:val="0"/>
        <w:pageBreakBefore w:val="0"/>
        <w:widowControl w:val="0"/>
        <w:kinsoku/>
        <w:wordWrap/>
        <w:overflowPunct/>
        <w:topLinePunct w:val="0"/>
        <w:autoSpaceDE/>
        <w:autoSpaceDN/>
        <w:bidi w:val="0"/>
        <w:adjustRightInd/>
        <w:snapToGrid/>
        <w:spacing w:line="400" w:lineRule="exact"/>
        <w:ind w:left="1068"/>
        <w:textAlignment w:val="auto"/>
        <w:rPr>
          <w:rFonts w:ascii="宋体" w:hAnsi="宋体" w:eastAsia="宋体" w:cs="宋体"/>
          <w:color w:val="auto"/>
          <w:sz w:val="21"/>
          <w:szCs w:val="21"/>
        </w:rPr>
      </w:pPr>
      <w:r>
        <w:rPr>
          <w:rFonts w:ascii="宋体" w:hAnsi="宋体" w:eastAsia="宋体" w:cs="宋体"/>
          <w:color w:val="auto"/>
          <w:spacing w:val="-5"/>
          <w:sz w:val="21"/>
          <w:szCs w:val="21"/>
        </w:rPr>
        <w:t>2．代理机构发出的成交通知书；</w:t>
      </w:r>
    </w:p>
    <w:p w14:paraId="2D301F1D">
      <w:pPr>
        <w:keepNext w:val="0"/>
        <w:keepLines w:val="0"/>
        <w:pageBreakBefore w:val="0"/>
        <w:widowControl w:val="0"/>
        <w:kinsoku/>
        <w:wordWrap/>
        <w:overflowPunct/>
        <w:topLinePunct w:val="0"/>
        <w:autoSpaceDE/>
        <w:autoSpaceDN/>
        <w:bidi w:val="0"/>
        <w:adjustRightInd/>
        <w:snapToGrid/>
        <w:spacing w:line="400" w:lineRule="exact"/>
        <w:ind w:left="1070"/>
        <w:textAlignment w:val="auto"/>
        <w:rPr>
          <w:rFonts w:ascii="宋体" w:hAnsi="宋体" w:eastAsia="宋体" w:cs="宋体"/>
          <w:color w:val="auto"/>
          <w:sz w:val="21"/>
          <w:szCs w:val="21"/>
        </w:rPr>
      </w:pPr>
      <w:r>
        <w:rPr>
          <w:rFonts w:ascii="宋体" w:hAnsi="宋体" w:eastAsia="宋体" w:cs="宋体"/>
          <w:color w:val="auto"/>
          <w:spacing w:val="-3"/>
          <w:sz w:val="21"/>
          <w:szCs w:val="21"/>
        </w:rPr>
        <w:t>3．经双方确认并共同签字的补充文件、技术协议等；</w:t>
      </w:r>
    </w:p>
    <w:p w14:paraId="279C37B9">
      <w:pPr>
        <w:keepNext w:val="0"/>
        <w:keepLines w:val="0"/>
        <w:pageBreakBefore w:val="0"/>
        <w:widowControl w:val="0"/>
        <w:kinsoku/>
        <w:wordWrap/>
        <w:overflowPunct/>
        <w:topLinePunct w:val="0"/>
        <w:autoSpaceDE/>
        <w:autoSpaceDN/>
        <w:bidi w:val="0"/>
        <w:adjustRightInd/>
        <w:snapToGrid/>
        <w:spacing w:line="400" w:lineRule="exact"/>
        <w:ind w:left="1064"/>
        <w:textAlignment w:val="auto"/>
        <w:rPr>
          <w:rFonts w:ascii="宋体" w:hAnsi="宋体" w:eastAsia="宋体" w:cs="宋体"/>
          <w:color w:val="auto"/>
          <w:sz w:val="21"/>
          <w:szCs w:val="21"/>
        </w:rPr>
      </w:pPr>
      <w:r>
        <w:rPr>
          <w:rFonts w:ascii="宋体" w:hAnsi="宋体" w:eastAsia="宋体" w:cs="宋体"/>
          <w:color w:val="auto"/>
          <w:spacing w:val="-3"/>
          <w:sz w:val="21"/>
          <w:szCs w:val="21"/>
        </w:rPr>
        <w:t>4．乙方的响应文件（含附件、补充文件、图纸等</w:t>
      </w:r>
      <w:r>
        <w:rPr>
          <w:rFonts w:ascii="宋体" w:hAnsi="宋体" w:eastAsia="宋体" w:cs="宋体"/>
          <w:color w:val="auto"/>
          <w:spacing w:val="2"/>
          <w:sz w:val="21"/>
          <w:szCs w:val="21"/>
        </w:rPr>
        <w:t>）；</w:t>
      </w:r>
    </w:p>
    <w:p w14:paraId="0CF04BF8">
      <w:pPr>
        <w:keepNext w:val="0"/>
        <w:keepLines w:val="0"/>
        <w:pageBreakBefore w:val="0"/>
        <w:widowControl w:val="0"/>
        <w:kinsoku/>
        <w:wordWrap/>
        <w:overflowPunct/>
        <w:topLinePunct w:val="0"/>
        <w:autoSpaceDE/>
        <w:autoSpaceDN/>
        <w:bidi w:val="0"/>
        <w:adjustRightInd/>
        <w:snapToGrid/>
        <w:spacing w:line="400" w:lineRule="exact"/>
        <w:ind w:left="1070"/>
        <w:textAlignment w:val="auto"/>
        <w:rPr>
          <w:rFonts w:ascii="宋体" w:hAnsi="宋体" w:eastAsia="宋体" w:cs="宋体"/>
          <w:color w:val="auto"/>
          <w:sz w:val="21"/>
          <w:szCs w:val="21"/>
        </w:rPr>
      </w:pPr>
      <w:r>
        <w:rPr>
          <w:rFonts w:ascii="宋体" w:hAnsi="宋体" w:eastAsia="宋体" w:cs="宋体"/>
          <w:color w:val="auto"/>
          <w:spacing w:val="-2"/>
          <w:sz w:val="21"/>
          <w:szCs w:val="21"/>
        </w:rPr>
        <w:t>5．采购文件（含附件、补充文件、图纸等）。</w:t>
      </w:r>
    </w:p>
    <w:p w14:paraId="0D6F4B47">
      <w:pPr>
        <w:keepNext w:val="0"/>
        <w:keepLines w:val="0"/>
        <w:pageBreakBefore w:val="0"/>
        <w:widowControl w:val="0"/>
        <w:kinsoku/>
        <w:wordWrap/>
        <w:overflowPunct/>
        <w:topLinePunct w:val="0"/>
        <w:autoSpaceDE/>
        <w:autoSpaceDN/>
        <w:bidi w:val="0"/>
        <w:adjustRightInd/>
        <w:snapToGrid/>
        <w:spacing w:line="400" w:lineRule="exact"/>
        <w:ind w:left="519"/>
        <w:textAlignment w:val="auto"/>
        <w:rPr>
          <w:rFonts w:ascii="宋体" w:hAnsi="宋体" w:eastAsia="宋体" w:cs="宋体"/>
          <w:color w:val="auto"/>
          <w:sz w:val="21"/>
          <w:szCs w:val="21"/>
        </w:rPr>
      </w:pPr>
      <w:r>
        <w:rPr>
          <w:rFonts w:ascii="宋体" w:hAnsi="宋体" w:eastAsia="宋体" w:cs="宋体"/>
          <w:b/>
          <w:bCs/>
          <w:color w:val="auto"/>
          <w:spacing w:val="-5"/>
          <w:sz w:val="21"/>
          <w:szCs w:val="21"/>
        </w:rPr>
        <w:t>十九、</w:t>
      </w:r>
      <w:r>
        <w:rPr>
          <w:rFonts w:ascii="宋体" w:hAnsi="宋体" w:eastAsia="宋体" w:cs="宋体"/>
          <w:color w:val="auto"/>
          <w:spacing w:val="-45"/>
          <w:sz w:val="21"/>
          <w:szCs w:val="21"/>
        </w:rPr>
        <w:t xml:space="preserve"> </w:t>
      </w:r>
      <w:r>
        <w:rPr>
          <w:rFonts w:ascii="宋体" w:hAnsi="宋体" w:eastAsia="宋体" w:cs="宋体"/>
          <w:b/>
          <w:bCs/>
          <w:color w:val="auto"/>
          <w:spacing w:val="-5"/>
          <w:sz w:val="21"/>
          <w:szCs w:val="21"/>
        </w:rPr>
        <w:t>合同生效与终止</w:t>
      </w:r>
    </w:p>
    <w:p w14:paraId="77CED464">
      <w:pPr>
        <w:keepNext w:val="0"/>
        <w:keepLines w:val="0"/>
        <w:pageBreakBefore w:val="0"/>
        <w:widowControl w:val="0"/>
        <w:kinsoku/>
        <w:wordWrap/>
        <w:overflowPunct/>
        <w:topLinePunct w:val="0"/>
        <w:autoSpaceDE/>
        <w:autoSpaceDN/>
        <w:bidi w:val="0"/>
        <w:adjustRightInd/>
        <w:snapToGrid/>
        <w:spacing w:line="400" w:lineRule="exact"/>
        <w:ind w:left="587" w:right="226" w:firstLine="495"/>
        <w:textAlignment w:val="auto"/>
        <w:rPr>
          <w:rFonts w:ascii="宋体" w:hAnsi="宋体" w:eastAsia="宋体" w:cs="宋体"/>
          <w:color w:val="auto"/>
          <w:sz w:val="21"/>
          <w:szCs w:val="21"/>
        </w:rPr>
      </w:pPr>
      <w:r>
        <w:rPr>
          <w:rFonts w:ascii="宋体" w:hAnsi="宋体" w:eastAsia="宋体" w:cs="宋体"/>
          <w:color w:val="auto"/>
          <w:spacing w:val="-1"/>
          <w:sz w:val="21"/>
          <w:szCs w:val="21"/>
        </w:rPr>
        <w:t>1．本合同经甲乙双方授权代表签字和加盖公章（或合同专用章）后</w:t>
      </w:r>
      <w:r>
        <w:rPr>
          <w:rFonts w:ascii="宋体" w:hAnsi="宋体" w:eastAsia="宋体" w:cs="宋体"/>
          <w:color w:val="auto"/>
          <w:spacing w:val="-2"/>
          <w:sz w:val="21"/>
          <w:szCs w:val="21"/>
        </w:rPr>
        <w:t>生效。如竞争性磋商申请公证的，合同需经公证</w:t>
      </w:r>
      <w:r>
        <w:rPr>
          <w:rFonts w:ascii="宋体" w:hAnsi="宋体" w:eastAsia="宋体" w:cs="宋体"/>
          <w:color w:val="auto"/>
          <w:spacing w:val="-3"/>
          <w:sz w:val="21"/>
          <w:szCs w:val="21"/>
        </w:rPr>
        <w:t>机构公证后生效；</w:t>
      </w:r>
    </w:p>
    <w:p w14:paraId="6B6DED99">
      <w:pPr>
        <w:keepNext w:val="0"/>
        <w:keepLines w:val="0"/>
        <w:pageBreakBefore w:val="0"/>
        <w:widowControl w:val="0"/>
        <w:kinsoku/>
        <w:wordWrap/>
        <w:overflowPunct/>
        <w:topLinePunct w:val="0"/>
        <w:autoSpaceDE/>
        <w:autoSpaceDN/>
        <w:bidi w:val="0"/>
        <w:adjustRightInd/>
        <w:snapToGrid/>
        <w:spacing w:line="400" w:lineRule="exact"/>
        <w:ind w:left="1001"/>
        <w:textAlignment w:val="auto"/>
        <w:rPr>
          <w:rFonts w:ascii="宋体" w:hAnsi="宋体" w:eastAsia="宋体" w:cs="宋体"/>
          <w:color w:val="auto"/>
          <w:sz w:val="21"/>
          <w:szCs w:val="21"/>
        </w:rPr>
      </w:pPr>
      <w:r>
        <w:rPr>
          <w:rFonts w:ascii="宋体" w:hAnsi="宋体" w:eastAsia="宋体" w:cs="宋体"/>
          <w:color w:val="auto"/>
          <w:spacing w:val="-3"/>
          <w:sz w:val="21"/>
          <w:szCs w:val="21"/>
        </w:rPr>
        <w:t>2．双方履行完各自权利和义务后合同自行终止；</w:t>
      </w:r>
    </w:p>
    <w:p w14:paraId="08CD9B01">
      <w:pPr>
        <w:keepNext w:val="0"/>
        <w:keepLines w:val="0"/>
        <w:pageBreakBefore w:val="0"/>
        <w:widowControl w:val="0"/>
        <w:kinsoku/>
        <w:wordWrap/>
        <w:overflowPunct/>
        <w:topLinePunct w:val="0"/>
        <w:autoSpaceDE/>
        <w:autoSpaceDN/>
        <w:bidi w:val="0"/>
        <w:adjustRightInd/>
        <w:snapToGrid/>
        <w:spacing w:line="400" w:lineRule="exact"/>
        <w:ind w:left="522"/>
        <w:textAlignment w:val="auto"/>
        <w:rPr>
          <w:rFonts w:ascii="宋体" w:hAnsi="宋体" w:eastAsia="宋体" w:cs="宋体"/>
          <w:color w:val="auto"/>
          <w:spacing w:val="-3"/>
          <w:sz w:val="21"/>
          <w:szCs w:val="21"/>
        </w:rPr>
      </w:pPr>
      <w:r>
        <w:rPr>
          <w:rFonts w:ascii="宋体" w:hAnsi="宋体" w:eastAsia="宋体" w:cs="宋体"/>
          <w:color w:val="auto"/>
          <w:spacing w:val="-3"/>
          <w:sz w:val="21"/>
          <w:szCs w:val="21"/>
        </w:rPr>
        <w:t>3．本合同规定可以终止合同的情形。</w:t>
      </w:r>
    </w:p>
    <w:p w14:paraId="0A584758">
      <w:pPr>
        <w:keepNext w:val="0"/>
        <w:keepLines w:val="0"/>
        <w:pageBreakBefore w:val="0"/>
        <w:widowControl w:val="0"/>
        <w:kinsoku/>
        <w:wordWrap/>
        <w:overflowPunct/>
        <w:topLinePunct w:val="0"/>
        <w:autoSpaceDE/>
        <w:autoSpaceDN/>
        <w:bidi w:val="0"/>
        <w:adjustRightInd/>
        <w:snapToGrid/>
        <w:spacing w:line="400" w:lineRule="exact"/>
        <w:ind w:left="522"/>
        <w:textAlignment w:val="auto"/>
        <w:rPr>
          <w:rFonts w:ascii="宋体" w:hAnsi="宋体" w:eastAsia="宋体" w:cs="宋体"/>
          <w:color w:val="auto"/>
          <w:sz w:val="21"/>
          <w:szCs w:val="21"/>
        </w:rPr>
      </w:pPr>
      <w:r>
        <w:rPr>
          <w:rFonts w:ascii="宋体" w:hAnsi="宋体" w:eastAsia="宋体" w:cs="宋体"/>
          <w:b/>
          <w:bCs/>
          <w:color w:val="auto"/>
          <w:spacing w:val="-6"/>
          <w:sz w:val="21"/>
          <w:szCs w:val="21"/>
        </w:rPr>
        <w:t>二十、</w:t>
      </w:r>
      <w:r>
        <w:rPr>
          <w:rFonts w:ascii="宋体" w:hAnsi="宋体" w:eastAsia="宋体" w:cs="宋体"/>
          <w:color w:val="auto"/>
          <w:spacing w:val="-45"/>
          <w:sz w:val="21"/>
          <w:szCs w:val="21"/>
        </w:rPr>
        <w:t xml:space="preserve"> </w:t>
      </w:r>
      <w:r>
        <w:rPr>
          <w:rFonts w:ascii="宋体" w:hAnsi="宋体" w:eastAsia="宋体" w:cs="宋体"/>
          <w:b/>
          <w:bCs/>
          <w:color w:val="auto"/>
          <w:spacing w:val="-6"/>
          <w:sz w:val="21"/>
          <w:szCs w:val="21"/>
        </w:rPr>
        <w:t>通知与送达</w:t>
      </w:r>
    </w:p>
    <w:p w14:paraId="7B9D9533">
      <w:pPr>
        <w:keepNext w:val="0"/>
        <w:keepLines w:val="0"/>
        <w:pageBreakBefore w:val="0"/>
        <w:widowControl w:val="0"/>
        <w:kinsoku/>
        <w:wordWrap/>
        <w:overflowPunct/>
        <w:topLinePunct w:val="0"/>
        <w:autoSpaceDE/>
        <w:autoSpaceDN/>
        <w:bidi w:val="0"/>
        <w:adjustRightInd/>
        <w:snapToGrid/>
        <w:spacing w:line="400" w:lineRule="exact"/>
        <w:ind w:left="583" w:right="226" w:firstLine="499"/>
        <w:textAlignment w:val="auto"/>
        <w:rPr>
          <w:rFonts w:ascii="宋体" w:hAnsi="宋体" w:eastAsia="宋体" w:cs="宋体"/>
          <w:color w:val="auto"/>
          <w:sz w:val="21"/>
          <w:szCs w:val="21"/>
        </w:rPr>
      </w:pPr>
      <w:r>
        <w:rPr>
          <w:rFonts w:ascii="宋体" w:hAnsi="宋体" w:eastAsia="宋体" w:cs="宋体"/>
          <w:color w:val="auto"/>
          <w:spacing w:val="-1"/>
          <w:sz w:val="21"/>
          <w:szCs w:val="21"/>
        </w:rPr>
        <w:t>1．就本合同有关事项，双方应通过本合同约定的联系方式向对方发</w:t>
      </w:r>
      <w:r>
        <w:rPr>
          <w:rFonts w:ascii="宋体" w:hAnsi="宋体" w:eastAsia="宋体" w:cs="宋体"/>
          <w:color w:val="auto"/>
          <w:spacing w:val="-2"/>
          <w:sz w:val="21"/>
          <w:szCs w:val="21"/>
        </w:rPr>
        <w:t>送相关通知，本合同约定的送达地址同时作为有效司法送</w:t>
      </w:r>
      <w:r>
        <w:rPr>
          <w:rFonts w:ascii="宋体" w:hAnsi="宋体" w:eastAsia="宋体" w:cs="宋体"/>
          <w:color w:val="auto"/>
          <w:spacing w:val="-3"/>
          <w:sz w:val="21"/>
          <w:szCs w:val="21"/>
        </w:rPr>
        <w:t>达地址；</w:t>
      </w:r>
    </w:p>
    <w:p w14:paraId="4BA9E172">
      <w:pPr>
        <w:keepNext w:val="0"/>
        <w:keepLines w:val="0"/>
        <w:pageBreakBefore w:val="0"/>
        <w:widowControl w:val="0"/>
        <w:kinsoku/>
        <w:wordWrap/>
        <w:overflowPunct/>
        <w:topLinePunct w:val="0"/>
        <w:autoSpaceDE/>
        <w:autoSpaceDN/>
        <w:bidi w:val="0"/>
        <w:adjustRightInd/>
        <w:snapToGrid/>
        <w:spacing w:line="400" w:lineRule="exact"/>
        <w:ind w:left="590" w:right="226" w:firstLine="478"/>
        <w:textAlignment w:val="auto"/>
        <w:rPr>
          <w:rFonts w:ascii="宋体" w:hAnsi="宋体" w:eastAsia="宋体" w:cs="宋体"/>
          <w:color w:val="auto"/>
          <w:sz w:val="21"/>
          <w:szCs w:val="21"/>
        </w:rPr>
      </w:pPr>
      <w:r>
        <w:rPr>
          <w:rFonts w:ascii="宋体" w:hAnsi="宋体" w:eastAsia="宋体" w:cs="宋体"/>
          <w:color w:val="auto"/>
          <w:spacing w:val="-2"/>
          <w:sz w:val="21"/>
          <w:szCs w:val="21"/>
        </w:rPr>
        <w:t>2．一方变更通知或通讯地址，应自变更之日起</w:t>
      </w:r>
      <w:r>
        <w:rPr>
          <w:rFonts w:ascii="宋体" w:hAnsi="宋体" w:eastAsia="宋体" w:cs="宋体"/>
          <w:color w:val="auto"/>
          <w:spacing w:val="-2"/>
          <w:sz w:val="21"/>
          <w:szCs w:val="21"/>
          <w:u w:val="single" w:color="auto"/>
        </w:rPr>
        <w:t xml:space="preserve">    </w:t>
      </w:r>
      <w:r>
        <w:rPr>
          <w:rFonts w:ascii="宋体" w:hAnsi="宋体" w:eastAsia="宋体" w:cs="宋体"/>
          <w:color w:val="auto"/>
          <w:spacing w:val="-68"/>
          <w:sz w:val="21"/>
          <w:szCs w:val="21"/>
        </w:rPr>
        <w:t xml:space="preserve"> </w:t>
      </w:r>
      <w:r>
        <w:rPr>
          <w:rFonts w:ascii="宋体" w:hAnsi="宋体" w:eastAsia="宋体" w:cs="宋体"/>
          <w:color w:val="auto"/>
          <w:spacing w:val="-2"/>
          <w:sz w:val="21"/>
          <w:szCs w:val="21"/>
        </w:rPr>
        <w:t>日内，以书面形式通知对方，否则，由未通知方承担由此而引起的相关责任。</w:t>
      </w:r>
    </w:p>
    <w:p w14:paraId="5A0C22B8">
      <w:pPr>
        <w:keepNext w:val="0"/>
        <w:keepLines w:val="0"/>
        <w:pageBreakBefore w:val="0"/>
        <w:widowControl w:val="0"/>
        <w:kinsoku/>
        <w:wordWrap/>
        <w:overflowPunct/>
        <w:topLinePunct w:val="0"/>
        <w:autoSpaceDE/>
        <w:autoSpaceDN/>
        <w:bidi w:val="0"/>
        <w:adjustRightInd/>
        <w:snapToGrid/>
        <w:spacing w:line="400" w:lineRule="exact"/>
        <w:ind w:left="522"/>
        <w:textAlignment w:val="auto"/>
        <w:rPr>
          <w:rFonts w:ascii="宋体" w:hAnsi="宋体" w:eastAsia="宋体" w:cs="宋体"/>
          <w:color w:val="auto"/>
          <w:sz w:val="21"/>
          <w:szCs w:val="21"/>
        </w:rPr>
      </w:pPr>
      <w:r>
        <w:rPr>
          <w:rFonts w:ascii="宋体" w:hAnsi="宋体" w:eastAsia="宋体" w:cs="宋体"/>
          <w:b/>
          <w:bCs/>
          <w:color w:val="auto"/>
          <w:spacing w:val="-3"/>
          <w:sz w:val="21"/>
          <w:szCs w:val="21"/>
        </w:rPr>
        <w:t>二十一、</w:t>
      </w:r>
      <w:r>
        <w:rPr>
          <w:rFonts w:ascii="宋体" w:hAnsi="宋体" w:eastAsia="宋体" w:cs="宋体"/>
          <w:color w:val="auto"/>
          <w:spacing w:val="-3"/>
          <w:sz w:val="21"/>
          <w:szCs w:val="21"/>
        </w:rPr>
        <w:t xml:space="preserve">  </w:t>
      </w:r>
      <w:r>
        <w:rPr>
          <w:rFonts w:ascii="宋体" w:hAnsi="宋体" w:eastAsia="宋体" w:cs="宋体"/>
          <w:b/>
          <w:bCs/>
          <w:color w:val="auto"/>
          <w:spacing w:val="-3"/>
          <w:sz w:val="21"/>
          <w:szCs w:val="21"/>
        </w:rPr>
        <w:t>其它</w:t>
      </w:r>
    </w:p>
    <w:p w14:paraId="185A8B4B">
      <w:pPr>
        <w:keepNext w:val="0"/>
        <w:keepLines w:val="0"/>
        <w:pageBreakBefore w:val="0"/>
        <w:widowControl w:val="0"/>
        <w:kinsoku/>
        <w:wordWrap/>
        <w:overflowPunct/>
        <w:topLinePunct w:val="0"/>
        <w:autoSpaceDE/>
        <w:autoSpaceDN/>
        <w:bidi w:val="0"/>
        <w:adjustRightInd/>
        <w:snapToGrid/>
        <w:spacing w:line="400" w:lineRule="exact"/>
        <w:ind w:left="585" w:right="28" w:firstLine="481"/>
        <w:textAlignment w:val="auto"/>
        <w:rPr>
          <w:rFonts w:ascii="宋体" w:hAnsi="宋体" w:eastAsia="宋体" w:cs="宋体"/>
          <w:color w:val="auto"/>
          <w:sz w:val="21"/>
          <w:szCs w:val="21"/>
        </w:rPr>
      </w:pPr>
      <w:r>
        <w:rPr>
          <w:rFonts w:ascii="宋体" w:hAnsi="宋体" w:eastAsia="宋体" w:cs="宋体"/>
          <w:color w:val="auto"/>
          <w:spacing w:val="-1"/>
          <w:sz w:val="21"/>
          <w:szCs w:val="21"/>
        </w:rPr>
        <w:t>本合同正本一式</w:t>
      </w:r>
      <w:r>
        <w:rPr>
          <w:rFonts w:ascii="宋体" w:hAnsi="宋体" w:eastAsia="宋体" w:cs="宋体"/>
          <w:color w:val="auto"/>
          <w:spacing w:val="-1"/>
          <w:sz w:val="21"/>
          <w:szCs w:val="21"/>
          <w:u w:val="single" w:color="auto"/>
        </w:rPr>
        <w:t xml:space="preserve">    </w:t>
      </w:r>
      <w:r>
        <w:rPr>
          <w:rFonts w:ascii="宋体" w:hAnsi="宋体" w:eastAsia="宋体" w:cs="宋体"/>
          <w:color w:val="auto"/>
          <w:spacing w:val="-110"/>
          <w:sz w:val="21"/>
          <w:szCs w:val="21"/>
        </w:rPr>
        <w:t xml:space="preserve"> </w:t>
      </w:r>
      <w:r>
        <w:rPr>
          <w:rFonts w:ascii="宋体" w:hAnsi="宋体" w:eastAsia="宋体" w:cs="宋体"/>
          <w:color w:val="auto"/>
          <w:spacing w:val="-1"/>
          <w:sz w:val="21"/>
          <w:szCs w:val="21"/>
        </w:rPr>
        <w:t>份，甲方执</w:t>
      </w:r>
      <w:r>
        <w:rPr>
          <w:rFonts w:ascii="宋体" w:hAnsi="宋体" w:eastAsia="宋体" w:cs="宋体"/>
          <w:color w:val="auto"/>
          <w:spacing w:val="-1"/>
          <w:sz w:val="21"/>
          <w:szCs w:val="21"/>
          <w:u w:val="single" w:color="auto"/>
        </w:rPr>
        <w:t xml:space="preserve">    </w:t>
      </w:r>
      <w:r>
        <w:rPr>
          <w:rFonts w:ascii="宋体" w:hAnsi="宋体" w:eastAsia="宋体" w:cs="宋体"/>
          <w:color w:val="auto"/>
          <w:spacing w:val="-110"/>
          <w:sz w:val="21"/>
          <w:szCs w:val="21"/>
        </w:rPr>
        <w:t xml:space="preserve"> </w:t>
      </w:r>
      <w:r>
        <w:rPr>
          <w:rFonts w:ascii="宋体" w:hAnsi="宋体" w:eastAsia="宋体" w:cs="宋体"/>
          <w:color w:val="auto"/>
          <w:spacing w:val="-1"/>
          <w:sz w:val="21"/>
          <w:szCs w:val="21"/>
        </w:rPr>
        <w:t>份，乙方执</w:t>
      </w:r>
      <w:r>
        <w:rPr>
          <w:rFonts w:ascii="宋体" w:hAnsi="宋体" w:eastAsia="宋体" w:cs="宋体"/>
          <w:color w:val="auto"/>
          <w:spacing w:val="-1"/>
          <w:sz w:val="21"/>
          <w:szCs w:val="21"/>
          <w:u w:val="single" w:color="auto"/>
        </w:rPr>
        <w:t xml:space="preserve">   </w:t>
      </w:r>
      <w:r>
        <w:rPr>
          <w:rFonts w:ascii="宋体" w:hAnsi="宋体" w:eastAsia="宋体" w:cs="宋体"/>
          <w:color w:val="auto"/>
          <w:spacing w:val="-2"/>
          <w:sz w:val="21"/>
          <w:szCs w:val="21"/>
          <w:u w:val="single" w:color="auto"/>
        </w:rPr>
        <w:t xml:space="preserve"> </w:t>
      </w:r>
      <w:r>
        <w:rPr>
          <w:rFonts w:ascii="宋体" w:hAnsi="宋体" w:eastAsia="宋体" w:cs="宋体"/>
          <w:color w:val="auto"/>
          <w:spacing w:val="-109"/>
          <w:sz w:val="21"/>
          <w:szCs w:val="21"/>
        </w:rPr>
        <w:t xml:space="preserve"> </w:t>
      </w:r>
      <w:r>
        <w:rPr>
          <w:rFonts w:ascii="宋体" w:hAnsi="宋体" w:eastAsia="宋体" w:cs="宋体"/>
          <w:color w:val="auto"/>
          <w:spacing w:val="-2"/>
          <w:sz w:val="21"/>
          <w:szCs w:val="21"/>
        </w:rPr>
        <w:t>份；副本一式</w:t>
      </w:r>
      <w:r>
        <w:rPr>
          <w:rFonts w:ascii="宋体" w:hAnsi="宋体" w:eastAsia="宋体" w:cs="宋体"/>
          <w:color w:val="auto"/>
          <w:spacing w:val="39"/>
          <w:sz w:val="21"/>
          <w:szCs w:val="21"/>
          <w:u w:val="single" w:color="auto"/>
        </w:rPr>
        <w:t xml:space="preserve">  </w:t>
      </w:r>
      <w:r>
        <w:rPr>
          <w:rFonts w:ascii="宋体" w:hAnsi="宋体" w:eastAsia="宋体" w:cs="宋体"/>
          <w:color w:val="auto"/>
          <w:spacing w:val="-3"/>
          <w:sz w:val="21"/>
          <w:szCs w:val="21"/>
        </w:rPr>
        <w:t>份，甲方执</w:t>
      </w:r>
      <w:r>
        <w:rPr>
          <w:rFonts w:ascii="宋体" w:hAnsi="宋体" w:eastAsia="宋体" w:cs="宋体"/>
          <w:color w:val="auto"/>
          <w:spacing w:val="-3"/>
          <w:sz w:val="21"/>
          <w:szCs w:val="21"/>
          <w:u w:val="single" w:color="auto"/>
        </w:rPr>
        <w:t xml:space="preserve">    </w:t>
      </w:r>
      <w:r>
        <w:rPr>
          <w:rFonts w:ascii="宋体" w:hAnsi="宋体" w:eastAsia="宋体" w:cs="宋体"/>
          <w:color w:val="auto"/>
          <w:spacing w:val="-93"/>
          <w:sz w:val="21"/>
          <w:szCs w:val="21"/>
        </w:rPr>
        <w:t xml:space="preserve"> </w:t>
      </w:r>
      <w:r>
        <w:rPr>
          <w:rFonts w:ascii="宋体" w:hAnsi="宋体" w:eastAsia="宋体" w:cs="宋体"/>
          <w:color w:val="auto"/>
          <w:spacing w:val="-3"/>
          <w:sz w:val="21"/>
          <w:szCs w:val="21"/>
        </w:rPr>
        <w:t>份，乙方执</w:t>
      </w:r>
      <w:r>
        <w:rPr>
          <w:rFonts w:ascii="宋体" w:hAnsi="宋体" w:eastAsia="宋体" w:cs="宋体"/>
          <w:color w:val="auto"/>
          <w:spacing w:val="-3"/>
          <w:sz w:val="21"/>
          <w:szCs w:val="21"/>
          <w:u w:val="single" w:color="auto"/>
        </w:rPr>
        <w:t xml:space="preserve">    </w:t>
      </w:r>
      <w:r>
        <w:rPr>
          <w:rFonts w:ascii="宋体" w:hAnsi="宋体" w:eastAsia="宋体" w:cs="宋体"/>
          <w:color w:val="auto"/>
          <w:spacing w:val="-110"/>
          <w:sz w:val="21"/>
          <w:szCs w:val="21"/>
        </w:rPr>
        <w:t xml:space="preserve"> </w:t>
      </w:r>
      <w:r>
        <w:rPr>
          <w:rFonts w:ascii="宋体" w:hAnsi="宋体" w:eastAsia="宋体" w:cs="宋体"/>
          <w:color w:val="auto"/>
          <w:spacing w:val="-3"/>
          <w:sz w:val="21"/>
          <w:szCs w:val="21"/>
        </w:rPr>
        <w:t>份。</w:t>
      </w:r>
    </w:p>
    <w:p w14:paraId="6D887634">
      <w:pPr>
        <w:keepNext w:val="0"/>
        <w:keepLines w:val="0"/>
        <w:pageBreakBefore w:val="0"/>
        <w:widowControl w:val="0"/>
        <w:kinsoku/>
        <w:wordWrap/>
        <w:overflowPunct/>
        <w:topLinePunct w:val="0"/>
        <w:autoSpaceDE/>
        <w:autoSpaceDN/>
        <w:bidi w:val="0"/>
        <w:adjustRightInd/>
        <w:snapToGrid/>
        <w:spacing w:line="400" w:lineRule="exact"/>
        <w:textAlignment w:val="auto"/>
        <w:rPr>
          <w:rFonts w:ascii="Arial"/>
          <w:color w:val="auto"/>
          <w:sz w:val="21"/>
          <w:szCs w:val="21"/>
        </w:rPr>
      </w:pPr>
    </w:p>
    <w:p w14:paraId="01419C83">
      <w:pPr>
        <w:keepNext w:val="0"/>
        <w:keepLines w:val="0"/>
        <w:pageBreakBefore w:val="0"/>
        <w:widowControl w:val="0"/>
        <w:kinsoku/>
        <w:wordWrap/>
        <w:overflowPunct/>
        <w:topLinePunct w:val="0"/>
        <w:autoSpaceDE/>
        <w:autoSpaceDN/>
        <w:bidi w:val="0"/>
        <w:adjustRightInd/>
        <w:snapToGrid/>
        <w:spacing w:line="400" w:lineRule="exact"/>
        <w:textAlignment w:val="auto"/>
        <w:rPr>
          <w:rFonts w:ascii="Arial"/>
          <w:color w:val="auto"/>
          <w:sz w:val="21"/>
          <w:szCs w:val="21"/>
        </w:rPr>
      </w:pPr>
    </w:p>
    <w:p w14:paraId="7B416968">
      <w:pPr>
        <w:keepNext w:val="0"/>
        <w:keepLines w:val="0"/>
        <w:pageBreakBefore w:val="0"/>
        <w:widowControl w:val="0"/>
        <w:kinsoku/>
        <w:wordWrap/>
        <w:overflowPunct/>
        <w:topLinePunct w:val="0"/>
        <w:autoSpaceDE/>
        <w:autoSpaceDN/>
        <w:bidi w:val="0"/>
        <w:adjustRightInd/>
        <w:snapToGrid/>
        <w:spacing w:line="400" w:lineRule="exact"/>
        <w:textAlignment w:val="auto"/>
        <w:rPr>
          <w:rFonts w:ascii="Arial"/>
          <w:color w:val="auto"/>
          <w:sz w:val="21"/>
          <w:szCs w:val="21"/>
        </w:rPr>
      </w:pPr>
    </w:p>
    <w:p w14:paraId="22144C78">
      <w:pPr>
        <w:keepNext w:val="0"/>
        <w:keepLines w:val="0"/>
        <w:pageBreakBefore w:val="0"/>
        <w:widowControl w:val="0"/>
        <w:kinsoku/>
        <w:wordWrap/>
        <w:overflowPunct/>
        <w:topLinePunct w:val="0"/>
        <w:autoSpaceDE/>
        <w:autoSpaceDN/>
        <w:bidi w:val="0"/>
        <w:adjustRightInd/>
        <w:snapToGrid/>
        <w:spacing w:line="400" w:lineRule="exact"/>
        <w:ind w:left="1039"/>
        <w:textAlignment w:val="auto"/>
        <w:rPr>
          <w:rFonts w:ascii="宋体" w:hAnsi="宋体" w:eastAsia="宋体" w:cs="宋体"/>
          <w:color w:val="auto"/>
          <w:sz w:val="21"/>
          <w:szCs w:val="21"/>
        </w:rPr>
      </w:pPr>
      <w:r>
        <w:rPr>
          <w:rFonts w:ascii="宋体" w:hAnsi="宋体" w:eastAsia="宋体" w:cs="宋体"/>
          <w:color w:val="auto"/>
          <w:spacing w:val="-20"/>
          <w:sz w:val="21"/>
          <w:szCs w:val="21"/>
        </w:rPr>
        <w:t>甲</w:t>
      </w:r>
      <w:r>
        <w:rPr>
          <w:rFonts w:ascii="宋体" w:hAnsi="宋体" w:eastAsia="宋体" w:cs="宋体"/>
          <w:color w:val="auto"/>
          <w:spacing w:val="3"/>
          <w:sz w:val="21"/>
          <w:szCs w:val="21"/>
        </w:rPr>
        <w:t xml:space="preserve">    </w:t>
      </w:r>
      <w:r>
        <w:rPr>
          <w:rFonts w:ascii="宋体" w:hAnsi="宋体" w:eastAsia="宋体" w:cs="宋体"/>
          <w:color w:val="auto"/>
          <w:spacing w:val="-20"/>
          <w:sz w:val="21"/>
          <w:szCs w:val="21"/>
        </w:rPr>
        <w:t>方：</w:t>
      </w:r>
      <w:r>
        <w:rPr>
          <w:rFonts w:ascii="宋体" w:hAnsi="宋体" w:eastAsia="宋体" w:cs="宋体"/>
          <w:color w:val="auto"/>
          <w:spacing w:val="1"/>
          <w:sz w:val="21"/>
          <w:szCs w:val="21"/>
        </w:rPr>
        <w:t xml:space="preserve">                        </w:t>
      </w:r>
      <w:r>
        <w:rPr>
          <w:rFonts w:ascii="宋体" w:hAnsi="宋体" w:eastAsia="宋体" w:cs="宋体"/>
          <w:color w:val="auto"/>
          <w:sz w:val="21"/>
          <w:szCs w:val="21"/>
        </w:rPr>
        <w:t xml:space="preserve">   </w:t>
      </w:r>
      <w:r>
        <w:rPr>
          <w:rFonts w:ascii="宋体" w:hAnsi="宋体" w:eastAsia="宋体" w:cs="宋体"/>
          <w:color w:val="auto"/>
          <w:spacing w:val="-20"/>
          <w:sz w:val="21"/>
          <w:szCs w:val="21"/>
        </w:rPr>
        <w:t>乙</w:t>
      </w:r>
      <w:r>
        <w:rPr>
          <w:rFonts w:ascii="宋体" w:hAnsi="宋体" w:eastAsia="宋体" w:cs="宋体"/>
          <w:color w:val="auto"/>
          <w:spacing w:val="2"/>
          <w:sz w:val="21"/>
          <w:szCs w:val="21"/>
        </w:rPr>
        <w:t xml:space="preserve">    </w:t>
      </w:r>
      <w:r>
        <w:rPr>
          <w:rFonts w:ascii="宋体" w:hAnsi="宋体" w:eastAsia="宋体" w:cs="宋体"/>
          <w:color w:val="auto"/>
          <w:spacing w:val="-20"/>
          <w:sz w:val="21"/>
          <w:szCs w:val="21"/>
        </w:rPr>
        <w:t>方：</w:t>
      </w:r>
    </w:p>
    <w:p w14:paraId="754D7532">
      <w:pPr>
        <w:keepNext w:val="0"/>
        <w:keepLines w:val="0"/>
        <w:pageBreakBefore w:val="0"/>
        <w:widowControl w:val="0"/>
        <w:kinsoku/>
        <w:wordWrap/>
        <w:overflowPunct/>
        <w:topLinePunct w:val="0"/>
        <w:autoSpaceDE/>
        <w:autoSpaceDN/>
        <w:bidi w:val="0"/>
        <w:adjustRightInd/>
        <w:snapToGrid/>
        <w:spacing w:line="400" w:lineRule="exact"/>
        <w:ind w:left="1010"/>
        <w:textAlignment w:val="auto"/>
        <w:rPr>
          <w:rFonts w:ascii="宋体" w:hAnsi="宋体" w:eastAsia="宋体" w:cs="宋体"/>
          <w:color w:val="auto"/>
          <w:sz w:val="21"/>
          <w:szCs w:val="21"/>
        </w:rPr>
      </w:pPr>
      <w:r>
        <w:rPr>
          <w:rFonts w:ascii="宋体" w:hAnsi="宋体" w:eastAsia="宋体" w:cs="宋体"/>
          <w:color w:val="auto"/>
          <w:spacing w:val="-5"/>
          <w:sz w:val="21"/>
          <w:szCs w:val="21"/>
        </w:rPr>
        <w:t>单位名称（盖章</w:t>
      </w:r>
      <w:r>
        <w:rPr>
          <w:rFonts w:ascii="宋体" w:hAnsi="宋体" w:eastAsia="宋体" w:cs="宋体"/>
          <w:color w:val="auto"/>
          <w:spacing w:val="-1"/>
          <w:sz w:val="21"/>
          <w:szCs w:val="21"/>
        </w:rPr>
        <w:t>）：</w:t>
      </w:r>
      <w:r>
        <w:rPr>
          <w:rFonts w:ascii="宋体" w:hAnsi="宋体" w:eastAsia="宋体" w:cs="宋体"/>
          <w:color w:val="auto"/>
          <w:sz w:val="21"/>
          <w:szCs w:val="21"/>
        </w:rPr>
        <w:t xml:space="preserve">                    </w:t>
      </w:r>
      <w:r>
        <w:rPr>
          <w:rFonts w:ascii="宋体" w:hAnsi="宋体" w:eastAsia="宋体" w:cs="宋体"/>
          <w:color w:val="auto"/>
          <w:spacing w:val="-5"/>
          <w:sz w:val="21"/>
          <w:szCs w:val="21"/>
        </w:rPr>
        <w:t>单位名称（盖章</w:t>
      </w:r>
      <w:r>
        <w:rPr>
          <w:rFonts w:ascii="宋体" w:hAnsi="宋体" w:eastAsia="宋体" w:cs="宋体"/>
          <w:color w:val="auto"/>
          <w:spacing w:val="-1"/>
          <w:sz w:val="21"/>
          <w:szCs w:val="21"/>
        </w:rPr>
        <w:t>）：</w:t>
      </w:r>
    </w:p>
    <w:p w14:paraId="420A5D9F">
      <w:pPr>
        <w:keepNext w:val="0"/>
        <w:keepLines w:val="0"/>
        <w:pageBreakBefore w:val="0"/>
        <w:widowControl w:val="0"/>
        <w:kinsoku/>
        <w:wordWrap/>
        <w:overflowPunct/>
        <w:topLinePunct w:val="0"/>
        <w:autoSpaceDE/>
        <w:autoSpaceDN/>
        <w:bidi w:val="0"/>
        <w:adjustRightInd/>
        <w:snapToGrid/>
        <w:spacing w:line="400" w:lineRule="exact"/>
        <w:ind w:left="1010"/>
        <w:textAlignment w:val="auto"/>
        <w:rPr>
          <w:rFonts w:ascii="宋体" w:hAnsi="宋体" w:eastAsia="宋体" w:cs="宋体"/>
          <w:color w:val="auto"/>
          <w:sz w:val="21"/>
          <w:szCs w:val="21"/>
        </w:rPr>
      </w:pPr>
      <w:r>
        <w:rPr>
          <w:rFonts w:ascii="宋体" w:hAnsi="宋体" w:eastAsia="宋体" w:cs="宋体"/>
          <w:color w:val="auto"/>
          <w:spacing w:val="-7"/>
          <w:sz w:val="21"/>
          <w:szCs w:val="21"/>
        </w:rPr>
        <w:t>单位地址：</w:t>
      </w:r>
      <w:r>
        <w:rPr>
          <w:rFonts w:ascii="宋体" w:hAnsi="宋体" w:eastAsia="宋体" w:cs="宋体"/>
          <w:color w:val="auto"/>
          <w:sz w:val="21"/>
          <w:szCs w:val="21"/>
        </w:rPr>
        <w:t xml:space="preserve">                           </w:t>
      </w:r>
      <w:r>
        <w:rPr>
          <w:rFonts w:ascii="宋体" w:hAnsi="宋体" w:eastAsia="宋体" w:cs="宋体"/>
          <w:color w:val="auto"/>
          <w:spacing w:val="-7"/>
          <w:sz w:val="21"/>
          <w:szCs w:val="21"/>
        </w:rPr>
        <w:t>单位地址：</w:t>
      </w:r>
    </w:p>
    <w:p w14:paraId="20B026C5">
      <w:pPr>
        <w:keepNext w:val="0"/>
        <w:keepLines w:val="0"/>
        <w:pageBreakBefore w:val="0"/>
        <w:widowControl w:val="0"/>
        <w:kinsoku/>
        <w:wordWrap/>
        <w:overflowPunct/>
        <w:topLinePunct w:val="0"/>
        <w:autoSpaceDE/>
        <w:autoSpaceDN/>
        <w:bidi w:val="0"/>
        <w:adjustRightInd/>
        <w:snapToGrid/>
        <w:spacing w:line="400" w:lineRule="exact"/>
        <w:ind w:left="1009"/>
        <w:textAlignment w:val="auto"/>
        <w:rPr>
          <w:rFonts w:ascii="宋体" w:hAnsi="宋体" w:eastAsia="宋体" w:cs="宋体"/>
          <w:color w:val="auto"/>
          <w:sz w:val="21"/>
          <w:szCs w:val="21"/>
        </w:rPr>
      </w:pPr>
      <w:r>
        <w:rPr>
          <w:rFonts w:ascii="宋体" w:hAnsi="宋体" w:eastAsia="宋体" w:cs="宋体"/>
          <w:color w:val="auto"/>
          <w:spacing w:val="-1"/>
          <w:sz w:val="21"/>
          <w:szCs w:val="21"/>
        </w:rPr>
        <w:t>法人代表授权人(签字)：</w:t>
      </w:r>
      <w:r>
        <w:rPr>
          <w:rFonts w:ascii="宋体" w:hAnsi="宋体" w:eastAsia="宋体" w:cs="宋体"/>
          <w:color w:val="auto"/>
          <w:spacing w:val="4"/>
          <w:sz w:val="21"/>
          <w:szCs w:val="21"/>
        </w:rPr>
        <w:t xml:space="preserve">              </w:t>
      </w:r>
      <w:r>
        <w:rPr>
          <w:rFonts w:ascii="宋体" w:hAnsi="宋体" w:eastAsia="宋体" w:cs="宋体"/>
          <w:color w:val="auto"/>
          <w:spacing w:val="-1"/>
          <w:sz w:val="21"/>
          <w:szCs w:val="21"/>
        </w:rPr>
        <w:t>法人代表授权人(签字)：</w:t>
      </w:r>
    </w:p>
    <w:p w14:paraId="04262C3D">
      <w:pPr>
        <w:keepNext w:val="0"/>
        <w:keepLines w:val="0"/>
        <w:pageBreakBefore w:val="0"/>
        <w:widowControl w:val="0"/>
        <w:kinsoku/>
        <w:wordWrap/>
        <w:overflowPunct/>
        <w:topLinePunct w:val="0"/>
        <w:autoSpaceDE/>
        <w:autoSpaceDN/>
        <w:bidi w:val="0"/>
        <w:adjustRightInd/>
        <w:snapToGrid/>
        <w:spacing w:line="400" w:lineRule="exact"/>
        <w:ind w:left="1009"/>
        <w:textAlignment w:val="auto"/>
        <w:rPr>
          <w:rFonts w:ascii="宋体" w:hAnsi="宋体" w:eastAsia="宋体" w:cs="宋体"/>
          <w:color w:val="auto"/>
          <w:sz w:val="21"/>
          <w:szCs w:val="21"/>
        </w:rPr>
      </w:pPr>
      <w:r>
        <w:rPr>
          <w:rFonts w:ascii="宋体" w:hAnsi="宋体" w:eastAsia="宋体" w:cs="宋体"/>
          <w:color w:val="auto"/>
          <w:spacing w:val="-10"/>
          <w:sz w:val="21"/>
          <w:szCs w:val="21"/>
        </w:rPr>
        <w:t>联</w:t>
      </w:r>
      <w:r>
        <w:rPr>
          <w:rFonts w:ascii="宋体" w:hAnsi="宋体" w:eastAsia="宋体" w:cs="宋体"/>
          <w:color w:val="auto"/>
          <w:spacing w:val="21"/>
          <w:sz w:val="21"/>
          <w:szCs w:val="21"/>
        </w:rPr>
        <w:t xml:space="preserve"> </w:t>
      </w:r>
      <w:r>
        <w:rPr>
          <w:rFonts w:ascii="宋体" w:hAnsi="宋体" w:eastAsia="宋体" w:cs="宋体"/>
          <w:color w:val="auto"/>
          <w:spacing w:val="-10"/>
          <w:sz w:val="21"/>
          <w:szCs w:val="21"/>
        </w:rPr>
        <w:t>系 人：</w:t>
      </w:r>
      <w:r>
        <w:rPr>
          <w:rFonts w:ascii="宋体" w:hAnsi="宋体" w:eastAsia="宋体" w:cs="宋体"/>
          <w:color w:val="auto"/>
          <w:sz w:val="21"/>
          <w:szCs w:val="21"/>
        </w:rPr>
        <w:t xml:space="preserve">                           </w:t>
      </w:r>
      <w:r>
        <w:rPr>
          <w:rFonts w:ascii="宋体" w:hAnsi="宋体" w:eastAsia="宋体" w:cs="宋体"/>
          <w:color w:val="auto"/>
          <w:spacing w:val="-10"/>
          <w:sz w:val="21"/>
          <w:szCs w:val="21"/>
        </w:rPr>
        <w:t>联</w:t>
      </w:r>
      <w:r>
        <w:rPr>
          <w:rFonts w:ascii="宋体" w:hAnsi="宋体" w:eastAsia="宋体" w:cs="宋体"/>
          <w:color w:val="auto"/>
          <w:spacing w:val="15"/>
          <w:sz w:val="21"/>
          <w:szCs w:val="21"/>
        </w:rPr>
        <w:t xml:space="preserve"> </w:t>
      </w:r>
      <w:r>
        <w:rPr>
          <w:rFonts w:ascii="宋体" w:hAnsi="宋体" w:eastAsia="宋体" w:cs="宋体"/>
          <w:color w:val="auto"/>
          <w:spacing w:val="-10"/>
          <w:sz w:val="21"/>
          <w:szCs w:val="21"/>
        </w:rPr>
        <w:t>系</w:t>
      </w:r>
      <w:r>
        <w:rPr>
          <w:rFonts w:ascii="宋体" w:hAnsi="宋体" w:eastAsia="宋体" w:cs="宋体"/>
          <w:color w:val="auto"/>
          <w:spacing w:val="11"/>
          <w:sz w:val="21"/>
          <w:szCs w:val="21"/>
        </w:rPr>
        <w:t xml:space="preserve"> </w:t>
      </w:r>
      <w:r>
        <w:rPr>
          <w:rFonts w:ascii="宋体" w:hAnsi="宋体" w:eastAsia="宋体" w:cs="宋体"/>
          <w:color w:val="auto"/>
          <w:spacing w:val="-10"/>
          <w:sz w:val="21"/>
          <w:szCs w:val="21"/>
        </w:rPr>
        <w:t>人：</w:t>
      </w:r>
    </w:p>
    <w:p w14:paraId="79329545">
      <w:pPr>
        <w:keepNext w:val="0"/>
        <w:keepLines w:val="0"/>
        <w:pageBreakBefore w:val="0"/>
        <w:widowControl w:val="0"/>
        <w:kinsoku/>
        <w:wordWrap/>
        <w:overflowPunct/>
        <w:topLinePunct w:val="0"/>
        <w:autoSpaceDE/>
        <w:autoSpaceDN/>
        <w:bidi w:val="0"/>
        <w:adjustRightInd/>
        <w:snapToGrid/>
        <w:spacing w:line="400" w:lineRule="exact"/>
        <w:ind w:left="1036"/>
        <w:textAlignment w:val="auto"/>
        <w:rPr>
          <w:rFonts w:ascii="宋体" w:hAnsi="宋体" w:eastAsia="宋体" w:cs="宋体"/>
          <w:color w:val="auto"/>
          <w:sz w:val="21"/>
          <w:szCs w:val="21"/>
        </w:rPr>
      </w:pPr>
      <w:r>
        <w:rPr>
          <w:rFonts w:ascii="宋体" w:hAnsi="宋体" w:eastAsia="宋体" w:cs="宋体"/>
          <w:color w:val="auto"/>
          <w:spacing w:val="-11"/>
          <w:sz w:val="21"/>
          <w:szCs w:val="21"/>
        </w:rPr>
        <w:t>电</w:t>
      </w:r>
      <w:r>
        <w:rPr>
          <w:rFonts w:ascii="宋体" w:hAnsi="宋体" w:eastAsia="宋体" w:cs="宋体"/>
          <w:color w:val="auto"/>
          <w:spacing w:val="4"/>
          <w:sz w:val="21"/>
          <w:szCs w:val="21"/>
        </w:rPr>
        <w:t xml:space="preserve">    </w:t>
      </w:r>
      <w:r>
        <w:rPr>
          <w:rFonts w:ascii="宋体" w:hAnsi="宋体" w:eastAsia="宋体" w:cs="宋体"/>
          <w:color w:val="auto"/>
          <w:spacing w:val="-11"/>
          <w:sz w:val="21"/>
          <w:szCs w:val="21"/>
        </w:rPr>
        <w:t xml:space="preserve">话：                              </w:t>
      </w:r>
      <w:r>
        <w:rPr>
          <w:rFonts w:hint="eastAsia" w:ascii="宋体" w:hAnsi="宋体" w:eastAsia="宋体" w:cs="宋体"/>
          <w:color w:val="auto"/>
          <w:spacing w:val="-11"/>
          <w:sz w:val="21"/>
          <w:szCs w:val="21"/>
          <w:lang w:val="en-US" w:eastAsia="zh-CN"/>
        </w:rPr>
        <w:t xml:space="preserve">   </w:t>
      </w:r>
      <w:r>
        <w:rPr>
          <w:rFonts w:ascii="宋体" w:hAnsi="宋体" w:eastAsia="宋体" w:cs="宋体"/>
          <w:color w:val="auto"/>
          <w:spacing w:val="-11"/>
          <w:sz w:val="21"/>
          <w:szCs w:val="21"/>
        </w:rPr>
        <w:t>电</w:t>
      </w:r>
      <w:r>
        <w:rPr>
          <w:rFonts w:ascii="宋体" w:hAnsi="宋体" w:eastAsia="宋体" w:cs="宋体"/>
          <w:color w:val="auto"/>
          <w:spacing w:val="2"/>
          <w:sz w:val="21"/>
          <w:szCs w:val="21"/>
        </w:rPr>
        <w:t xml:space="preserve">    </w:t>
      </w:r>
      <w:r>
        <w:rPr>
          <w:rFonts w:ascii="宋体" w:hAnsi="宋体" w:eastAsia="宋体" w:cs="宋体"/>
          <w:color w:val="auto"/>
          <w:spacing w:val="-11"/>
          <w:sz w:val="21"/>
          <w:szCs w:val="21"/>
        </w:rPr>
        <w:t>话：</w:t>
      </w:r>
    </w:p>
    <w:p w14:paraId="048D35B3">
      <w:pPr>
        <w:keepNext w:val="0"/>
        <w:keepLines w:val="0"/>
        <w:pageBreakBefore w:val="0"/>
        <w:widowControl w:val="0"/>
        <w:kinsoku/>
        <w:wordWrap/>
        <w:overflowPunct/>
        <w:topLinePunct w:val="0"/>
        <w:autoSpaceDE/>
        <w:autoSpaceDN/>
        <w:bidi w:val="0"/>
        <w:adjustRightInd/>
        <w:snapToGrid/>
        <w:spacing w:line="400" w:lineRule="exact"/>
        <w:ind w:left="1006"/>
        <w:textAlignment w:val="auto"/>
        <w:rPr>
          <w:rFonts w:ascii="宋体" w:hAnsi="宋体" w:eastAsia="宋体" w:cs="宋体"/>
          <w:color w:val="auto"/>
          <w:sz w:val="21"/>
          <w:szCs w:val="21"/>
        </w:rPr>
      </w:pPr>
      <w:r>
        <w:rPr>
          <w:rFonts w:ascii="宋体" w:hAnsi="宋体" w:eastAsia="宋体" w:cs="宋体"/>
          <w:color w:val="auto"/>
          <w:spacing w:val="-11"/>
          <w:sz w:val="21"/>
          <w:szCs w:val="21"/>
        </w:rPr>
        <w:t>传</w:t>
      </w:r>
      <w:r>
        <w:rPr>
          <w:rFonts w:ascii="宋体" w:hAnsi="宋体" w:eastAsia="宋体" w:cs="宋体"/>
          <w:color w:val="auto"/>
          <w:spacing w:val="4"/>
          <w:sz w:val="21"/>
          <w:szCs w:val="21"/>
        </w:rPr>
        <w:t xml:space="preserve">    </w:t>
      </w:r>
      <w:r>
        <w:rPr>
          <w:rFonts w:ascii="宋体" w:hAnsi="宋体" w:eastAsia="宋体" w:cs="宋体"/>
          <w:color w:val="auto"/>
          <w:spacing w:val="-11"/>
          <w:sz w:val="21"/>
          <w:szCs w:val="21"/>
        </w:rPr>
        <w:t>真：</w:t>
      </w:r>
      <w:r>
        <w:rPr>
          <w:rFonts w:ascii="宋体" w:hAnsi="宋体" w:eastAsia="宋体" w:cs="宋体"/>
          <w:color w:val="auto"/>
          <w:spacing w:val="2"/>
          <w:sz w:val="21"/>
          <w:szCs w:val="21"/>
        </w:rPr>
        <w:t xml:space="preserve">                          </w:t>
      </w:r>
      <w:r>
        <w:rPr>
          <w:rFonts w:ascii="宋体" w:hAnsi="宋体" w:eastAsia="宋体" w:cs="宋体"/>
          <w:color w:val="auto"/>
          <w:spacing w:val="-11"/>
          <w:sz w:val="21"/>
          <w:szCs w:val="21"/>
        </w:rPr>
        <w:t>传</w:t>
      </w:r>
      <w:r>
        <w:rPr>
          <w:rFonts w:ascii="宋体" w:hAnsi="宋体" w:eastAsia="宋体" w:cs="宋体"/>
          <w:color w:val="auto"/>
          <w:spacing w:val="4"/>
          <w:sz w:val="21"/>
          <w:szCs w:val="21"/>
        </w:rPr>
        <w:t xml:space="preserve">    </w:t>
      </w:r>
      <w:r>
        <w:rPr>
          <w:rFonts w:ascii="宋体" w:hAnsi="宋体" w:eastAsia="宋体" w:cs="宋体"/>
          <w:color w:val="auto"/>
          <w:spacing w:val="-11"/>
          <w:sz w:val="21"/>
          <w:szCs w:val="21"/>
        </w:rPr>
        <w:t>真：</w:t>
      </w:r>
    </w:p>
    <w:p w14:paraId="34D78DD6">
      <w:pPr>
        <w:keepNext w:val="0"/>
        <w:keepLines w:val="0"/>
        <w:pageBreakBefore w:val="0"/>
        <w:widowControl w:val="0"/>
        <w:kinsoku/>
        <w:wordWrap/>
        <w:overflowPunct/>
        <w:topLinePunct w:val="0"/>
        <w:autoSpaceDE/>
        <w:autoSpaceDN/>
        <w:bidi w:val="0"/>
        <w:adjustRightInd/>
        <w:snapToGrid/>
        <w:spacing w:line="400" w:lineRule="exact"/>
        <w:ind w:left="1026"/>
        <w:textAlignment w:val="auto"/>
        <w:rPr>
          <w:rFonts w:ascii="宋体" w:hAnsi="宋体" w:eastAsia="宋体" w:cs="宋体"/>
          <w:color w:val="auto"/>
          <w:sz w:val="21"/>
          <w:szCs w:val="21"/>
        </w:rPr>
      </w:pPr>
      <w:r>
        <w:rPr>
          <w:rFonts w:ascii="宋体" w:hAnsi="宋体" w:eastAsia="宋体" w:cs="宋体"/>
          <w:color w:val="auto"/>
          <w:spacing w:val="-10"/>
          <w:sz w:val="21"/>
          <w:szCs w:val="21"/>
        </w:rPr>
        <w:t>邮政编码：</w:t>
      </w:r>
      <w:r>
        <w:rPr>
          <w:rFonts w:ascii="宋体" w:hAnsi="宋体" w:eastAsia="宋体" w:cs="宋体"/>
          <w:color w:val="auto"/>
          <w:spacing w:val="3"/>
          <w:sz w:val="21"/>
          <w:szCs w:val="21"/>
        </w:rPr>
        <w:t xml:space="preserve">                          </w:t>
      </w:r>
      <w:r>
        <w:rPr>
          <w:rFonts w:ascii="宋体" w:hAnsi="宋体" w:eastAsia="宋体" w:cs="宋体"/>
          <w:color w:val="auto"/>
          <w:spacing w:val="-10"/>
          <w:sz w:val="21"/>
          <w:szCs w:val="21"/>
        </w:rPr>
        <w:t>邮政编码：</w:t>
      </w:r>
    </w:p>
    <w:p w14:paraId="75637436">
      <w:pPr>
        <w:keepNext w:val="0"/>
        <w:keepLines w:val="0"/>
        <w:pageBreakBefore w:val="0"/>
        <w:widowControl w:val="0"/>
        <w:kinsoku/>
        <w:wordWrap/>
        <w:overflowPunct/>
        <w:topLinePunct w:val="0"/>
        <w:autoSpaceDE/>
        <w:autoSpaceDN/>
        <w:bidi w:val="0"/>
        <w:adjustRightInd/>
        <w:snapToGrid/>
        <w:spacing w:line="400" w:lineRule="exact"/>
        <w:ind w:left="1009"/>
        <w:textAlignment w:val="auto"/>
        <w:rPr>
          <w:rFonts w:ascii="宋体" w:hAnsi="宋体" w:eastAsia="宋体" w:cs="宋体"/>
          <w:color w:val="auto"/>
          <w:sz w:val="21"/>
          <w:szCs w:val="21"/>
        </w:rPr>
      </w:pPr>
      <w:r>
        <w:rPr>
          <w:rFonts w:ascii="宋体" w:hAnsi="宋体" w:eastAsia="宋体" w:cs="宋体"/>
          <w:color w:val="auto"/>
          <w:spacing w:val="-3"/>
          <w:sz w:val="21"/>
          <w:szCs w:val="21"/>
        </w:rPr>
        <w:t xml:space="preserve">开户银行：                        </w:t>
      </w:r>
      <w:r>
        <w:rPr>
          <w:rFonts w:ascii="宋体" w:hAnsi="宋体" w:eastAsia="宋体" w:cs="宋体"/>
          <w:color w:val="auto"/>
          <w:spacing w:val="-4"/>
          <w:sz w:val="21"/>
          <w:szCs w:val="21"/>
        </w:rPr>
        <w:t xml:space="preserve">   </w:t>
      </w:r>
      <w:r>
        <w:rPr>
          <w:rFonts w:hint="eastAsia" w:ascii="宋体" w:hAnsi="宋体" w:eastAsia="宋体" w:cs="宋体"/>
          <w:color w:val="auto"/>
          <w:spacing w:val="-4"/>
          <w:sz w:val="21"/>
          <w:szCs w:val="21"/>
          <w:lang w:val="en-US" w:eastAsia="zh-CN"/>
        </w:rPr>
        <w:t xml:space="preserve"> </w:t>
      </w:r>
      <w:r>
        <w:rPr>
          <w:rFonts w:ascii="宋体" w:hAnsi="宋体" w:eastAsia="宋体" w:cs="宋体"/>
          <w:color w:val="auto"/>
          <w:spacing w:val="-4"/>
          <w:sz w:val="21"/>
          <w:szCs w:val="21"/>
        </w:rPr>
        <w:t>开户银行：</w:t>
      </w:r>
    </w:p>
    <w:p w14:paraId="31C169A0">
      <w:pPr>
        <w:keepNext w:val="0"/>
        <w:keepLines w:val="0"/>
        <w:pageBreakBefore w:val="0"/>
        <w:widowControl w:val="0"/>
        <w:kinsoku/>
        <w:wordWrap/>
        <w:overflowPunct/>
        <w:topLinePunct w:val="0"/>
        <w:autoSpaceDE/>
        <w:autoSpaceDN/>
        <w:bidi w:val="0"/>
        <w:adjustRightInd/>
        <w:snapToGrid/>
        <w:spacing w:line="400" w:lineRule="exact"/>
        <w:ind w:left="1017"/>
        <w:textAlignment w:val="auto"/>
        <w:rPr>
          <w:rFonts w:ascii="宋体" w:hAnsi="宋体" w:eastAsia="宋体" w:cs="宋体"/>
          <w:color w:val="auto"/>
          <w:sz w:val="21"/>
          <w:szCs w:val="21"/>
        </w:rPr>
      </w:pPr>
      <w:r>
        <w:rPr>
          <w:rFonts w:hint="eastAsia" w:ascii="宋体" w:hAnsi="宋体" w:eastAsia="宋体" w:cs="宋体"/>
          <w:color w:val="auto"/>
          <w:spacing w:val="-7"/>
          <w:sz w:val="21"/>
          <w:szCs w:val="21"/>
          <w:lang w:eastAsia="zh-CN"/>
        </w:rPr>
        <w:t>账</w:t>
      </w:r>
      <w:r>
        <w:rPr>
          <w:rFonts w:ascii="宋体" w:hAnsi="宋体" w:eastAsia="宋体" w:cs="宋体"/>
          <w:color w:val="auto"/>
          <w:spacing w:val="3"/>
          <w:sz w:val="21"/>
          <w:szCs w:val="21"/>
        </w:rPr>
        <w:t xml:space="preserve">   </w:t>
      </w:r>
      <w:r>
        <w:rPr>
          <w:rFonts w:ascii="宋体" w:hAnsi="宋体" w:eastAsia="宋体" w:cs="宋体"/>
          <w:color w:val="auto"/>
          <w:spacing w:val="-7"/>
          <w:sz w:val="21"/>
          <w:szCs w:val="21"/>
        </w:rPr>
        <w:t xml:space="preserve">号：                  </w:t>
      </w:r>
      <w:r>
        <w:rPr>
          <w:rFonts w:ascii="宋体" w:hAnsi="宋体" w:eastAsia="宋体" w:cs="宋体"/>
          <w:color w:val="auto"/>
          <w:spacing w:val="-8"/>
          <w:sz w:val="21"/>
          <w:szCs w:val="21"/>
        </w:rPr>
        <w:t xml:space="preserve">          </w:t>
      </w:r>
      <w:r>
        <w:rPr>
          <w:rFonts w:hint="eastAsia" w:ascii="宋体" w:hAnsi="宋体" w:eastAsia="宋体" w:cs="宋体"/>
          <w:color w:val="auto"/>
          <w:spacing w:val="-8"/>
          <w:sz w:val="21"/>
          <w:szCs w:val="21"/>
          <w:lang w:val="en-US" w:eastAsia="zh-CN"/>
        </w:rPr>
        <w:t xml:space="preserve">    </w:t>
      </w:r>
      <w:r>
        <w:rPr>
          <w:rFonts w:hint="eastAsia" w:ascii="宋体" w:hAnsi="宋体" w:eastAsia="宋体" w:cs="宋体"/>
          <w:color w:val="auto"/>
          <w:spacing w:val="-8"/>
          <w:sz w:val="21"/>
          <w:szCs w:val="21"/>
          <w:lang w:eastAsia="zh-CN"/>
        </w:rPr>
        <w:t>账</w:t>
      </w:r>
      <w:r>
        <w:rPr>
          <w:rFonts w:ascii="宋体" w:hAnsi="宋体" w:eastAsia="宋体" w:cs="宋体"/>
          <w:color w:val="auto"/>
          <w:spacing w:val="4"/>
          <w:sz w:val="21"/>
          <w:szCs w:val="21"/>
        </w:rPr>
        <w:t xml:space="preserve">    </w:t>
      </w:r>
      <w:r>
        <w:rPr>
          <w:rFonts w:ascii="宋体" w:hAnsi="宋体" w:eastAsia="宋体" w:cs="宋体"/>
          <w:color w:val="auto"/>
          <w:spacing w:val="-8"/>
          <w:sz w:val="21"/>
          <w:szCs w:val="21"/>
        </w:rPr>
        <w:t>号：</w:t>
      </w:r>
    </w:p>
    <w:p w14:paraId="078E1324">
      <w:pPr>
        <w:keepNext w:val="0"/>
        <w:keepLines w:val="0"/>
        <w:pageBreakBefore w:val="0"/>
        <w:widowControl w:val="0"/>
        <w:kinsoku/>
        <w:wordWrap/>
        <w:overflowPunct/>
        <w:topLinePunct w:val="0"/>
        <w:autoSpaceDE/>
        <w:autoSpaceDN/>
        <w:bidi w:val="0"/>
        <w:adjustRightInd/>
        <w:snapToGrid/>
        <w:spacing w:line="400" w:lineRule="exact"/>
        <w:ind w:left="1007"/>
        <w:textAlignment w:val="auto"/>
        <w:rPr>
          <w:rFonts w:ascii="宋体" w:hAnsi="宋体" w:eastAsia="宋体" w:cs="宋体"/>
          <w:color w:val="auto"/>
          <w:sz w:val="21"/>
          <w:szCs w:val="21"/>
        </w:rPr>
      </w:pPr>
      <w:r>
        <w:rPr>
          <w:rFonts w:ascii="宋体" w:hAnsi="宋体" w:eastAsia="宋体" w:cs="宋体"/>
          <w:color w:val="auto"/>
          <w:spacing w:val="-12"/>
          <w:sz w:val="21"/>
          <w:szCs w:val="21"/>
        </w:rPr>
        <w:t>税</w:t>
      </w:r>
      <w:r>
        <w:rPr>
          <w:rFonts w:ascii="宋体" w:hAnsi="宋体" w:eastAsia="宋体" w:cs="宋体"/>
          <w:color w:val="auto"/>
          <w:spacing w:val="4"/>
          <w:sz w:val="21"/>
          <w:szCs w:val="21"/>
        </w:rPr>
        <w:t xml:space="preserve">    </w:t>
      </w:r>
      <w:r>
        <w:rPr>
          <w:rFonts w:ascii="宋体" w:hAnsi="宋体" w:eastAsia="宋体" w:cs="宋体"/>
          <w:color w:val="auto"/>
          <w:spacing w:val="-12"/>
          <w:sz w:val="21"/>
          <w:szCs w:val="21"/>
        </w:rPr>
        <w:t>号：</w:t>
      </w:r>
      <w:r>
        <w:rPr>
          <w:rFonts w:ascii="宋体" w:hAnsi="宋体" w:eastAsia="宋体" w:cs="宋体"/>
          <w:color w:val="auto"/>
          <w:spacing w:val="2"/>
          <w:sz w:val="21"/>
          <w:szCs w:val="21"/>
        </w:rPr>
        <w:t xml:space="preserve">                          </w:t>
      </w:r>
      <w:r>
        <w:rPr>
          <w:rFonts w:ascii="宋体" w:hAnsi="宋体" w:eastAsia="宋体" w:cs="宋体"/>
          <w:color w:val="auto"/>
          <w:spacing w:val="-12"/>
          <w:sz w:val="21"/>
          <w:szCs w:val="21"/>
        </w:rPr>
        <w:t>税</w:t>
      </w:r>
      <w:r>
        <w:rPr>
          <w:rFonts w:ascii="宋体" w:hAnsi="宋体" w:eastAsia="宋体" w:cs="宋体"/>
          <w:color w:val="auto"/>
          <w:spacing w:val="5"/>
          <w:sz w:val="21"/>
          <w:szCs w:val="21"/>
        </w:rPr>
        <w:t xml:space="preserve">    </w:t>
      </w:r>
      <w:r>
        <w:rPr>
          <w:rFonts w:ascii="宋体" w:hAnsi="宋体" w:eastAsia="宋体" w:cs="宋体"/>
          <w:color w:val="auto"/>
          <w:spacing w:val="-12"/>
          <w:sz w:val="21"/>
          <w:szCs w:val="21"/>
        </w:rPr>
        <w:t>号：</w:t>
      </w:r>
    </w:p>
    <w:p w14:paraId="447EB19E">
      <w:pPr>
        <w:keepNext w:val="0"/>
        <w:keepLines w:val="0"/>
        <w:pageBreakBefore w:val="0"/>
        <w:widowControl w:val="0"/>
        <w:kinsoku/>
        <w:wordWrap/>
        <w:overflowPunct/>
        <w:topLinePunct w:val="0"/>
        <w:autoSpaceDE/>
        <w:autoSpaceDN/>
        <w:bidi w:val="0"/>
        <w:adjustRightInd/>
        <w:snapToGrid/>
        <w:spacing w:line="400" w:lineRule="exact"/>
        <w:textAlignment w:val="auto"/>
        <w:rPr>
          <w:color w:val="auto"/>
          <w:sz w:val="21"/>
          <w:szCs w:val="21"/>
        </w:rPr>
      </w:pPr>
    </w:p>
    <w:p w14:paraId="18E7D771">
      <w:pPr>
        <w:keepNext w:val="0"/>
        <w:keepLines w:val="0"/>
        <w:pageBreakBefore w:val="0"/>
        <w:widowControl w:val="0"/>
        <w:kinsoku/>
        <w:wordWrap/>
        <w:overflowPunct/>
        <w:topLinePunct w:val="0"/>
        <w:autoSpaceDE/>
        <w:autoSpaceDN/>
        <w:bidi w:val="0"/>
        <w:adjustRightInd/>
        <w:snapToGrid/>
        <w:spacing w:line="400" w:lineRule="exact"/>
        <w:textAlignment w:val="auto"/>
        <w:rPr>
          <w:color w:val="auto"/>
          <w:sz w:val="21"/>
          <w:szCs w:val="21"/>
        </w:rPr>
      </w:pPr>
    </w:p>
    <w:p w14:paraId="0A5EB8E9">
      <w:pPr>
        <w:spacing w:line="240" w:lineRule="auto"/>
        <w:rPr>
          <w:color w:val="auto"/>
          <w:sz w:val="21"/>
          <w:szCs w:val="21"/>
        </w:rPr>
      </w:pPr>
    </w:p>
    <w:p w14:paraId="0E2F1407">
      <w:pPr>
        <w:spacing w:line="240" w:lineRule="auto"/>
        <w:rPr>
          <w:color w:val="auto"/>
          <w:sz w:val="21"/>
          <w:szCs w:val="21"/>
        </w:rPr>
      </w:pPr>
    </w:p>
    <w:p w14:paraId="4EE30A18">
      <w:pPr>
        <w:spacing w:line="240" w:lineRule="auto"/>
        <w:rPr>
          <w:color w:val="auto"/>
        </w:rPr>
      </w:pPr>
    </w:p>
    <w:p w14:paraId="1C6EC92F">
      <w:pPr>
        <w:spacing w:line="240" w:lineRule="auto"/>
        <w:rPr>
          <w:color w:val="auto"/>
        </w:rPr>
      </w:pPr>
    </w:p>
    <w:p w14:paraId="20698372">
      <w:pPr>
        <w:pStyle w:val="28"/>
        <w:spacing w:line="440" w:lineRule="exact"/>
        <w:ind w:firstLine="420" w:firstLineChars="200"/>
        <w:rPr>
          <w:rFonts w:hint="eastAsia" w:asciiTheme="minorEastAsia" w:hAnsiTheme="minorEastAsia" w:eastAsiaTheme="minorEastAsia" w:cstheme="minorEastAsia"/>
          <w:color w:val="auto"/>
          <w:sz w:val="21"/>
          <w:szCs w:val="21"/>
        </w:rPr>
      </w:pPr>
    </w:p>
    <w:p w14:paraId="1B2E7DDB">
      <w:pPr>
        <w:pStyle w:val="2"/>
        <w:bidi w:val="0"/>
        <w:rPr>
          <w:rFonts w:hint="eastAsia"/>
          <w:color w:val="auto"/>
        </w:rPr>
      </w:pPr>
      <w:bookmarkStart w:id="57" w:name="_Toc28320"/>
      <w:bookmarkStart w:id="58" w:name="_Toc23823"/>
      <w:r>
        <w:rPr>
          <w:rFonts w:hint="eastAsia"/>
          <w:color w:val="auto"/>
        </w:rPr>
        <w:br w:type="page"/>
      </w:r>
      <w:bookmarkStart w:id="59" w:name="_Toc28985"/>
      <w:r>
        <w:rPr>
          <w:rFonts w:hint="eastAsia"/>
          <w:color w:val="auto"/>
        </w:rPr>
        <w:t>第六章  投标文件格式</w:t>
      </w:r>
      <w:bookmarkEnd w:id="56"/>
      <w:bookmarkEnd w:id="57"/>
      <w:bookmarkEnd w:id="58"/>
      <w:bookmarkEnd w:id="59"/>
    </w:p>
    <w:p w14:paraId="52F8DB39">
      <w:pPr>
        <w:spacing w:line="540" w:lineRule="exact"/>
        <w:rPr>
          <w:rFonts w:hint="eastAsia" w:asciiTheme="minorEastAsia" w:hAnsiTheme="minorEastAsia" w:eastAsiaTheme="minorEastAsia" w:cstheme="minorEastAsia"/>
          <w:color w:val="auto"/>
          <w:sz w:val="24"/>
          <w:szCs w:val="24"/>
        </w:rPr>
      </w:pPr>
    </w:p>
    <w:p w14:paraId="7E7C8C75">
      <w:pPr>
        <w:spacing w:line="540" w:lineRule="exact"/>
        <w:rPr>
          <w:rFonts w:hint="eastAsia" w:asciiTheme="minorEastAsia" w:hAnsiTheme="minorEastAsia" w:eastAsiaTheme="minorEastAsia" w:cstheme="minorEastAsia"/>
          <w:color w:val="auto"/>
          <w:sz w:val="24"/>
          <w:szCs w:val="24"/>
        </w:rPr>
      </w:pPr>
    </w:p>
    <w:p w14:paraId="69FE4761">
      <w:pPr>
        <w:spacing w:line="540" w:lineRule="exact"/>
        <w:rPr>
          <w:rFonts w:hint="eastAsia" w:asciiTheme="minorEastAsia" w:hAnsiTheme="minorEastAsia" w:eastAsiaTheme="minorEastAsia" w:cstheme="minorEastAsia"/>
          <w:color w:val="auto"/>
          <w:sz w:val="24"/>
          <w:szCs w:val="24"/>
        </w:rPr>
      </w:pPr>
    </w:p>
    <w:p w14:paraId="74D5E917">
      <w:pPr>
        <w:spacing w:line="540" w:lineRule="exact"/>
        <w:jc w:val="center"/>
        <w:rPr>
          <w:rFonts w:hint="eastAsia" w:asciiTheme="minorEastAsia" w:hAnsiTheme="minorEastAsia" w:eastAsiaTheme="minorEastAsia" w:cstheme="minorEastAsia"/>
          <w:color w:val="auto"/>
          <w:sz w:val="24"/>
          <w:szCs w:val="24"/>
        </w:rPr>
      </w:pPr>
    </w:p>
    <w:p w14:paraId="3D003927">
      <w:pPr>
        <w:spacing w:line="540" w:lineRule="exact"/>
        <w:jc w:val="center"/>
        <w:rPr>
          <w:rFonts w:hint="eastAsia" w:asciiTheme="minorEastAsia" w:hAnsiTheme="minorEastAsia" w:eastAsiaTheme="minorEastAsia" w:cstheme="minorEastAsia"/>
          <w:color w:val="auto"/>
          <w:sz w:val="36"/>
          <w:szCs w:val="36"/>
        </w:rPr>
      </w:pPr>
      <w:r>
        <w:rPr>
          <w:rFonts w:hint="eastAsia" w:asciiTheme="minorEastAsia" w:hAnsiTheme="minorEastAsia" w:eastAsiaTheme="minorEastAsia" w:cstheme="minorEastAsia"/>
          <w:color w:val="auto"/>
          <w:sz w:val="36"/>
          <w:szCs w:val="36"/>
        </w:rPr>
        <w:t>投 标 文 件</w:t>
      </w:r>
    </w:p>
    <w:p w14:paraId="7BB4E180">
      <w:pPr>
        <w:spacing w:line="54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（正/副本）</w:t>
      </w:r>
    </w:p>
    <w:p w14:paraId="039BF7EA">
      <w:pPr>
        <w:spacing w:line="540" w:lineRule="exact"/>
        <w:jc w:val="center"/>
        <w:rPr>
          <w:rFonts w:hint="eastAsia" w:asciiTheme="minorEastAsia" w:hAnsiTheme="minorEastAsia" w:eastAsiaTheme="minorEastAsia" w:cstheme="minorEastAsia"/>
          <w:color w:val="auto"/>
          <w:sz w:val="24"/>
          <w:szCs w:val="24"/>
        </w:rPr>
      </w:pPr>
    </w:p>
    <w:p w14:paraId="125E4FA2">
      <w:pPr>
        <w:spacing w:line="540" w:lineRule="exact"/>
        <w:jc w:val="center"/>
        <w:rPr>
          <w:rFonts w:hint="eastAsia" w:asciiTheme="minorEastAsia" w:hAnsiTheme="minorEastAsia" w:eastAsiaTheme="minorEastAsia" w:cstheme="minorEastAsia"/>
          <w:color w:val="auto"/>
          <w:sz w:val="24"/>
          <w:szCs w:val="24"/>
        </w:rPr>
      </w:pPr>
    </w:p>
    <w:p w14:paraId="4951BF87">
      <w:pPr>
        <w:spacing w:line="540" w:lineRule="exact"/>
        <w:jc w:val="center"/>
        <w:rPr>
          <w:rFonts w:hint="eastAsia" w:asciiTheme="minorEastAsia" w:hAnsiTheme="minorEastAsia" w:eastAsiaTheme="minorEastAsia" w:cstheme="minorEastAsia"/>
          <w:color w:val="auto"/>
          <w:sz w:val="24"/>
          <w:szCs w:val="24"/>
        </w:rPr>
      </w:pPr>
    </w:p>
    <w:p w14:paraId="2FC783C7">
      <w:pPr>
        <w:spacing w:line="540" w:lineRule="exact"/>
        <w:jc w:val="center"/>
        <w:rPr>
          <w:rFonts w:hint="eastAsia" w:asciiTheme="minorEastAsia" w:hAnsiTheme="minorEastAsia" w:eastAsiaTheme="minorEastAsia" w:cstheme="minorEastAsia"/>
          <w:color w:val="auto"/>
          <w:sz w:val="24"/>
          <w:szCs w:val="24"/>
        </w:rPr>
      </w:pPr>
    </w:p>
    <w:p w14:paraId="79588D6C">
      <w:pPr>
        <w:spacing w:line="540" w:lineRule="exact"/>
        <w:rPr>
          <w:rFonts w:hint="eastAsia" w:asciiTheme="minorEastAsia" w:hAnsiTheme="minorEastAsia" w:eastAsiaTheme="minorEastAsia" w:cstheme="minorEastAsia"/>
          <w:color w:val="auto"/>
          <w:sz w:val="24"/>
          <w:szCs w:val="24"/>
        </w:rPr>
      </w:pPr>
    </w:p>
    <w:p w14:paraId="1D440D00">
      <w:pPr>
        <w:spacing w:line="540" w:lineRule="exact"/>
        <w:rPr>
          <w:rFonts w:hint="eastAsia" w:asciiTheme="minorEastAsia" w:hAnsiTheme="minorEastAsia" w:eastAsiaTheme="minorEastAsia" w:cstheme="minorEastAsia"/>
          <w:color w:val="auto"/>
          <w:sz w:val="24"/>
          <w:szCs w:val="24"/>
        </w:rPr>
      </w:pPr>
    </w:p>
    <w:p w14:paraId="1421EDC5">
      <w:pPr>
        <w:spacing w:line="540" w:lineRule="exact"/>
        <w:rPr>
          <w:rFonts w:hint="eastAsia" w:asciiTheme="minorEastAsia" w:hAnsiTheme="minorEastAsia" w:eastAsiaTheme="minorEastAsia" w:cstheme="minorEastAsia"/>
          <w:color w:val="auto"/>
          <w:sz w:val="24"/>
          <w:szCs w:val="24"/>
        </w:rPr>
      </w:pPr>
    </w:p>
    <w:p w14:paraId="2A11EB94">
      <w:pPr>
        <w:spacing w:line="540" w:lineRule="exact"/>
        <w:ind w:firstLine="1058" w:firstLineChars="441"/>
        <w:rPr>
          <w:rFonts w:hint="eastAsia" w:asciiTheme="minorEastAsia" w:hAnsiTheme="minorEastAsia" w:eastAsiaTheme="minorEastAsia" w:cstheme="minorEastAsia"/>
          <w:color w:val="auto"/>
          <w:sz w:val="24"/>
          <w:szCs w:val="24"/>
          <w:u w:val="single"/>
        </w:rPr>
      </w:pPr>
      <w:r>
        <w:rPr>
          <w:rFonts w:hint="eastAsia" w:asciiTheme="minorEastAsia" w:hAnsiTheme="minorEastAsia" w:eastAsiaTheme="minorEastAsia" w:cstheme="minorEastAsia"/>
          <w:color w:val="auto"/>
          <w:sz w:val="24"/>
          <w:szCs w:val="24"/>
        </w:rPr>
        <w:t>项目名称：</w:t>
      </w:r>
    </w:p>
    <w:p w14:paraId="08852374">
      <w:pPr>
        <w:spacing w:line="540" w:lineRule="exact"/>
        <w:ind w:firstLine="1058" w:firstLineChars="441"/>
        <w:rPr>
          <w:rFonts w:hint="eastAsia" w:asciiTheme="minorEastAsia" w:hAnsiTheme="minorEastAsia" w:eastAsiaTheme="minorEastAsia" w:cstheme="minorEastAsia"/>
          <w:color w:val="auto"/>
          <w:sz w:val="24"/>
          <w:szCs w:val="24"/>
          <w:u w:val="single"/>
        </w:rPr>
      </w:pPr>
      <w:r>
        <w:rPr>
          <w:rFonts w:hint="eastAsia" w:asciiTheme="minorEastAsia" w:hAnsiTheme="minorEastAsia" w:eastAsiaTheme="minorEastAsia" w:cstheme="minorEastAsia"/>
          <w:color w:val="auto"/>
          <w:sz w:val="24"/>
          <w:szCs w:val="24"/>
        </w:rPr>
        <w:t>项目编号：</w:t>
      </w:r>
    </w:p>
    <w:p w14:paraId="68704913">
      <w:pPr>
        <w:spacing w:line="540" w:lineRule="exact"/>
        <w:ind w:firstLine="1058" w:firstLineChars="441"/>
        <w:rPr>
          <w:rFonts w:hint="eastAsia" w:asciiTheme="minorEastAsia" w:hAnsiTheme="minorEastAsia" w:eastAsiaTheme="minorEastAsia" w:cstheme="minorEastAsia"/>
          <w:color w:val="auto"/>
          <w:sz w:val="24"/>
          <w:szCs w:val="24"/>
          <w:u w:val="single"/>
        </w:rPr>
      </w:pPr>
      <w:r>
        <w:rPr>
          <w:rFonts w:hint="eastAsia" w:asciiTheme="minorEastAsia" w:hAnsiTheme="minorEastAsia" w:eastAsiaTheme="minorEastAsia" w:cstheme="minorEastAsia"/>
          <w:color w:val="auto"/>
          <w:sz w:val="24"/>
          <w:szCs w:val="24"/>
        </w:rPr>
        <w:t>投 标 人：（盖章）</w:t>
      </w:r>
    </w:p>
    <w:p w14:paraId="13D01A41">
      <w:pPr>
        <w:spacing w:line="540" w:lineRule="exact"/>
        <w:ind w:firstLine="1058" w:firstLineChars="441"/>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法定代表人或其委托代理人：（签字或盖章）</w:t>
      </w:r>
    </w:p>
    <w:p w14:paraId="15C21C20">
      <w:pPr>
        <w:spacing w:line="540" w:lineRule="exact"/>
        <w:ind w:firstLine="1058" w:firstLineChars="441"/>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投标人地址：</w:t>
      </w:r>
    </w:p>
    <w:p w14:paraId="74B242D9">
      <w:pPr>
        <w:spacing w:line="540" w:lineRule="exact"/>
        <w:ind w:firstLine="1058" w:firstLineChars="441"/>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日      期：年 月 日</w:t>
      </w:r>
    </w:p>
    <w:p w14:paraId="44F2B398">
      <w:pPr>
        <w:spacing w:line="540" w:lineRule="exact"/>
        <w:rPr>
          <w:rFonts w:hint="eastAsia" w:asciiTheme="minorEastAsia" w:hAnsiTheme="minorEastAsia" w:eastAsiaTheme="minorEastAsia" w:cstheme="minorEastAsia"/>
          <w:color w:val="auto"/>
          <w:sz w:val="24"/>
          <w:szCs w:val="24"/>
        </w:rPr>
      </w:pPr>
    </w:p>
    <w:p w14:paraId="04CF1841">
      <w:pPr>
        <w:spacing w:line="480" w:lineRule="exact"/>
        <w:jc w:val="center"/>
        <w:rPr>
          <w:rFonts w:hint="eastAsia" w:asciiTheme="minorEastAsia" w:hAnsiTheme="minorEastAsia" w:eastAsiaTheme="minorEastAsia" w:cstheme="minorEastAsia"/>
          <w:color w:val="auto"/>
          <w:sz w:val="28"/>
          <w:szCs w:val="28"/>
        </w:rPr>
      </w:pPr>
    </w:p>
    <w:p w14:paraId="28E56AAC">
      <w:pPr>
        <w:spacing w:line="480" w:lineRule="exact"/>
        <w:rPr>
          <w:rFonts w:hint="eastAsia" w:asciiTheme="minorEastAsia" w:hAnsiTheme="minorEastAsia" w:eastAsiaTheme="minorEastAsia" w:cstheme="minorEastAsia"/>
          <w:color w:val="auto"/>
          <w:sz w:val="24"/>
          <w:szCs w:val="24"/>
        </w:rPr>
      </w:pPr>
    </w:p>
    <w:p w14:paraId="6C6BDBD7">
      <w:pPr>
        <w:spacing w:line="480" w:lineRule="exact"/>
        <w:rPr>
          <w:rFonts w:hint="eastAsia" w:asciiTheme="minorEastAsia" w:hAnsiTheme="minorEastAsia" w:eastAsiaTheme="minorEastAsia" w:cstheme="minorEastAsia"/>
          <w:color w:val="auto"/>
          <w:sz w:val="24"/>
          <w:szCs w:val="24"/>
        </w:rPr>
      </w:pPr>
    </w:p>
    <w:p w14:paraId="4C410082">
      <w:pPr>
        <w:spacing w:line="480" w:lineRule="exact"/>
        <w:rPr>
          <w:rFonts w:hint="eastAsia" w:asciiTheme="minorEastAsia" w:hAnsiTheme="minorEastAsia" w:eastAsiaTheme="minorEastAsia" w:cstheme="minorEastAsia"/>
          <w:color w:val="auto"/>
          <w:sz w:val="24"/>
          <w:szCs w:val="24"/>
        </w:rPr>
      </w:pPr>
    </w:p>
    <w:p w14:paraId="35D706F9">
      <w:pPr>
        <w:spacing w:line="480" w:lineRule="exact"/>
        <w:jc w:val="center"/>
        <w:rPr>
          <w:rFonts w:hint="eastAsia" w:asciiTheme="minorEastAsia" w:hAnsiTheme="minorEastAsia" w:eastAsiaTheme="minorEastAsia" w:cstheme="minorEastAsia"/>
          <w:color w:val="auto"/>
          <w:sz w:val="24"/>
          <w:szCs w:val="24"/>
        </w:rPr>
      </w:pPr>
    </w:p>
    <w:p w14:paraId="16219F3E">
      <w:pPr>
        <w:pStyle w:val="3"/>
        <w:bidi w:val="0"/>
        <w:rPr>
          <w:rFonts w:hint="eastAsia"/>
          <w:color w:val="auto"/>
        </w:rPr>
      </w:pPr>
      <w:r>
        <w:rPr>
          <w:rFonts w:hint="eastAsia"/>
          <w:color w:val="auto"/>
        </w:rPr>
        <w:t>投标文件目录</w:t>
      </w:r>
    </w:p>
    <w:p w14:paraId="19F20321">
      <w:pPr>
        <w:spacing w:line="480" w:lineRule="exact"/>
        <w:jc w:val="center"/>
        <w:rPr>
          <w:rFonts w:hint="eastAsia" w:asciiTheme="majorEastAsia" w:hAnsiTheme="majorEastAsia" w:eastAsiaTheme="majorEastAsia" w:cstheme="majorEastAsia"/>
          <w:color w:val="auto"/>
          <w:sz w:val="21"/>
          <w:szCs w:val="21"/>
        </w:rPr>
      </w:pPr>
    </w:p>
    <w:p w14:paraId="75902185">
      <w:pPr>
        <w:spacing w:line="480" w:lineRule="exact"/>
        <w:ind w:firstLine="420" w:firstLineChars="200"/>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根据招标文件第六章提供的格式编写目录，目录须标注页码，同时为方便评审，须在目录前填写投标文件导读表，目录和导读表便于评委在评审时有效查找投标文件的响应情况，请各投标人认真编写填报。</w:t>
      </w:r>
    </w:p>
    <w:p w14:paraId="15A49521">
      <w:pPr>
        <w:pStyle w:val="28"/>
        <w:rPr>
          <w:rFonts w:hint="eastAsia" w:asciiTheme="majorEastAsia" w:hAnsiTheme="majorEastAsia" w:eastAsiaTheme="majorEastAsia" w:cstheme="majorEastAsia"/>
          <w:bCs/>
          <w:iCs/>
          <w:color w:val="auto"/>
          <w:sz w:val="21"/>
          <w:szCs w:val="21"/>
        </w:rPr>
      </w:pPr>
    </w:p>
    <w:p w14:paraId="1AD980A4">
      <w:pPr>
        <w:pStyle w:val="28"/>
        <w:rPr>
          <w:rFonts w:hint="eastAsia" w:asciiTheme="majorEastAsia" w:hAnsiTheme="majorEastAsia" w:eastAsiaTheme="majorEastAsia" w:cstheme="majorEastAsia"/>
          <w:bCs/>
          <w:iCs/>
          <w:color w:val="auto"/>
          <w:sz w:val="21"/>
          <w:szCs w:val="21"/>
        </w:rPr>
      </w:pPr>
    </w:p>
    <w:p w14:paraId="2258321E">
      <w:pPr>
        <w:pStyle w:val="28"/>
        <w:rPr>
          <w:rFonts w:hint="eastAsia" w:asciiTheme="majorEastAsia" w:hAnsiTheme="majorEastAsia" w:eastAsiaTheme="majorEastAsia" w:cstheme="majorEastAsia"/>
          <w:bCs/>
          <w:iCs/>
          <w:color w:val="auto"/>
          <w:sz w:val="21"/>
          <w:szCs w:val="21"/>
        </w:rPr>
      </w:pPr>
    </w:p>
    <w:p w14:paraId="35146448">
      <w:pPr>
        <w:pStyle w:val="28"/>
        <w:rPr>
          <w:rFonts w:hint="eastAsia" w:asciiTheme="majorEastAsia" w:hAnsiTheme="majorEastAsia" w:eastAsiaTheme="majorEastAsia" w:cstheme="majorEastAsia"/>
          <w:bCs/>
          <w:iCs/>
          <w:color w:val="auto"/>
          <w:sz w:val="21"/>
          <w:szCs w:val="21"/>
        </w:rPr>
      </w:pPr>
    </w:p>
    <w:p w14:paraId="67034F5C">
      <w:pPr>
        <w:pStyle w:val="28"/>
        <w:rPr>
          <w:rFonts w:hint="eastAsia" w:asciiTheme="majorEastAsia" w:hAnsiTheme="majorEastAsia" w:eastAsiaTheme="majorEastAsia" w:cstheme="majorEastAsia"/>
          <w:bCs/>
          <w:iCs/>
          <w:color w:val="auto"/>
          <w:sz w:val="21"/>
          <w:szCs w:val="21"/>
        </w:rPr>
      </w:pPr>
    </w:p>
    <w:p w14:paraId="1F02A845">
      <w:pPr>
        <w:pStyle w:val="28"/>
        <w:rPr>
          <w:rFonts w:hint="eastAsia" w:asciiTheme="majorEastAsia" w:hAnsiTheme="majorEastAsia" w:eastAsiaTheme="majorEastAsia" w:cstheme="majorEastAsia"/>
          <w:bCs/>
          <w:iCs/>
          <w:color w:val="auto"/>
          <w:sz w:val="21"/>
          <w:szCs w:val="21"/>
        </w:rPr>
      </w:pPr>
    </w:p>
    <w:p w14:paraId="52781F50">
      <w:pPr>
        <w:pStyle w:val="28"/>
        <w:rPr>
          <w:rFonts w:hint="eastAsia" w:asciiTheme="majorEastAsia" w:hAnsiTheme="majorEastAsia" w:eastAsiaTheme="majorEastAsia" w:cstheme="majorEastAsia"/>
          <w:bCs/>
          <w:iCs/>
          <w:color w:val="auto"/>
          <w:sz w:val="21"/>
          <w:szCs w:val="21"/>
        </w:rPr>
      </w:pPr>
    </w:p>
    <w:p w14:paraId="6AC7B7E4">
      <w:pPr>
        <w:pStyle w:val="28"/>
        <w:rPr>
          <w:rFonts w:hint="eastAsia" w:asciiTheme="majorEastAsia" w:hAnsiTheme="majorEastAsia" w:eastAsiaTheme="majorEastAsia" w:cstheme="majorEastAsia"/>
          <w:bCs/>
          <w:iCs/>
          <w:color w:val="auto"/>
          <w:sz w:val="21"/>
          <w:szCs w:val="21"/>
        </w:rPr>
      </w:pPr>
    </w:p>
    <w:p w14:paraId="353CB5E7">
      <w:pPr>
        <w:pStyle w:val="28"/>
        <w:rPr>
          <w:rFonts w:hint="eastAsia" w:asciiTheme="majorEastAsia" w:hAnsiTheme="majorEastAsia" w:eastAsiaTheme="majorEastAsia" w:cstheme="majorEastAsia"/>
          <w:bCs/>
          <w:iCs/>
          <w:color w:val="auto"/>
          <w:sz w:val="21"/>
          <w:szCs w:val="21"/>
        </w:rPr>
      </w:pPr>
    </w:p>
    <w:p w14:paraId="3D075E7C">
      <w:pPr>
        <w:pStyle w:val="28"/>
        <w:rPr>
          <w:rFonts w:hint="eastAsia" w:asciiTheme="majorEastAsia" w:hAnsiTheme="majorEastAsia" w:eastAsiaTheme="majorEastAsia" w:cstheme="majorEastAsia"/>
          <w:bCs/>
          <w:iCs/>
          <w:color w:val="auto"/>
          <w:sz w:val="21"/>
          <w:szCs w:val="21"/>
        </w:rPr>
      </w:pPr>
    </w:p>
    <w:p w14:paraId="19AE8FE7">
      <w:pPr>
        <w:pStyle w:val="28"/>
        <w:rPr>
          <w:rFonts w:hint="eastAsia" w:asciiTheme="majorEastAsia" w:hAnsiTheme="majorEastAsia" w:eastAsiaTheme="majorEastAsia" w:cstheme="majorEastAsia"/>
          <w:bCs/>
          <w:iCs/>
          <w:color w:val="auto"/>
          <w:sz w:val="21"/>
          <w:szCs w:val="21"/>
        </w:rPr>
      </w:pPr>
    </w:p>
    <w:p w14:paraId="583C22FF">
      <w:pPr>
        <w:pStyle w:val="28"/>
        <w:rPr>
          <w:rFonts w:hint="eastAsia" w:asciiTheme="majorEastAsia" w:hAnsiTheme="majorEastAsia" w:eastAsiaTheme="majorEastAsia" w:cstheme="majorEastAsia"/>
          <w:bCs/>
          <w:iCs/>
          <w:color w:val="auto"/>
          <w:sz w:val="21"/>
          <w:szCs w:val="21"/>
        </w:rPr>
      </w:pPr>
    </w:p>
    <w:p w14:paraId="250553AB">
      <w:pPr>
        <w:pStyle w:val="28"/>
        <w:rPr>
          <w:rFonts w:hint="eastAsia" w:asciiTheme="majorEastAsia" w:hAnsiTheme="majorEastAsia" w:eastAsiaTheme="majorEastAsia" w:cstheme="majorEastAsia"/>
          <w:bCs/>
          <w:iCs/>
          <w:color w:val="auto"/>
          <w:sz w:val="21"/>
          <w:szCs w:val="21"/>
        </w:rPr>
      </w:pPr>
    </w:p>
    <w:p w14:paraId="67DE0DEA">
      <w:pPr>
        <w:pStyle w:val="28"/>
        <w:rPr>
          <w:rFonts w:hint="eastAsia" w:asciiTheme="majorEastAsia" w:hAnsiTheme="majorEastAsia" w:eastAsiaTheme="majorEastAsia" w:cstheme="majorEastAsia"/>
          <w:bCs/>
          <w:iCs/>
          <w:color w:val="auto"/>
          <w:sz w:val="21"/>
          <w:szCs w:val="21"/>
        </w:rPr>
      </w:pPr>
    </w:p>
    <w:p w14:paraId="17078BCA">
      <w:pPr>
        <w:pStyle w:val="28"/>
        <w:rPr>
          <w:rFonts w:hint="eastAsia" w:asciiTheme="majorEastAsia" w:hAnsiTheme="majorEastAsia" w:eastAsiaTheme="majorEastAsia" w:cstheme="majorEastAsia"/>
          <w:bCs/>
          <w:iCs/>
          <w:color w:val="auto"/>
          <w:sz w:val="21"/>
          <w:szCs w:val="21"/>
        </w:rPr>
      </w:pPr>
    </w:p>
    <w:p w14:paraId="6D82E9C8">
      <w:pPr>
        <w:pStyle w:val="28"/>
        <w:rPr>
          <w:rFonts w:hint="eastAsia" w:asciiTheme="majorEastAsia" w:hAnsiTheme="majorEastAsia" w:eastAsiaTheme="majorEastAsia" w:cstheme="majorEastAsia"/>
          <w:bCs/>
          <w:iCs/>
          <w:color w:val="auto"/>
          <w:sz w:val="21"/>
          <w:szCs w:val="21"/>
        </w:rPr>
      </w:pPr>
    </w:p>
    <w:p w14:paraId="4EAD66A8">
      <w:pPr>
        <w:pStyle w:val="28"/>
        <w:rPr>
          <w:rFonts w:hint="eastAsia" w:asciiTheme="majorEastAsia" w:hAnsiTheme="majorEastAsia" w:eastAsiaTheme="majorEastAsia" w:cstheme="majorEastAsia"/>
          <w:bCs/>
          <w:iCs/>
          <w:color w:val="auto"/>
          <w:sz w:val="21"/>
          <w:szCs w:val="21"/>
        </w:rPr>
      </w:pPr>
    </w:p>
    <w:p w14:paraId="269283A7">
      <w:pPr>
        <w:pStyle w:val="28"/>
        <w:rPr>
          <w:rFonts w:hint="eastAsia" w:asciiTheme="majorEastAsia" w:hAnsiTheme="majorEastAsia" w:eastAsiaTheme="majorEastAsia" w:cstheme="majorEastAsia"/>
          <w:bCs/>
          <w:iCs/>
          <w:color w:val="auto"/>
          <w:sz w:val="21"/>
          <w:szCs w:val="21"/>
        </w:rPr>
      </w:pPr>
    </w:p>
    <w:p w14:paraId="3456087E">
      <w:pPr>
        <w:pStyle w:val="28"/>
        <w:rPr>
          <w:rFonts w:hint="eastAsia" w:asciiTheme="majorEastAsia" w:hAnsiTheme="majorEastAsia" w:eastAsiaTheme="majorEastAsia" w:cstheme="majorEastAsia"/>
          <w:bCs/>
          <w:iCs/>
          <w:color w:val="auto"/>
          <w:sz w:val="21"/>
          <w:szCs w:val="21"/>
        </w:rPr>
      </w:pPr>
    </w:p>
    <w:p w14:paraId="2B992B53">
      <w:pPr>
        <w:pStyle w:val="28"/>
        <w:rPr>
          <w:rFonts w:hint="eastAsia" w:asciiTheme="majorEastAsia" w:hAnsiTheme="majorEastAsia" w:eastAsiaTheme="majorEastAsia" w:cstheme="majorEastAsia"/>
          <w:bCs/>
          <w:iCs/>
          <w:color w:val="auto"/>
          <w:sz w:val="21"/>
          <w:szCs w:val="21"/>
        </w:rPr>
      </w:pPr>
    </w:p>
    <w:p w14:paraId="2B9CE714">
      <w:pPr>
        <w:pStyle w:val="28"/>
        <w:rPr>
          <w:rFonts w:hint="eastAsia" w:asciiTheme="majorEastAsia" w:hAnsiTheme="majorEastAsia" w:eastAsiaTheme="majorEastAsia" w:cstheme="majorEastAsia"/>
          <w:bCs/>
          <w:iCs/>
          <w:color w:val="auto"/>
          <w:sz w:val="21"/>
          <w:szCs w:val="21"/>
        </w:rPr>
      </w:pPr>
    </w:p>
    <w:p w14:paraId="09AC0B69">
      <w:pPr>
        <w:pStyle w:val="28"/>
        <w:rPr>
          <w:rFonts w:hint="eastAsia" w:asciiTheme="majorEastAsia" w:hAnsiTheme="majorEastAsia" w:eastAsiaTheme="majorEastAsia" w:cstheme="majorEastAsia"/>
          <w:bCs/>
          <w:iCs/>
          <w:color w:val="auto"/>
          <w:sz w:val="21"/>
          <w:szCs w:val="21"/>
        </w:rPr>
      </w:pPr>
    </w:p>
    <w:p w14:paraId="2BAF009D">
      <w:pPr>
        <w:pStyle w:val="28"/>
        <w:rPr>
          <w:rFonts w:hint="eastAsia" w:asciiTheme="majorEastAsia" w:hAnsiTheme="majorEastAsia" w:eastAsiaTheme="majorEastAsia" w:cstheme="majorEastAsia"/>
          <w:bCs/>
          <w:iCs/>
          <w:color w:val="auto"/>
          <w:sz w:val="21"/>
          <w:szCs w:val="21"/>
        </w:rPr>
      </w:pPr>
    </w:p>
    <w:p w14:paraId="5FEC037B">
      <w:pPr>
        <w:pStyle w:val="28"/>
        <w:rPr>
          <w:rFonts w:hint="eastAsia" w:asciiTheme="majorEastAsia" w:hAnsiTheme="majorEastAsia" w:eastAsiaTheme="majorEastAsia" w:cstheme="majorEastAsia"/>
          <w:bCs/>
          <w:iCs/>
          <w:color w:val="auto"/>
          <w:sz w:val="21"/>
          <w:szCs w:val="21"/>
        </w:rPr>
      </w:pPr>
    </w:p>
    <w:p w14:paraId="49959B85">
      <w:pPr>
        <w:pStyle w:val="28"/>
        <w:rPr>
          <w:rFonts w:hint="eastAsia" w:asciiTheme="majorEastAsia" w:hAnsiTheme="majorEastAsia" w:eastAsiaTheme="majorEastAsia" w:cstheme="majorEastAsia"/>
          <w:bCs/>
          <w:iCs/>
          <w:color w:val="auto"/>
          <w:sz w:val="21"/>
          <w:szCs w:val="21"/>
        </w:rPr>
      </w:pPr>
    </w:p>
    <w:p w14:paraId="42C03BF4">
      <w:pPr>
        <w:pStyle w:val="28"/>
        <w:rPr>
          <w:rFonts w:hint="eastAsia" w:asciiTheme="majorEastAsia" w:hAnsiTheme="majorEastAsia" w:eastAsiaTheme="majorEastAsia" w:cstheme="majorEastAsia"/>
          <w:bCs/>
          <w:iCs/>
          <w:color w:val="auto"/>
          <w:sz w:val="21"/>
          <w:szCs w:val="21"/>
        </w:rPr>
      </w:pPr>
    </w:p>
    <w:p w14:paraId="3664FB3F">
      <w:pPr>
        <w:pStyle w:val="28"/>
        <w:rPr>
          <w:rFonts w:hint="eastAsia" w:asciiTheme="majorEastAsia" w:hAnsiTheme="majorEastAsia" w:eastAsiaTheme="majorEastAsia" w:cstheme="majorEastAsia"/>
          <w:bCs/>
          <w:iCs/>
          <w:color w:val="auto"/>
          <w:sz w:val="21"/>
          <w:szCs w:val="21"/>
        </w:rPr>
      </w:pPr>
    </w:p>
    <w:p w14:paraId="770CF6EA">
      <w:pPr>
        <w:pStyle w:val="28"/>
        <w:rPr>
          <w:rFonts w:hint="eastAsia" w:asciiTheme="majorEastAsia" w:hAnsiTheme="majorEastAsia" w:eastAsiaTheme="majorEastAsia" w:cstheme="majorEastAsia"/>
          <w:bCs/>
          <w:iCs/>
          <w:color w:val="auto"/>
          <w:sz w:val="21"/>
          <w:szCs w:val="21"/>
        </w:rPr>
      </w:pPr>
    </w:p>
    <w:p w14:paraId="58FBF034">
      <w:pPr>
        <w:pStyle w:val="28"/>
        <w:rPr>
          <w:rFonts w:hint="eastAsia" w:asciiTheme="majorEastAsia" w:hAnsiTheme="majorEastAsia" w:eastAsiaTheme="majorEastAsia" w:cstheme="majorEastAsia"/>
          <w:bCs/>
          <w:iCs/>
          <w:color w:val="auto"/>
          <w:sz w:val="21"/>
          <w:szCs w:val="21"/>
        </w:rPr>
      </w:pPr>
    </w:p>
    <w:p w14:paraId="4CAC8428">
      <w:pPr>
        <w:pStyle w:val="28"/>
        <w:rPr>
          <w:rFonts w:hint="eastAsia" w:asciiTheme="majorEastAsia" w:hAnsiTheme="majorEastAsia" w:eastAsiaTheme="majorEastAsia" w:cstheme="majorEastAsia"/>
          <w:bCs/>
          <w:iCs/>
          <w:color w:val="auto"/>
          <w:sz w:val="21"/>
          <w:szCs w:val="21"/>
        </w:rPr>
      </w:pPr>
    </w:p>
    <w:p w14:paraId="106FD12E">
      <w:pPr>
        <w:pStyle w:val="28"/>
        <w:jc w:val="center"/>
        <w:rPr>
          <w:rFonts w:hint="eastAsia" w:asciiTheme="majorEastAsia" w:hAnsiTheme="majorEastAsia" w:eastAsiaTheme="majorEastAsia" w:cstheme="majorEastAsia"/>
          <w:bCs/>
          <w:iCs/>
          <w:color w:val="auto"/>
          <w:sz w:val="21"/>
          <w:szCs w:val="21"/>
        </w:rPr>
      </w:pPr>
    </w:p>
    <w:p w14:paraId="490E8F8E">
      <w:pPr>
        <w:pStyle w:val="28"/>
        <w:jc w:val="center"/>
        <w:rPr>
          <w:rFonts w:hint="eastAsia" w:asciiTheme="majorEastAsia" w:hAnsiTheme="majorEastAsia" w:eastAsiaTheme="majorEastAsia" w:cstheme="majorEastAsia"/>
          <w:bCs/>
          <w:iCs/>
          <w:color w:val="auto"/>
          <w:sz w:val="21"/>
          <w:szCs w:val="21"/>
        </w:rPr>
      </w:pPr>
    </w:p>
    <w:p w14:paraId="4E95BD00">
      <w:pPr>
        <w:pStyle w:val="28"/>
        <w:rPr>
          <w:rFonts w:hint="eastAsia" w:asciiTheme="majorEastAsia" w:hAnsiTheme="majorEastAsia" w:eastAsiaTheme="majorEastAsia" w:cstheme="majorEastAsia"/>
          <w:bCs/>
          <w:iCs/>
          <w:color w:val="auto"/>
          <w:sz w:val="21"/>
          <w:szCs w:val="21"/>
        </w:rPr>
      </w:pPr>
    </w:p>
    <w:p w14:paraId="69332B75">
      <w:pPr>
        <w:bidi w:val="0"/>
        <w:rPr>
          <w:rFonts w:hint="eastAsia"/>
          <w:color w:val="auto"/>
          <w:lang w:val="en-US" w:eastAsia="zh-CN"/>
        </w:rPr>
      </w:pPr>
      <w:bookmarkStart w:id="60" w:name="_Toc9683"/>
    </w:p>
    <w:p w14:paraId="2AD9A26F">
      <w:pPr>
        <w:bidi w:val="0"/>
        <w:rPr>
          <w:rFonts w:hint="eastAsia"/>
          <w:color w:val="auto"/>
          <w:lang w:val="en-US" w:eastAsia="zh-CN"/>
        </w:rPr>
      </w:pPr>
    </w:p>
    <w:p w14:paraId="0AA79EC1">
      <w:pPr>
        <w:pStyle w:val="3"/>
        <w:bidi w:val="0"/>
        <w:rPr>
          <w:rFonts w:hint="eastAsia"/>
          <w:color w:val="auto"/>
          <w:lang w:val="en-US" w:eastAsia="zh-CN"/>
        </w:rPr>
      </w:pPr>
      <w:r>
        <w:rPr>
          <w:rFonts w:hint="eastAsia"/>
          <w:color w:val="auto"/>
          <w:lang w:val="en-US" w:eastAsia="zh-CN"/>
        </w:rPr>
        <w:t>一、投标函</w:t>
      </w:r>
      <w:bookmarkEnd w:id="60"/>
    </w:p>
    <w:p w14:paraId="1E933DD4">
      <w:pPr>
        <w:adjustRightInd w:val="0"/>
        <w:snapToGrid w:val="0"/>
        <w:spacing w:line="480" w:lineRule="exact"/>
        <w:rPr>
          <w:rFonts w:hint="eastAsia" w:asciiTheme="majorEastAsia" w:hAnsiTheme="majorEastAsia" w:eastAsiaTheme="majorEastAsia" w:cstheme="majorEastAsia"/>
          <w:color w:val="auto"/>
          <w:sz w:val="21"/>
          <w:szCs w:val="21"/>
          <w:u w:val="single"/>
        </w:rPr>
      </w:pPr>
    </w:p>
    <w:p w14:paraId="14F015C8">
      <w:pPr>
        <w:tabs>
          <w:tab w:val="left" w:pos="6264"/>
        </w:tabs>
        <w:ind w:firstLine="480"/>
        <w:rPr>
          <w:color w:val="auto"/>
          <w:u w:val="single"/>
        </w:rPr>
      </w:pPr>
      <w:r>
        <w:rPr>
          <w:rFonts w:hint="eastAsia"/>
          <w:color w:val="auto"/>
          <w:lang w:bidi="ar"/>
        </w:rPr>
        <w:t>致</w:t>
      </w:r>
      <w:r>
        <w:rPr>
          <w:rFonts w:hint="eastAsia"/>
          <w:color w:val="auto"/>
          <w:u w:val="single"/>
          <w:lang w:bidi="ar"/>
        </w:rPr>
        <w:t>（</w:t>
      </w:r>
      <w:r>
        <w:rPr>
          <w:rFonts w:hint="eastAsia"/>
          <w:color w:val="auto"/>
          <w:u w:val="single"/>
          <w:lang w:val="en-US" w:eastAsia="zh-CN" w:bidi="ar"/>
        </w:rPr>
        <w:t>招标人</w:t>
      </w:r>
      <w:r>
        <w:rPr>
          <w:rFonts w:hint="eastAsia"/>
          <w:color w:val="auto"/>
          <w:u w:val="single"/>
          <w:lang w:bidi="ar"/>
        </w:rPr>
        <w:t>名称）</w:t>
      </w:r>
      <w:r>
        <w:rPr>
          <w:rFonts w:hint="eastAsia"/>
          <w:color w:val="auto"/>
          <w:lang w:bidi="ar"/>
        </w:rPr>
        <w:t>：</w:t>
      </w:r>
    </w:p>
    <w:p w14:paraId="7B8D1F39">
      <w:pPr>
        <w:adjustRightInd w:val="0"/>
        <w:snapToGrid w:val="0"/>
        <w:spacing w:line="440" w:lineRule="exact"/>
        <w:ind w:firstLine="420" w:firstLineChars="200"/>
        <w:rPr>
          <w:rFonts w:hint="eastAsia"/>
          <w:color w:val="auto"/>
          <w:lang w:bidi="ar"/>
        </w:rPr>
      </w:pPr>
      <w:r>
        <w:rPr>
          <w:rFonts w:hint="eastAsia"/>
          <w:color w:val="auto"/>
          <w:lang w:bidi="ar"/>
        </w:rPr>
        <w:t>根据贵方</w:t>
      </w:r>
      <w:r>
        <w:rPr>
          <w:rFonts w:hint="eastAsia"/>
          <w:color w:val="auto"/>
          <w:u w:val="single"/>
          <w:lang w:bidi="ar"/>
        </w:rPr>
        <w:t xml:space="preserve">  （项目编号、项目包号（如有））  </w:t>
      </w:r>
      <w:r>
        <w:rPr>
          <w:rFonts w:hint="eastAsia"/>
          <w:color w:val="auto"/>
          <w:lang w:bidi="ar"/>
        </w:rPr>
        <w:t>为</w:t>
      </w:r>
      <w:r>
        <w:rPr>
          <w:rFonts w:hint="eastAsia"/>
          <w:color w:val="auto"/>
          <w:u w:val="single"/>
          <w:lang w:bidi="ar"/>
        </w:rPr>
        <w:t xml:space="preserve">      （项目名称）      </w:t>
      </w:r>
      <w:r>
        <w:rPr>
          <w:rFonts w:hint="eastAsia"/>
          <w:color w:val="auto"/>
          <w:lang w:bidi="ar"/>
        </w:rPr>
        <w:t>的招标文件，经研究上述招标文件的投标须知、合同条款及其他有关文件后我方愿以人民币</w:t>
      </w:r>
      <w:r>
        <w:rPr>
          <w:rFonts w:hint="eastAsia"/>
          <w:color w:val="auto"/>
          <w:u w:val="single"/>
          <w:lang w:bidi="ar"/>
        </w:rPr>
        <w:t xml:space="preserve">  （金额）  </w:t>
      </w:r>
      <w:r>
        <w:rPr>
          <w:rFonts w:hint="eastAsia"/>
          <w:color w:val="auto"/>
          <w:lang w:bidi="ar"/>
        </w:rPr>
        <w:t>，大写总价</w:t>
      </w:r>
      <w:r>
        <w:rPr>
          <w:rFonts w:hint="eastAsia"/>
          <w:color w:val="auto"/>
          <w:u w:val="single"/>
          <w:lang w:bidi="ar"/>
        </w:rPr>
        <w:t xml:space="preserve">  （金额）  </w:t>
      </w:r>
      <w:r>
        <w:rPr>
          <w:rFonts w:hint="eastAsia"/>
          <w:color w:val="auto"/>
          <w:lang w:bidi="ar"/>
        </w:rPr>
        <w:t>收取货款</w:t>
      </w:r>
      <w:r>
        <w:rPr>
          <w:rFonts w:hint="eastAsia"/>
          <w:color w:val="auto"/>
          <w:lang w:bidi="ar"/>
        </w:rPr>
        <w:t>，合同履行期限</w:t>
      </w:r>
      <w:r>
        <w:rPr>
          <w:rFonts w:hint="eastAsia"/>
          <w:color w:val="auto"/>
          <w:lang w:bidi="ar"/>
        </w:rPr>
        <w:t>为</w:t>
      </w:r>
      <w:r>
        <w:rPr>
          <w:rFonts w:hint="eastAsia"/>
          <w:color w:val="auto"/>
          <w:u w:val="single"/>
          <w:lang w:bidi="ar"/>
        </w:rPr>
        <w:t xml:space="preserve">               </w:t>
      </w:r>
      <w:r>
        <w:rPr>
          <w:rFonts w:hint="eastAsia"/>
          <w:color w:val="auto"/>
          <w:lang w:bidi="ar"/>
        </w:rPr>
        <w:t>，承担该项目工作，同时我方宣布同意如下：</w:t>
      </w:r>
    </w:p>
    <w:p w14:paraId="5FA09EE2">
      <w:pPr>
        <w:adjustRightInd w:val="0"/>
        <w:snapToGrid w:val="0"/>
        <w:spacing w:line="440" w:lineRule="exact"/>
        <w:ind w:firstLine="420" w:firstLineChars="200"/>
        <w:rPr>
          <w:rFonts w:hint="eastAsia" w:eastAsia="宋体"/>
          <w:color w:val="auto"/>
          <w:lang w:bidi="ar"/>
        </w:rPr>
      </w:pPr>
      <w:r>
        <w:rPr>
          <w:rFonts w:hint="eastAsia" w:eastAsia="宋体"/>
          <w:color w:val="auto"/>
          <w:lang w:bidi="ar"/>
        </w:rPr>
        <w:t>⑴我方根据招标文件的规定，承担完成合同的责任和义务。</w:t>
      </w:r>
    </w:p>
    <w:p w14:paraId="1BFF8B3D">
      <w:pPr>
        <w:adjustRightInd w:val="0"/>
        <w:snapToGrid w:val="0"/>
        <w:spacing w:line="440" w:lineRule="exact"/>
        <w:ind w:firstLine="420" w:firstLineChars="200"/>
        <w:rPr>
          <w:rFonts w:hint="eastAsia" w:eastAsia="宋体"/>
          <w:color w:val="auto"/>
          <w:lang w:bidi="ar"/>
        </w:rPr>
      </w:pPr>
      <w:r>
        <w:rPr>
          <w:rFonts w:hint="eastAsia" w:eastAsia="宋体"/>
          <w:color w:val="auto"/>
          <w:lang w:bidi="ar"/>
        </w:rPr>
        <w:t>⑵我方已详细审核招标文件，确认招标文件中所需要我们提供的服务在需求、技术、质量和服务等方面不存在唯一性或歧视的条款。</w:t>
      </w:r>
    </w:p>
    <w:p w14:paraId="716BF381">
      <w:pPr>
        <w:adjustRightInd w:val="0"/>
        <w:snapToGrid w:val="0"/>
        <w:spacing w:line="440" w:lineRule="exact"/>
        <w:ind w:firstLine="420" w:firstLineChars="200"/>
        <w:rPr>
          <w:rFonts w:hint="eastAsia" w:eastAsia="宋体"/>
          <w:color w:val="auto"/>
          <w:lang w:bidi="ar"/>
        </w:rPr>
      </w:pPr>
      <w:r>
        <w:rPr>
          <w:rFonts w:hint="eastAsia" w:eastAsia="宋体"/>
          <w:color w:val="auto"/>
          <w:lang w:bidi="ar"/>
        </w:rPr>
        <w:t>⑶我方已详细审核招标文件，我方知道必须放弃提出含糊不清或误解问题的权利。</w:t>
      </w:r>
    </w:p>
    <w:p w14:paraId="007138C3">
      <w:pPr>
        <w:adjustRightInd w:val="0"/>
        <w:snapToGrid w:val="0"/>
        <w:spacing w:line="440" w:lineRule="exact"/>
        <w:ind w:firstLine="420" w:firstLineChars="200"/>
        <w:rPr>
          <w:rFonts w:hint="eastAsia" w:eastAsia="宋体"/>
          <w:color w:val="auto"/>
          <w:lang w:bidi="ar"/>
        </w:rPr>
      </w:pPr>
      <w:r>
        <w:rPr>
          <w:rFonts w:hint="eastAsia" w:eastAsia="宋体"/>
          <w:color w:val="auto"/>
          <w:lang w:bidi="ar"/>
        </w:rPr>
        <w:t>⑷我方同意在</w:t>
      </w:r>
      <w:r>
        <w:rPr>
          <w:rFonts w:hint="eastAsia"/>
          <w:color w:val="auto"/>
          <w:lang w:eastAsia="zh-CN" w:bidi="ar"/>
        </w:rPr>
        <w:t>投标人</w:t>
      </w:r>
      <w:r>
        <w:rPr>
          <w:rFonts w:hint="eastAsia" w:eastAsia="宋体"/>
          <w:color w:val="auto"/>
          <w:lang w:bidi="ar"/>
        </w:rPr>
        <w:t>须知规定的开标日期起遵循本投标文件，并在</w:t>
      </w:r>
      <w:r>
        <w:rPr>
          <w:rFonts w:hint="eastAsia"/>
          <w:color w:val="auto"/>
          <w:lang w:eastAsia="zh-CN" w:bidi="ar"/>
        </w:rPr>
        <w:t>投标人</w:t>
      </w:r>
      <w:r>
        <w:rPr>
          <w:rFonts w:hint="eastAsia" w:eastAsia="宋体"/>
          <w:color w:val="auto"/>
          <w:lang w:bidi="ar"/>
        </w:rPr>
        <w:t>须知规定的投标有效期满（投标有效期限为：</w:t>
      </w:r>
      <w:r>
        <w:rPr>
          <w:rFonts w:hint="eastAsia" w:eastAsia="宋体"/>
          <w:color w:val="auto"/>
          <w:u w:val="single"/>
          <w:lang w:bidi="ar"/>
        </w:rPr>
        <w:t xml:space="preserve">     </w:t>
      </w:r>
      <w:r>
        <w:rPr>
          <w:rFonts w:hint="eastAsia" w:eastAsia="宋体"/>
          <w:color w:val="auto"/>
          <w:lang w:bidi="ar"/>
        </w:rPr>
        <w:t>日历天）之前均具有约束力，并有可能中标。</w:t>
      </w:r>
    </w:p>
    <w:p w14:paraId="21CB191B">
      <w:pPr>
        <w:adjustRightInd w:val="0"/>
        <w:snapToGrid w:val="0"/>
        <w:spacing w:line="440" w:lineRule="exact"/>
        <w:ind w:firstLine="420" w:firstLineChars="200"/>
        <w:rPr>
          <w:rFonts w:hint="eastAsia" w:eastAsia="宋体"/>
          <w:color w:val="auto"/>
          <w:lang w:bidi="ar"/>
        </w:rPr>
      </w:pPr>
      <w:r>
        <w:rPr>
          <w:rFonts w:hint="eastAsia" w:eastAsia="宋体"/>
          <w:color w:val="auto"/>
          <w:lang w:bidi="ar"/>
        </w:rPr>
        <w:t>⑸我方如果在投标截止时间后的投标有效期内撤回投标或者有其他违约行为，我方愿意接受相应处罚。</w:t>
      </w:r>
    </w:p>
    <w:p w14:paraId="1589F698">
      <w:pPr>
        <w:adjustRightInd w:val="0"/>
        <w:snapToGrid w:val="0"/>
        <w:spacing w:line="440" w:lineRule="exact"/>
        <w:ind w:firstLine="420" w:firstLineChars="200"/>
        <w:rPr>
          <w:rFonts w:hint="eastAsia" w:eastAsia="宋体"/>
          <w:color w:val="auto"/>
          <w:lang w:bidi="ar"/>
        </w:rPr>
      </w:pPr>
      <w:r>
        <w:rPr>
          <w:rFonts w:hint="eastAsia" w:eastAsia="宋体"/>
          <w:color w:val="auto"/>
          <w:lang w:bidi="ar"/>
        </w:rPr>
        <w:t>⑹同意向贵方提供贵方可能要求的与本投标有关的任何数据或资料。</w:t>
      </w:r>
    </w:p>
    <w:p w14:paraId="1F61AB9F">
      <w:pPr>
        <w:adjustRightInd w:val="0"/>
        <w:snapToGrid w:val="0"/>
        <w:spacing w:line="440" w:lineRule="exact"/>
        <w:ind w:firstLine="420" w:firstLineChars="200"/>
        <w:rPr>
          <w:rFonts w:hint="eastAsia" w:eastAsia="宋体"/>
          <w:color w:val="auto"/>
          <w:lang w:bidi="ar"/>
        </w:rPr>
      </w:pPr>
      <w:r>
        <w:rPr>
          <w:rFonts w:hint="eastAsia" w:eastAsia="宋体"/>
          <w:color w:val="auto"/>
          <w:lang w:bidi="ar"/>
        </w:rPr>
        <w:t>⑺我方按照合同约定履行义务，完成中标项目服务，绝不将中标项目转让（转包或变相转包）给他人，由我单位直接承包管理，否则</w:t>
      </w:r>
      <w:r>
        <w:rPr>
          <w:rFonts w:hint="eastAsia"/>
          <w:color w:val="auto"/>
          <w:lang w:eastAsia="zh-CN" w:bidi="ar"/>
        </w:rPr>
        <w:t>招标人</w:t>
      </w:r>
      <w:r>
        <w:rPr>
          <w:rFonts w:hint="eastAsia" w:eastAsia="宋体"/>
          <w:color w:val="auto"/>
          <w:lang w:bidi="ar"/>
        </w:rPr>
        <w:t>有权单方解除合同。</w:t>
      </w:r>
    </w:p>
    <w:p w14:paraId="1D03400B">
      <w:pPr>
        <w:adjustRightInd w:val="0"/>
        <w:snapToGrid w:val="0"/>
        <w:spacing w:line="440" w:lineRule="exact"/>
        <w:ind w:firstLine="420" w:firstLineChars="200"/>
        <w:rPr>
          <w:rFonts w:hint="eastAsia" w:eastAsia="宋体"/>
          <w:color w:val="auto"/>
          <w:lang w:bidi="ar"/>
        </w:rPr>
      </w:pPr>
      <w:r>
        <w:rPr>
          <w:rFonts w:hint="eastAsia" w:eastAsia="宋体"/>
          <w:color w:val="auto"/>
          <w:lang w:bidi="ar"/>
        </w:rPr>
        <w:t>与本投标有关的正式通讯地址为：</w:t>
      </w:r>
    </w:p>
    <w:p w14:paraId="374526FB">
      <w:pPr>
        <w:adjustRightInd w:val="0"/>
        <w:snapToGrid w:val="0"/>
        <w:spacing w:line="440" w:lineRule="exact"/>
        <w:rPr>
          <w:rFonts w:hint="eastAsia" w:asciiTheme="majorEastAsia" w:hAnsiTheme="majorEastAsia" w:eastAsiaTheme="majorEastAsia" w:cstheme="majorEastAsia"/>
          <w:color w:val="auto"/>
          <w:sz w:val="21"/>
          <w:szCs w:val="21"/>
        </w:rPr>
      </w:pPr>
    </w:p>
    <w:p w14:paraId="796E4DDC">
      <w:pPr>
        <w:adjustRightInd w:val="0"/>
        <w:snapToGrid w:val="0"/>
        <w:spacing w:line="440" w:lineRule="exact"/>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通讯地址：</w:t>
      </w:r>
    </w:p>
    <w:p w14:paraId="78D60E06">
      <w:pPr>
        <w:adjustRightInd w:val="0"/>
        <w:snapToGrid w:val="0"/>
        <w:spacing w:line="440" w:lineRule="exact"/>
        <w:rPr>
          <w:rFonts w:hint="eastAsia" w:asciiTheme="majorEastAsia" w:hAnsiTheme="majorEastAsia" w:eastAsiaTheme="majorEastAsia" w:cstheme="majorEastAsia"/>
          <w:color w:val="auto"/>
          <w:sz w:val="21"/>
          <w:szCs w:val="21"/>
        </w:rPr>
      </w:pPr>
    </w:p>
    <w:p w14:paraId="7B4EF56B">
      <w:pPr>
        <w:adjustRightInd w:val="0"/>
        <w:snapToGrid w:val="0"/>
        <w:spacing w:line="440" w:lineRule="exact"/>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传真/电话/电子邮件：</w:t>
      </w:r>
    </w:p>
    <w:p w14:paraId="6BDD9419">
      <w:pPr>
        <w:adjustRightInd w:val="0"/>
        <w:snapToGrid w:val="0"/>
        <w:spacing w:line="440" w:lineRule="exact"/>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法定代表人或委托代理人签字</w:t>
      </w:r>
      <w:r>
        <w:rPr>
          <w:rFonts w:hint="eastAsia" w:asciiTheme="majorEastAsia" w:hAnsiTheme="majorEastAsia" w:eastAsiaTheme="majorEastAsia" w:cstheme="majorEastAsia"/>
          <w:color w:val="auto"/>
          <w:sz w:val="21"/>
          <w:szCs w:val="21"/>
          <w:lang w:val="en-US" w:eastAsia="zh-CN"/>
        </w:rPr>
        <w:t>或盖章</w:t>
      </w:r>
      <w:r>
        <w:rPr>
          <w:rFonts w:hint="eastAsia" w:asciiTheme="majorEastAsia" w:hAnsiTheme="majorEastAsia" w:eastAsiaTheme="majorEastAsia" w:cstheme="majorEastAsia"/>
          <w:color w:val="auto"/>
          <w:sz w:val="21"/>
          <w:szCs w:val="21"/>
        </w:rPr>
        <w:t>：</w:t>
      </w:r>
    </w:p>
    <w:p w14:paraId="5EFD66A3">
      <w:pPr>
        <w:adjustRightInd w:val="0"/>
        <w:snapToGrid w:val="0"/>
        <w:spacing w:line="440" w:lineRule="exact"/>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投标人名称（公章）：</w:t>
      </w:r>
    </w:p>
    <w:p w14:paraId="3E759374">
      <w:pPr>
        <w:adjustRightInd w:val="0"/>
        <w:snapToGrid w:val="0"/>
        <w:spacing w:line="440" w:lineRule="exact"/>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日 期：</w:t>
      </w:r>
    </w:p>
    <w:p w14:paraId="56DB6AC7">
      <w:pPr>
        <w:adjustRightInd w:val="0"/>
        <w:snapToGrid w:val="0"/>
        <w:spacing w:line="440" w:lineRule="exact"/>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开户银行/账号/行号：</w:t>
      </w:r>
    </w:p>
    <w:p w14:paraId="221444BC">
      <w:pPr>
        <w:pStyle w:val="6"/>
        <w:ind w:left="0" w:leftChars="0" w:firstLine="0" w:firstLineChars="0"/>
        <w:rPr>
          <w:rFonts w:hint="eastAsia"/>
          <w:color w:val="auto"/>
        </w:rPr>
        <w:sectPr>
          <w:pgSz w:w="11906" w:h="16838"/>
          <w:pgMar w:top="1440" w:right="1800" w:bottom="1440" w:left="1800" w:header="1134" w:footer="1134" w:gutter="0"/>
          <w:pgNumType w:fmt="decimal"/>
          <w:cols w:space="720" w:num="1"/>
          <w:docGrid w:type="lines" w:linePitch="326" w:charSpace="0"/>
        </w:sectPr>
      </w:pPr>
    </w:p>
    <w:p w14:paraId="42C6FC06">
      <w:pPr>
        <w:ind w:firstLine="0" w:firstLineChars="0"/>
        <w:jc w:val="center"/>
        <w:rPr>
          <w:rFonts w:hint="eastAsia"/>
          <w:b/>
          <w:color w:val="auto"/>
          <w:lang w:bidi="ar"/>
        </w:rPr>
      </w:pPr>
    </w:p>
    <w:p w14:paraId="7E08E687">
      <w:pPr>
        <w:pStyle w:val="3"/>
        <w:bidi w:val="0"/>
        <w:rPr>
          <w:color w:val="auto"/>
        </w:rPr>
      </w:pPr>
      <w:r>
        <w:rPr>
          <w:rFonts w:hint="eastAsia"/>
          <w:color w:val="auto"/>
          <w:lang w:val="en-US" w:eastAsia="zh-CN"/>
        </w:rPr>
        <w:t>二、</w:t>
      </w:r>
      <w:r>
        <w:rPr>
          <w:rFonts w:hint="eastAsia"/>
          <w:color w:val="auto"/>
        </w:rPr>
        <w:t>开标一览表</w:t>
      </w:r>
    </w:p>
    <w:p w14:paraId="3A4B168D">
      <w:pPr>
        <w:rPr>
          <w:rFonts w:hint="eastAsia"/>
          <w:color w:val="auto"/>
          <w:sz w:val="21"/>
          <w:szCs w:val="21"/>
          <w:lang w:eastAsia="zh-CN" w:bidi="ar"/>
        </w:rPr>
      </w:pPr>
      <w:r>
        <w:rPr>
          <w:rFonts w:hint="eastAsia"/>
          <w:color w:val="auto"/>
          <w:sz w:val="21"/>
          <w:szCs w:val="21"/>
          <w:lang w:bidi="ar"/>
        </w:rPr>
        <w:t>项目名称</w:t>
      </w:r>
      <w:r>
        <w:rPr>
          <w:rFonts w:hint="eastAsia"/>
          <w:color w:val="auto"/>
          <w:sz w:val="21"/>
          <w:szCs w:val="21"/>
          <w:lang w:eastAsia="zh-CN" w:bidi="ar"/>
        </w:rPr>
        <w:t>：</w:t>
      </w:r>
      <w:r>
        <w:rPr>
          <w:rFonts w:hint="eastAsia"/>
          <w:color w:val="auto"/>
          <w:sz w:val="21"/>
          <w:szCs w:val="21"/>
          <w:lang w:bidi="ar"/>
        </w:rPr>
        <w:br w:type="textWrapping"/>
      </w:r>
      <w:r>
        <w:rPr>
          <w:rFonts w:hint="eastAsia"/>
          <w:color w:val="auto"/>
          <w:sz w:val="21"/>
          <w:szCs w:val="21"/>
          <w:lang w:bidi="ar"/>
        </w:rPr>
        <w:t>项目编号</w:t>
      </w:r>
      <w:r>
        <w:rPr>
          <w:rFonts w:hint="eastAsia"/>
          <w:color w:val="auto"/>
          <w:sz w:val="21"/>
          <w:szCs w:val="21"/>
          <w:lang w:eastAsia="zh-CN" w:bidi="ar"/>
        </w:rPr>
        <w:t>：</w:t>
      </w:r>
    </w:p>
    <w:tbl>
      <w:tblPr>
        <w:tblStyle w:val="15"/>
        <w:tblW w:w="85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3"/>
        <w:gridCol w:w="3207"/>
        <w:gridCol w:w="4413"/>
      </w:tblGrid>
      <w:tr w14:paraId="2B7FE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953" w:type="dxa"/>
            <w:vAlign w:val="center"/>
          </w:tcPr>
          <w:p w14:paraId="3E0CD612">
            <w:pPr>
              <w:spacing w:line="360" w:lineRule="auto"/>
              <w:rPr>
                <w:rFonts w:asciiTheme="minorEastAsia" w:hAnsiTheme="minorEastAsia"/>
                <w:color w:val="auto"/>
                <w:sz w:val="21"/>
                <w:szCs w:val="21"/>
              </w:rPr>
            </w:pPr>
            <w:r>
              <w:rPr>
                <w:rFonts w:hint="eastAsia" w:asciiTheme="minorEastAsia" w:hAnsiTheme="minorEastAsia"/>
                <w:color w:val="auto"/>
                <w:sz w:val="21"/>
                <w:szCs w:val="21"/>
              </w:rPr>
              <w:t>序号</w:t>
            </w:r>
          </w:p>
        </w:tc>
        <w:tc>
          <w:tcPr>
            <w:tcW w:w="3207" w:type="dxa"/>
            <w:vAlign w:val="center"/>
          </w:tcPr>
          <w:p w14:paraId="7ECB9890">
            <w:pPr>
              <w:spacing w:line="360" w:lineRule="auto"/>
              <w:rPr>
                <w:rFonts w:asciiTheme="minorEastAsia" w:hAnsiTheme="minorEastAsia"/>
                <w:color w:val="auto"/>
                <w:sz w:val="21"/>
                <w:szCs w:val="21"/>
              </w:rPr>
            </w:pPr>
            <w:r>
              <w:rPr>
                <w:rFonts w:hint="eastAsia" w:asciiTheme="minorEastAsia" w:hAnsiTheme="minorEastAsia"/>
                <w:color w:val="auto"/>
                <w:sz w:val="21"/>
                <w:szCs w:val="21"/>
              </w:rPr>
              <w:t>条款内容</w:t>
            </w:r>
          </w:p>
        </w:tc>
        <w:tc>
          <w:tcPr>
            <w:tcW w:w="4413" w:type="dxa"/>
            <w:vAlign w:val="center"/>
          </w:tcPr>
          <w:p w14:paraId="49E01521">
            <w:pPr>
              <w:spacing w:line="360" w:lineRule="auto"/>
              <w:rPr>
                <w:rFonts w:asciiTheme="minorEastAsia" w:hAnsiTheme="minorEastAsia"/>
                <w:color w:val="auto"/>
                <w:sz w:val="21"/>
                <w:szCs w:val="21"/>
              </w:rPr>
            </w:pPr>
            <w:r>
              <w:rPr>
                <w:rFonts w:hint="eastAsia" w:asciiTheme="minorEastAsia" w:hAnsiTheme="minorEastAsia"/>
                <w:color w:val="auto"/>
                <w:sz w:val="21"/>
                <w:szCs w:val="21"/>
              </w:rPr>
              <w:t>约定内容</w:t>
            </w:r>
          </w:p>
        </w:tc>
      </w:tr>
      <w:tr w14:paraId="7CBF3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953" w:type="dxa"/>
            <w:vAlign w:val="center"/>
          </w:tcPr>
          <w:p w14:paraId="41CCCE8C">
            <w:pPr>
              <w:spacing w:line="360" w:lineRule="auto"/>
              <w:rPr>
                <w:rFonts w:asciiTheme="minorEastAsia" w:hAnsiTheme="minorEastAsia"/>
                <w:color w:val="auto"/>
                <w:sz w:val="21"/>
                <w:szCs w:val="21"/>
              </w:rPr>
            </w:pPr>
            <w:r>
              <w:rPr>
                <w:rFonts w:hint="eastAsia" w:asciiTheme="minorEastAsia" w:hAnsiTheme="minorEastAsia"/>
                <w:color w:val="auto"/>
                <w:sz w:val="21"/>
                <w:szCs w:val="21"/>
              </w:rPr>
              <w:t>1</w:t>
            </w:r>
          </w:p>
        </w:tc>
        <w:tc>
          <w:tcPr>
            <w:tcW w:w="3207" w:type="dxa"/>
            <w:vAlign w:val="center"/>
          </w:tcPr>
          <w:p w14:paraId="78C46038">
            <w:pPr>
              <w:spacing w:line="360" w:lineRule="auto"/>
              <w:rPr>
                <w:rFonts w:asciiTheme="minorEastAsia" w:hAnsiTheme="minorEastAsia"/>
                <w:color w:val="auto"/>
                <w:sz w:val="21"/>
                <w:szCs w:val="21"/>
                <w:lang w:eastAsia="zh-CN"/>
              </w:rPr>
            </w:pPr>
            <w:r>
              <w:rPr>
                <w:rFonts w:hint="eastAsia" w:asciiTheme="minorEastAsia" w:hAnsiTheme="minorEastAsia"/>
                <w:color w:val="auto"/>
                <w:sz w:val="21"/>
                <w:szCs w:val="21"/>
                <w:lang w:eastAsia="zh-CN"/>
              </w:rPr>
              <w:t>投标总价</w:t>
            </w:r>
          </w:p>
        </w:tc>
        <w:tc>
          <w:tcPr>
            <w:tcW w:w="4413" w:type="dxa"/>
            <w:vAlign w:val="center"/>
          </w:tcPr>
          <w:p w14:paraId="4A055981">
            <w:pPr>
              <w:spacing w:line="360" w:lineRule="auto"/>
              <w:rPr>
                <w:rFonts w:hint="eastAsia" w:asciiTheme="minorEastAsia" w:hAnsiTheme="minorEastAsia"/>
                <w:color w:val="auto"/>
                <w:sz w:val="21"/>
                <w:szCs w:val="21"/>
                <w:u w:val="single"/>
                <w:lang w:val="en-US" w:eastAsia="zh-CN"/>
              </w:rPr>
            </w:pPr>
            <w:r>
              <w:rPr>
                <w:rFonts w:hint="eastAsia" w:asciiTheme="minorEastAsia" w:hAnsiTheme="minorEastAsia"/>
                <w:color w:val="auto"/>
                <w:sz w:val="21"/>
                <w:szCs w:val="21"/>
                <w:lang w:eastAsia="zh-CN"/>
              </w:rPr>
              <w:t>人民币（大写：）</w:t>
            </w:r>
            <w:r>
              <w:rPr>
                <w:rFonts w:hint="eastAsia" w:asciiTheme="minorEastAsia" w:hAnsiTheme="minorEastAsia"/>
                <w:color w:val="auto"/>
                <w:sz w:val="21"/>
                <w:szCs w:val="21"/>
                <w:u w:val="single"/>
                <w:lang w:val="en-US" w:eastAsia="zh-CN"/>
              </w:rPr>
              <w:t xml:space="preserve">    </w:t>
            </w:r>
          </w:p>
          <w:p w14:paraId="7ED8050A">
            <w:pPr>
              <w:spacing w:line="360" w:lineRule="auto"/>
              <w:rPr>
                <w:rFonts w:hint="default" w:asciiTheme="minorEastAsia" w:hAnsiTheme="minorEastAsia"/>
                <w:color w:val="auto"/>
                <w:sz w:val="21"/>
                <w:szCs w:val="21"/>
                <w:lang w:val="en-US" w:eastAsia="zh-CN"/>
              </w:rPr>
            </w:pPr>
            <w:r>
              <w:rPr>
                <w:rFonts w:hint="eastAsia" w:asciiTheme="minorEastAsia" w:hAnsiTheme="minorEastAsia"/>
                <w:color w:val="auto"/>
                <w:sz w:val="21"/>
                <w:szCs w:val="21"/>
                <w:u w:val="single"/>
                <w:lang w:val="en-US" w:eastAsia="zh-CN"/>
              </w:rPr>
              <w:t>(¥：  )</w:t>
            </w:r>
          </w:p>
          <w:p w14:paraId="7135F0EF">
            <w:pPr>
              <w:pStyle w:val="18"/>
              <w:rPr>
                <w:color w:val="auto"/>
                <w:sz w:val="21"/>
                <w:szCs w:val="21"/>
                <w:lang w:eastAsia="zh-CN"/>
              </w:rPr>
            </w:pPr>
          </w:p>
        </w:tc>
      </w:tr>
      <w:tr w14:paraId="70F3A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953" w:type="dxa"/>
            <w:vAlign w:val="center"/>
          </w:tcPr>
          <w:p w14:paraId="69B64A58">
            <w:pPr>
              <w:spacing w:line="360" w:lineRule="auto"/>
              <w:rPr>
                <w:rFonts w:asciiTheme="minorEastAsia" w:hAnsiTheme="minorEastAsia"/>
                <w:color w:val="auto"/>
                <w:sz w:val="21"/>
                <w:szCs w:val="21"/>
              </w:rPr>
            </w:pPr>
            <w:r>
              <w:rPr>
                <w:rFonts w:hint="eastAsia" w:asciiTheme="minorEastAsia" w:hAnsiTheme="minorEastAsia"/>
                <w:color w:val="auto"/>
                <w:sz w:val="21"/>
                <w:szCs w:val="21"/>
              </w:rPr>
              <w:t>2</w:t>
            </w:r>
          </w:p>
        </w:tc>
        <w:tc>
          <w:tcPr>
            <w:tcW w:w="3207" w:type="dxa"/>
            <w:vAlign w:val="center"/>
          </w:tcPr>
          <w:p w14:paraId="10D75847">
            <w:pPr>
              <w:spacing w:line="360" w:lineRule="auto"/>
              <w:rPr>
                <w:rFonts w:asciiTheme="minorEastAsia" w:hAnsiTheme="minorEastAsia"/>
                <w:color w:val="auto"/>
                <w:sz w:val="21"/>
                <w:szCs w:val="21"/>
              </w:rPr>
            </w:pPr>
            <w:r>
              <w:rPr>
                <w:rFonts w:asciiTheme="minorEastAsia" w:hAnsiTheme="minorEastAsia"/>
                <w:color w:val="auto"/>
                <w:sz w:val="21"/>
                <w:szCs w:val="21"/>
              </w:rPr>
              <w:t>交货期</w:t>
            </w:r>
          </w:p>
        </w:tc>
        <w:tc>
          <w:tcPr>
            <w:tcW w:w="4413" w:type="dxa"/>
            <w:vAlign w:val="center"/>
          </w:tcPr>
          <w:p w14:paraId="1D0F13B0">
            <w:pPr>
              <w:spacing w:line="360" w:lineRule="auto"/>
              <w:rPr>
                <w:rFonts w:asciiTheme="minorEastAsia" w:hAnsiTheme="minorEastAsia"/>
                <w:color w:val="auto"/>
                <w:sz w:val="21"/>
                <w:szCs w:val="21"/>
              </w:rPr>
            </w:pPr>
          </w:p>
        </w:tc>
      </w:tr>
      <w:tr w14:paraId="697D6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953" w:type="dxa"/>
            <w:vAlign w:val="center"/>
          </w:tcPr>
          <w:p w14:paraId="5FAD09A9">
            <w:pPr>
              <w:spacing w:line="360" w:lineRule="auto"/>
              <w:rPr>
                <w:rFonts w:asciiTheme="minorEastAsia" w:hAnsiTheme="minorEastAsia"/>
                <w:color w:val="auto"/>
                <w:sz w:val="21"/>
                <w:szCs w:val="21"/>
              </w:rPr>
            </w:pPr>
            <w:r>
              <w:rPr>
                <w:rFonts w:hint="eastAsia" w:asciiTheme="minorEastAsia" w:hAnsiTheme="minorEastAsia"/>
                <w:color w:val="auto"/>
                <w:sz w:val="21"/>
                <w:szCs w:val="21"/>
              </w:rPr>
              <w:t>3</w:t>
            </w:r>
          </w:p>
        </w:tc>
        <w:tc>
          <w:tcPr>
            <w:tcW w:w="3207" w:type="dxa"/>
            <w:vAlign w:val="center"/>
          </w:tcPr>
          <w:p w14:paraId="7E87F433">
            <w:pPr>
              <w:spacing w:line="360" w:lineRule="auto"/>
              <w:rPr>
                <w:rFonts w:asciiTheme="minorEastAsia" w:hAnsiTheme="minorEastAsia"/>
                <w:color w:val="auto"/>
                <w:sz w:val="21"/>
                <w:szCs w:val="21"/>
              </w:rPr>
            </w:pPr>
            <w:r>
              <w:rPr>
                <w:rFonts w:asciiTheme="minorEastAsia" w:hAnsiTheme="minorEastAsia"/>
                <w:color w:val="auto"/>
                <w:sz w:val="21"/>
                <w:szCs w:val="21"/>
              </w:rPr>
              <w:t>质保期</w:t>
            </w:r>
          </w:p>
        </w:tc>
        <w:tc>
          <w:tcPr>
            <w:tcW w:w="4413" w:type="dxa"/>
            <w:vAlign w:val="center"/>
          </w:tcPr>
          <w:p w14:paraId="18584D64">
            <w:pPr>
              <w:spacing w:line="360" w:lineRule="auto"/>
              <w:rPr>
                <w:rFonts w:asciiTheme="minorEastAsia" w:hAnsiTheme="minorEastAsia"/>
                <w:color w:val="auto"/>
                <w:sz w:val="21"/>
                <w:szCs w:val="21"/>
              </w:rPr>
            </w:pPr>
          </w:p>
        </w:tc>
      </w:tr>
      <w:tr w14:paraId="70AB0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953" w:type="dxa"/>
            <w:vAlign w:val="center"/>
          </w:tcPr>
          <w:p w14:paraId="7A45F1E0">
            <w:pPr>
              <w:spacing w:line="360" w:lineRule="auto"/>
              <w:rPr>
                <w:rFonts w:asciiTheme="minorEastAsia" w:hAnsiTheme="minorEastAsia"/>
                <w:color w:val="auto"/>
                <w:sz w:val="21"/>
                <w:szCs w:val="21"/>
              </w:rPr>
            </w:pPr>
            <w:r>
              <w:rPr>
                <w:rFonts w:hint="eastAsia" w:asciiTheme="minorEastAsia" w:hAnsiTheme="minorEastAsia"/>
                <w:color w:val="auto"/>
                <w:sz w:val="21"/>
                <w:szCs w:val="21"/>
              </w:rPr>
              <w:t>4</w:t>
            </w:r>
          </w:p>
        </w:tc>
        <w:tc>
          <w:tcPr>
            <w:tcW w:w="3207" w:type="dxa"/>
            <w:vAlign w:val="center"/>
          </w:tcPr>
          <w:p w14:paraId="2D329E20">
            <w:pPr>
              <w:spacing w:line="360" w:lineRule="auto"/>
              <w:rPr>
                <w:rFonts w:asciiTheme="minorEastAsia" w:hAnsiTheme="minorEastAsia"/>
                <w:color w:val="auto"/>
                <w:sz w:val="21"/>
                <w:szCs w:val="21"/>
                <w:lang w:eastAsia="zh-CN"/>
              </w:rPr>
            </w:pPr>
            <w:r>
              <w:rPr>
                <w:rFonts w:hint="eastAsia" w:asciiTheme="minorEastAsia" w:hAnsiTheme="minorEastAsia"/>
                <w:color w:val="auto"/>
                <w:sz w:val="21"/>
                <w:szCs w:val="21"/>
                <w:lang w:eastAsia="zh-CN"/>
              </w:rPr>
              <w:t>付款方式</w:t>
            </w:r>
          </w:p>
        </w:tc>
        <w:tc>
          <w:tcPr>
            <w:tcW w:w="4413" w:type="dxa"/>
            <w:vAlign w:val="center"/>
          </w:tcPr>
          <w:p w14:paraId="1283246E">
            <w:pPr>
              <w:spacing w:line="360" w:lineRule="auto"/>
              <w:rPr>
                <w:rFonts w:asciiTheme="minorEastAsia" w:hAnsiTheme="minorEastAsia"/>
                <w:color w:val="auto"/>
                <w:sz w:val="21"/>
                <w:szCs w:val="21"/>
              </w:rPr>
            </w:pPr>
          </w:p>
        </w:tc>
      </w:tr>
      <w:tr w14:paraId="09F44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953" w:type="dxa"/>
            <w:vAlign w:val="center"/>
          </w:tcPr>
          <w:p w14:paraId="3AE6665C">
            <w:pPr>
              <w:spacing w:line="360" w:lineRule="auto"/>
              <w:rPr>
                <w:rFonts w:asciiTheme="minorEastAsia" w:hAnsiTheme="minorEastAsia"/>
                <w:color w:val="auto"/>
                <w:sz w:val="21"/>
                <w:szCs w:val="21"/>
              </w:rPr>
            </w:pPr>
            <w:r>
              <w:rPr>
                <w:rFonts w:hint="eastAsia" w:asciiTheme="minorEastAsia" w:hAnsiTheme="minorEastAsia"/>
                <w:color w:val="auto"/>
                <w:sz w:val="21"/>
                <w:szCs w:val="21"/>
              </w:rPr>
              <w:t>5</w:t>
            </w:r>
          </w:p>
        </w:tc>
        <w:tc>
          <w:tcPr>
            <w:tcW w:w="3207" w:type="dxa"/>
            <w:vAlign w:val="center"/>
          </w:tcPr>
          <w:p w14:paraId="2EC6D7B2">
            <w:pPr>
              <w:spacing w:line="360" w:lineRule="auto"/>
              <w:rPr>
                <w:rFonts w:asciiTheme="minorEastAsia" w:hAnsiTheme="minorEastAsia"/>
                <w:color w:val="auto"/>
                <w:sz w:val="21"/>
                <w:szCs w:val="21"/>
              </w:rPr>
            </w:pPr>
            <w:r>
              <w:rPr>
                <w:rFonts w:asciiTheme="minorEastAsia" w:hAnsiTheme="minorEastAsia"/>
                <w:color w:val="auto"/>
                <w:sz w:val="21"/>
                <w:szCs w:val="21"/>
              </w:rPr>
              <w:t>其它</w:t>
            </w:r>
          </w:p>
        </w:tc>
        <w:tc>
          <w:tcPr>
            <w:tcW w:w="4413" w:type="dxa"/>
            <w:vAlign w:val="center"/>
          </w:tcPr>
          <w:p w14:paraId="4F00F65F">
            <w:pPr>
              <w:spacing w:line="360" w:lineRule="auto"/>
              <w:rPr>
                <w:rFonts w:asciiTheme="minorEastAsia" w:hAnsiTheme="minorEastAsia"/>
                <w:color w:val="auto"/>
                <w:sz w:val="21"/>
                <w:szCs w:val="21"/>
              </w:rPr>
            </w:pPr>
          </w:p>
        </w:tc>
      </w:tr>
    </w:tbl>
    <w:p w14:paraId="3E5A3C21">
      <w:pPr>
        <w:spacing w:line="360" w:lineRule="auto"/>
        <w:rPr>
          <w:rFonts w:asciiTheme="minorEastAsia" w:hAnsiTheme="minorEastAsia"/>
          <w:color w:val="auto"/>
          <w:sz w:val="21"/>
          <w:szCs w:val="21"/>
        </w:rPr>
      </w:pPr>
    </w:p>
    <w:p w14:paraId="422C569C">
      <w:pPr>
        <w:spacing w:line="360" w:lineRule="auto"/>
        <w:rPr>
          <w:rFonts w:asciiTheme="minorEastAsia" w:hAnsiTheme="minorEastAsia"/>
          <w:color w:val="auto"/>
          <w:sz w:val="21"/>
          <w:szCs w:val="21"/>
        </w:rPr>
      </w:pPr>
      <w:r>
        <w:rPr>
          <w:rFonts w:hint="eastAsia" w:asciiTheme="minorEastAsia" w:hAnsiTheme="minorEastAsia"/>
          <w:color w:val="auto"/>
          <w:sz w:val="21"/>
          <w:szCs w:val="21"/>
        </w:rPr>
        <w:t>说明：</w:t>
      </w:r>
    </w:p>
    <w:p w14:paraId="76C047D2">
      <w:pPr>
        <w:spacing w:line="360" w:lineRule="auto"/>
        <w:rPr>
          <w:rFonts w:asciiTheme="minorEastAsia" w:hAnsiTheme="minorEastAsia"/>
          <w:color w:val="auto"/>
          <w:sz w:val="21"/>
          <w:szCs w:val="21"/>
          <w:lang w:eastAsia="zh-CN"/>
        </w:rPr>
      </w:pPr>
      <w:r>
        <w:rPr>
          <w:rFonts w:asciiTheme="minorEastAsia" w:hAnsiTheme="minorEastAsia"/>
          <w:color w:val="auto"/>
          <w:sz w:val="21"/>
          <w:szCs w:val="21"/>
          <w:lang w:eastAsia="zh-CN"/>
        </w:rPr>
        <w:t>1</w:t>
      </w:r>
      <w:r>
        <w:rPr>
          <w:rFonts w:hint="eastAsia" w:asciiTheme="minorEastAsia" w:hAnsiTheme="minorEastAsia"/>
          <w:color w:val="auto"/>
          <w:sz w:val="21"/>
          <w:szCs w:val="21"/>
          <w:lang w:eastAsia="zh-CN"/>
        </w:rPr>
        <w:t>、此表除保留在投标文件中外，还须另附一份封装在一个密封小信封中，作为唱标之用。</w:t>
      </w:r>
    </w:p>
    <w:p w14:paraId="16EFD6AF">
      <w:pPr>
        <w:rPr>
          <w:color w:val="auto"/>
          <w:sz w:val="21"/>
          <w:szCs w:val="21"/>
        </w:rPr>
      </w:pPr>
      <w:r>
        <w:rPr>
          <w:rFonts w:hint="eastAsia" w:asciiTheme="minorEastAsia" w:hAnsiTheme="minorEastAsia"/>
          <w:color w:val="auto"/>
          <w:sz w:val="21"/>
          <w:szCs w:val="21"/>
          <w:lang w:eastAsia="zh-CN"/>
        </w:rPr>
        <w:t>2、投标人报价应包括满足本项目全部要求内容的费用（例如未列入的技术费用等均由投标人自主报价）。对报价的准确性负责，任何漏报、错报等风险均由投标人承担；投标人的报价应充分考虑市场的价格因素，应包含服务人员报酬及社会保险费用、管理费、培训费、利润、税费、风险其他相关费用等全部费用。</w:t>
      </w:r>
    </w:p>
    <w:p w14:paraId="45F92952">
      <w:pPr>
        <w:ind w:firstLine="480"/>
        <w:rPr>
          <w:rFonts w:hint="eastAsia"/>
          <w:color w:val="auto"/>
          <w:lang w:bidi="ar"/>
        </w:rPr>
      </w:pPr>
    </w:p>
    <w:p w14:paraId="05E3221F">
      <w:pPr>
        <w:ind w:firstLine="480"/>
        <w:rPr>
          <w:rFonts w:hint="eastAsia"/>
          <w:color w:val="auto"/>
          <w:lang w:bidi="ar"/>
        </w:rPr>
      </w:pPr>
    </w:p>
    <w:p w14:paraId="723F6CA5">
      <w:pPr>
        <w:ind w:firstLine="480"/>
        <w:jc w:val="right"/>
        <w:rPr>
          <w:rFonts w:hint="eastAsia"/>
          <w:color w:val="auto"/>
          <w:u w:val="none"/>
          <w:lang w:val="en-US" w:eastAsia="zh-CN" w:bidi="ar"/>
        </w:rPr>
      </w:pPr>
      <w:r>
        <w:rPr>
          <w:rFonts w:hint="eastAsia"/>
          <w:color w:val="auto"/>
          <w:lang w:bidi="ar"/>
        </w:rPr>
        <w:t>法定代表人或被授权代表（签字或盖章）：</w:t>
      </w:r>
      <w:r>
        <w:rPr>
          <w:rFonts w:hint="eastAsia" w:hAnsi="宋体" w:cs="宋体"/>
          <w:color w:val="auto"/>
          <w:sz w:val="24"/>
          <w:szCs w:val="24"/>
          <w:u w:val="single"/>
        </w:rPr>
        <w:tab/>
      </w:r>
      <w:r>
        <w:rPr>
          <w:rFonts w:hint="eastAsia" w:hAnsi="宋体" w:cs="宋体"/>
          <w:color w:val="auto"/>
          <w:sz w:val="24"/>
          <w:szCs w:val="24"/>
          <w:u w:val="single"/>
        </w:rPr>
        <w:tab/>
      </w:r>
      <w:r>
        <w:rPr>
          <w:rFonts w:hint="eastAsia" w:hAnsi="宋体" w:cs="宋体"/>
          <w:color w:val="auto"/>
          <w:sz w:val="24"/>
          <w:szCs w:val="24"/>
          <w:u w:val="single"/>
        </w:rPr>
        <w:tab/>
      </w:r>
    </w:p>
    <w:p w14:paraId="3124ABCE">
      <w:pPr>
        <w:ind w:firstLine="480"/>
        <w:jc w:val="right"/>
        <w:rPr>
          <w:color w:val="auto"/>
        </w:rPr>
      </w:pPr>
      <w:r>
        <w:rPr>
          <w:rFonts w:hint="eastAsia"/>
          <w:color w:val="auto"/>
          <w:lang w:eastAsia="zh-CN" w:bidi="ar"/>
        </w:rPr>
        <w:t>投标人</w:t>
      </w:r>
      <w:r>
        <w:rPr>
          <w:rFonts w:hint="eastAsia"/>
          <w:color w:val="auto"/>
          <w:lang w:bidi="ar"/>
        </w:rPr>
        <w:t>名称（公章）：</w:t>
      </w:r>
      <w:r>
        <w:rPr>
          <w:rFonts w:hint="eastAsia" w:hAnsi="宋体" w:cs="宋体"/>
          <w:color w:val="auto"/>
          <w:sz w:val="24"/>
          <w:szCs w:val="24"/>
          <w:u w:val="single"/>
        </w:rPr>
        <w:tab/>
      </w:r>
      <w:r>
        <w:rPr>
          <w:rFonts w:hint="eastAsia" w:hAnsi="宋体" w:cs="宋体"/>
          <w:color w:val="auto"/>
          <w:sz w:val="24"/>
          <w:szCs w:val="24"/>
          <w:u w:val="single"/>
        </w:rPr>
        <w:tab/>
      </w:r>
      <w:r>
        <w:rPr>
          <w:rFonts w:hint="eastAsia" w:hAnsi="宋体" w:cs="宋体"/>
          <w:color w:val="auto"/>
          <w:sz w:val="24"/>
          <w:szCs w:val="24"/>
          <w:u w:val="single"/>
        </w:rPr>
        <w:tab/>
      </w:r>
    </w:p>
    <w:p w14:paraId="2A0EF8E2">
      <w:pPr>
        <w:ind w:firstLine="480"/>
        <w:jc w:val="right"/>
        <w:rPr>
          <w:rFonts w:hint="eastAsia" w:eastAsia="宋体"/>
          <w:color w:val="auto"/>
          <w:lang w:eastAsia="zh-CN"/>
        </w:rPr>
      </w:pPr>
      <w:r>
        <w:rPr>
          <w:rFonts w:hint="eastAsia"/>
          <w:color w:val="auto"/>
          <w:lang w:bidi="ar"/>
        </w:rPr>
        <w:t>日期：</w:t>
      </w:r>
      <w:r>
        <w:rPr>
          <w:rFonts w:hint="eastAsia"/>
          <w:color w:val="auto"/>
          <w:u w:val="single"/>
          <w:lang w:val="en-US" w:eastAsia="zh-CN" w:bidi="ar"/>
        </w:rPr>
        <w:t xml:space="preserve">  </w:t>
      </w:r>
      <w:r>
        <w:rPr>
          <w:rFonts w:hint="eastAsia"/>
          <w:color w:val="auto"/>
          <w:lang w:eastAsia="zh-CN" w:bidi="ar"/>
        </w:rPr>
        <w:t>年</w:t>
      </w:r>
      <w:r>
        <w:rPr>
          <w:rFonts w:hint="eastAsia"/>
          <w:color w:val="auto"/>
          <w:u w:val="single"/>
          <w:lang w:val="en-US" w:eastAsia="zh-CN" w:bidi="ar"/>
        </w:rPr>
        <w:t xml:space="preserve">  </w:t>
      </w:r>
      <w:r>
        <w:rPr>
          <w:rFonts w:hint="eastAsia"/>
          <w:color w:val="auto"/>
          <w:lang w:eastAsia="zh-CN" w:bidi="ar"/>
        </w:rPr>
        <w:t>月</w:t>
      </w:r>
      <w:r>
        <w:rPr>
          <w:rFonts w:hint="eastAsia"/>
          <w:color w:val="auto"/>
          <w:u w:val="single"/>
          <w:lang w:val="en-US" w:eastAsia="zh-CN" w:bidi="ar"/>
        </w:rPr>
        <w:t xml:space="preserve">  </w:t>
      </w:r>
      <w:r>
        <w:rPr>
          <w:rFonts w:hint="eastAsia"/>
          <w:color w:val="auto"/>
          <w:lang w:eastAsia="zh-CN" w:bidi="ar"/>
        </w:rPr>
        <w:t>日</w:t>
      </w:r>
    </w:p>
    <w:p w14:paraId="08E82F73">
      <w:pPr>
        <w:ind w:firstLine="480"/>
        <w:rPr>
          <w:color w:val="auto"/>
        </w:rPr>
      </w:pPr>
    </w:p>
    <w:p w14:paraId="6B775722">
      <w:pPr>
        <w:rPr>
          <w:rFonts w:hint="eastAsia"/>
          <w:color w:val="auto"/>
          <w:lang w:val="en-US" w:eastAsia="zh-CN"/>
        </w:rPr>
      </w:pPr>
      <w:bookmarkStart w:id="61" w:name="_Toc27049"/>
      <w:bookmarkStart w:id="62" w:name="_Toc451864451"/>
      <w:r>
        <w:rPr>
          <w:rFonts w:hint="eastAsia"/>
          <w:color w:val="auto"/>
          <w:lang w:val="en-US" w:eastAsia="zh-CN"/>
        </w:rPr>
        <w:br w:type="page"/>
      </w:r>
    </w:p>
    <w:p w14:paraId="465AB8BC">
      <w:pPr>
        <w:pStyle w:val="3"/>
        <w:bidi w:val="0"/>
        <w:rPr>
          <w:rFonts w:hint="eastAsia"/>
          <w:color w:val="auto"/>
        </w:rPr>
      </w:pPr>
      <w:r>
        <w:rPr>
          <w:rFonts w:hint="eastAsia"/>
          <w:color w:val="auto"/>
          <w:lang w:val="en-US" w:eastAsia="zh-CN"/>
        </w:rPr>
        <w:t>三、</w:t>
      </w:r>
      <w:r>
        <w:rPr>
          <w:rFonts w:hint="eastAsia"/>
          <w:color w:val="auto"/>
        </w:rPr>
        <w:t>法定代表人身份证明或授权委托书</w:t>
      </w:r>
      <w:bookmarkEnd w:id="61"/>
      <w:bookmarkEnd w:id="62"/>
    </w:p>
    <w:p w14:paraId="334BFBEA">
      <w:pPr>
        <w:bidi w:val="0"/>
        <w:jc w:val="center"/>
        <w:rPr>
          <w:rFonts w:hint="eastAsia"/>
          <w:color w:val="auto"/>
        </w:rPr>
      </w:pPr>
    </w:p>
    <w:p w14:paraId="414A9824">
      <w:pPr>
        <w:pStyle w:val="4"/>
        <w:bidi w:val="0"/>
        <w:rPr>
          <w:rFonts w:hint="eastAsia"/>
          <w:color w:val="auto"/>
        </w:rPr>
      </w:pPr>
      <w:bookmarkStart w:id="63" w:name="_Toc26019"/>
      <w:r>
        <w:rPr>
          <w:rFonts w:hint="eastAsia"/>
          <w:color w:val="auto"/>
        </w:rPr>
        <w:t>（一）法定代表人身份证明</w:t>
      </w:r>
      <w:bookmarkEnd w:id="63"/>
    </w:p>
    <w:p w14:paraId="63F838D1">
      <w:pPr>
        <w:spacing w:line="540" w:lineRule="exact"/>
        <w:rPr>
          <w:rFonts w:hint="eastAsia" w:asciiTheme="majorEastAsia" w:hAnsiTheme="majorEastAsia" w:eastAsiaTheme="majorEastAsia" w:cstheme="majorEastAsia"/>
          <w:color w:val="auto"/>
          <w:sz w:val="21"/>
          <w:szCs w:val="21"/>
        </w:rPr>
      </w:pPr>
    </w:p>
    <w:p w14:paraId="1EBA64FB">
      <w:pPr>
        <w:spacing w:line="540" w:lineRule="exact"/>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投标人名称：</w:t>
      </w:r>
    </w:p>
    <w:p w14:paraId="70C674DE">
      <w:pPr>
        <w:spacing w:line="540" w:lineRule="exact"/>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单位性质：</w:t>
      </w:r>
    </w:p>
    <w:p w14:paraId="0C0FE5F1">
      <w:pPr>
        <w:spacing w:line="540" w:lineRule="exact"/>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地址：</w:t>
      </w:r>
    </w:p>
    <w:p w14:paraId="688BC099">
      <w:pPr>
        <w:spacing w:line="540" w:lineRule="exact"/>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成立时间：</w:t>
      </w:r>
      <w:r>
        <w:rPr>
          <w:rFonts w:hint="eastAsia"/>
          <w:color w:val="auto"/>
          <w:u w:val="single"/>
          <w:lang w:val="en-US" w:eastAsia="zh-CN" w:bidi="ar"/>
        </w:rPr>
        <w:t xml:space="preserve">  </w:t>
      </w:r>
      <w:r>
        <w:rPr>
          <w:rFonts w:hint="eastAsia"/>
          <w:color w:val="auto"/>
          <w:lang w:eastAsia="zh-CN" w:bidi="ar"/>
        </w:rPr>
        <w:t>年</w:t>
      </w:r>
      <w:r>
        <w:rPr>
          <w:rFonts w:hint="eastAsia"/>
          <w:color w:val="auto"/>
          <w:u w:val="single"/>
          <w:lang w:val="en-US" w:eastAsia="zh-CN" w:bidi="ar"/>
        </w:rPr>
        <w:t xml:space="preserve">  </w:t>
      </w:r>
      <w:r>
        <w:rPr>
          <w:rFonts w:hint="eastAsia"/>
          <w:color w:val="auto"/>
          <w:lang w:eastAsia="zh-CN" w:bidi="ar"/>
        </w:rPr>
        <w:t>月</w:t>
      </w:r>
      <w:r>
        <w:rPr>
          <w:rFonts w:hint="eastAsia"/>
          <w:color w:val="auto"/>
          <w:u w:val="single"/>
          <w:lang w:val="en-US" w:eastAsia="zh-CN" w:bidi="ar"/>
        </w:rPr>
        <w:t xml:space="preserve">  </w:t>
      </w:r>
      <w:r>
        <w:rPr>
          <w:rFonts w:hint="eastAsia"/>
          <w:color w:val="auto"/>
          <w:lang w:eastAsia="zh-CN" w:bidi="ar"/>
        </w:rPr>
        <w:t>日</w:t>
      </w:r>
    </w:p>
    <w:p w14:paraId="15F7B267">
      <w:pPr>
        <w:spacing w:line="540" w:lineRule="exact"/>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经营期限：</w:t>
      </w:r>
    </w:p>
    <w:p w14:paraId="6081A8DC">
      <w:pPr>
        <w:spacing w:line="540" w:lineRule="exact"/>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姓名： 性别： 年龄：职务：</w:t>
      </w:r>
    </w:p>
    <w:p w14:paraId="6D367AB6">
      <w:pPr>
        <w:spacing w:line="540" w:lineRule="exact"/>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系 （投标人名称）的法定代表人。</w:t>
      </w:r>
    </w:p>
    <w:p w14:paraId="3B5E1654">
      <w:pPr>
        <w:spacing w:line="540" w:lineRule="exact"/>
        <w:ind w:firstLine="420" w:firstLineChars="200"/>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特此证明。</w:t>
      </w:r>
    </w:p>
    <w:p w14:paraId="4058BE57">
      <w:pPr>
        <w:spacing w:line="540" w:lineRule="exact"/>
        <w:rPr>
          <w:rFonts w:hint="eastAsia" w:asciiTheme="majorEastAsia" w:hAnsiTheme="majorEastAsia" w:eastAsiaTheme="majorEastAsia" w:cstheme="majorEastAsia"/>
          <w:color w:val="auto"/>
          <w:sz w:val="21"/>
          <w:szCs w:val="21"/>
        </w:rPr>
      </w:pPr>
    </w:p>
    <w:p w14:paraId="75FBD46A">
      <w:pPr>
        <w:spacing w:line="540" w:lineRule="exact"/>
        <w:rPr>
          <w:rFonts w:hint="eastAsia" w:asciiTheme="majorEastAsia" w:hAnsiTheme="majorEastAsia" w:eastAsiaTheme="majorEastAsia" w:cstheme="majorEastAsia"/>
          <w:color w:val="auto"/>
          <w:sz w:val="21"/>
          <w:szCs w:val="21"/>
        </w:rPr>
      </w:pPr>
    </w:p>
    <w:p w14:paraId="5CF6A158">
      <w:pPr>
        <w:spacing w:line="540" w:lineRule="exact"/>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附：法定代表人身份证（正、反面）复印件</w:t>
      </w:r>
    </w:p>
    <w:p w14:paraId="356DBD03">
      <w:pPr>
        <w:spacing w:line="540" w:lineRule="exact"/>
        <w:rPr>
          <w:rFonts w:hint="eastAsia" w:asciiTheme="majorEastAsia" w:hAnsiTheme="majorEastAsia" w:eastAsiaTheme="majorEastAsia" w:cstheme="majorEastAsia"/>
          <w:color w:val="auto"/>
          <w:sz w:val="21"/>
          <w:szCs w:val="21"/>
        </w:rPr>
      </w:pPr>
    </w:p>
    <w:p w14:paraId="60E3DD36">
      <w:pPr>
        <w:spacing w:line="540" w:lineRule="exact"/>
        <w:rPr>
          <w:rFonts w:hint="eastAsia" w:asciiTheme="majorEastAsia" w:hAnsiTheme="majorEastAsia" w:eastAsiaTheme="majorEastAsia" w:cstheme="majorEastAsia"/>
          <w:color w:val="auto"/>
          <w:sz w:val="21"/>
          <w:szCs w:val="21"/>
        </w:rPr>
      </w:pPr>
    </w:p>
    <w:p w14:paraId="6C0DA518">
      <w:pPr>
        <w:spacing w:line="540" w:lineRule="exact"/>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投标人：（公章）</w:t>
      </w:r>
    </w:p>
    <w:p w14:paraId="535AEC0A">
      <w:pPr>
        <w:spacing w:line="540" w:lineRule="exact"/>
        <w:rPr>
          <w:rFonts w:hint="eastAsia" w:asciiTheme="majorEastAsia" w:hAnsiTheme="majorEastAsia" w:eastAsiaTheme="majorEastAsia" w:cstheme="majorEastAsia"/>
          <w:bCs/>
          <w:color w:val="auto"/>
          <w:sz w:val="21"/>
          <w:szCs w:val="21"/>
        </w:rPr>
        <w:sectPr>
          <w:pgSz w:w="11906" w:h="16838"/>
          <w:pgMar w:top="1440" w:right="1800" w:bottom="1440" w:left="1800" w:header="1134" w:footer="1134" w:gutter="0"/>
          <w:pgNumType w:fmt="decimal"/>
          <w:cols w:space="720" w:num="1"/>
          <w:docGrid w:type="lines" w:linePitch="326" w:charSpace="0"/>
        </w:sectPr>
      </w:pPr>
      <w:r>
        <w:rPr>
          <w:rFonts w:hint="eastAsia" w:asciiTheme="majorEastAsia" w:hAnsiTheme="majorEastAsia" w:eastAsiaTheme="majorEastAsia" w:cstheme="majorEastAsia"/>
          <w:color w:val="auto"/>
          <w:sz w:val="21"/>
          <w:szCs w:val="21"/>
        </w:rPr>
        <w:t xml:space="preserve">年  月   日 </w:t>
      </w:r>
      <w:bookmarkStart w:id="64" w:name="_Toc7067"/>
    </w:p>
    <w:p w14:paraId="328B22E5">
      <w:pPr>
        <w:pStyle w:val="4"/>
        <w:bidi w:val="0"/>
        <w:rPr>
          <w:rFonts w:hint="eastAsia"/>
          <w:color w:val="auto"/>
        </w:rPr>
      </w:pPr>
      <w:bookmarkStart w:id="65" w:name="_Toc8794"/>
      <w:r>
        <w:rPr>
          <w:rFonts w:hint="eastAsia"/>
          <w:color w:val="auto"/>
        </w:rPr>
        <w:t>（二）法定代表人授权委托书</w:t>
      </w:r>
      <w:bookmarkEnd w:id="64"/>
      <w:bookmarkEnd w:id="65"/>
    </w:p>
    <w:p w14:paraId="39B9C41C">
      <w:pPr>
        <w:spacing w:line="540" w:lineRule="exact"/>
        <w:ind w:firstLine="105" w:firstLineChars="50"/>
        <w:rPr>
          <w:rFonts w:hint="eastAsia" w:asciiTheme="majorEastAsia" w:hAnsiTheme="majorEastAsia" w:eastAsiaTheme="majorEastAsia" w:cstheme="majorEastAsia"/>
          <w:color w:val="auto"/>
          <w:sz w:val="21"/>
          <w:szCs w:val="21"/>
          <w:u w:val="single"/>
        </w:rPr>
      </w:pPr>
    </w:p>
    <w:p w14:paraId="05BDD55D">
      <w:pPr>
        <w:tabs>
          <w:tab w:val="left" w:pos="6264"/>
        </w:tabs>
        <w:spacing w:line="276" w:lineRule="auto"/>
        <w:ind w:firstLine="480"/>
        <w:rPr>
          <w:color w:val="auto"/>
          <w:u w:val="single"/>
        </w:rPr>
      </w:pPr>
      <w:r>
        <w:rPr>
          <w:rFonts w:hint="eastAsia"/>
          <w:color w:val="auto"/>
          <w:lang w:bidi="ar"/>
        </w:rPr>
        <w:t>致</w:t>
      </w:r>
      <w:r>
        <w:rPr>
          <w:rFonts w:hint="eastAsia"/>
          <w:color w:val="auto"/>
          <w:u w:val="single"/>
          <w:lang w:bidi="ar"/>
        </w:rPr>
        <w:t>（</w:t>
      </w:r>
      <w:r>
        <w:rPr>
          <w:rFonts w:hint="eastAsia"/>
          <w:color w:val="auto"/>
          <w:u w:val="single"/>
          <w:lang w:val="en-US" w:eastAsia="zh-CN" w:bidi="ar"/>
        </w:rPr>
        <w:t>招标人</w:t>
      </w:r>
      <w:r>
        <w:rPr>
          <w:rFonts w:hint="eastAsia"/>
          <w:color w:val="auto"/>
          <w:u w:val="single"/>
          <w:lang w:bidi="ar"/>
        </w:rPr>
        <w:t>名称）</w:t>
      </w:r>
      <w:r>
        <w:rPr>
          <w:rFonts w:hint="eastAsia"/>
          <w:color w:val="auto"/>
          <w:lang w:bidi="ar"/>
        </w:rPr>
        <w:t>：</w:t>
      </w:r>
    </w:p>
    <w:p w14:paraId="06E18BEA">
      <w:pPr>
        <w:keepNext w:val="0"/>
        <w:keepLines w:val="0"/>
        <w:pageBreakBefore w:val="0"/>
        <w:widowControl w:val="0"/>
        <w:kinsoku/>
        <w:wordWrap w:val="0"/>
        <w:overflowPunct/>
        <w:topLinePunct/>
        <w:autoSpaceDE/>
        <w:autoSpaceDN/>
        <w:bidi w:val="0"/>
        <w:adjustRightInd/>
        <w:snapToGrid/>
        <w:spacing w:line="540" w:lineRule="exact"/>
        <w:ind w:firstLine="525" w:firstLineChars="250"/>
        <w:textAlignment w:val="auto"/>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兹授权</w:t>
      </w:r>
      <w:r>
        <w:rPr>
          <w:rFonts w:hint="eastAsia" w:asciiTheme="majorEastAsia" w:hAnsiTheme="majorEastAsia" w:eastAsiaTheme="majorEastAsia" w:cstheme="majorEastAsia"/>
          <w:color w:val="auto"/>
          <w:sz w:val="21"/>
          <w:szCs w:val="21"/>
          <w:u w:val="single"/>
          <w:lang w:val="en-US" w:eastAsia="zh-CN"/>
        </w:rPr>
        <w:t xml:space="preserve">    </w:t>
      </w:r>
      <w:r>
        <w:rPr>
          <w:rFonts w:hint="eastAsia" w:asciiTheme="majorEastAsia" w:hAnsiTheme="majorEastAsia" w:eastAsiaTheme="majorEastAsia" w:cstheme="majorEastAsia"/>
          <w:color w:val="auto"/>
          <w:sz w:val="21"/>
          <w:szCs w:val="21"/>
        </w:rPr>
        <w:t>同志为我公司参加贵单位组织的</w:t>
      </w:r>
      <w:r>
        <w:rPr>
          <w:rFonts w:hint="eastAsia" w:asciiTheme="majorEastAsia" w:hAnsiTheme="majorEastAsia" w:eastAsiaTheme="majorEastAsia" w:cstheme="majorEastAsia"/>
          <w:color w:val="auto"/>
          <w:sz w:val="21"/>
          <w:szCs w:val="21"/>
          <w:u w:val="single"/>
        </w:rPr>
        <w:t>（项目名称）</w:t>
      </w:r>
      <w:r>
        <w:rPr>
          <w:rFonts w:hint="eastAsia" w:asciiTheme="majorEastAsia" w:hAnsiTheme="majorEastAsia" w:eastAsiaTheme="majorEastAsia" w:cstheme="majorEastAsia"/>
          <w:color w:val="auto"/>
          <w:sz w:val="21"/>
          <w:szCs w:val="21"/>
        </w:rPr>
        <w:t>招标活动的投标代表人，全权代表我公司处理在该项目招标活动中的一切事宜。代理期限从</w:t>
      </w:r>
      <w:r>
        <w:rPr>
          <w:rFonts w:hint="eastAsia" w:asciiTheme="majorEastAsia" w:hAnsiTheme="majorEastAsia" w:eastAsiaTheme="majorEastAsia" w:cstheme="majorEastAsia"/>
          <w:color w:val="auto"/>
          <w:sz w:val="21"/>
          <w:szCs w:val="21"/>
          <w:u w:val="single"/>
          <w:lang w:val="en-US" w:eastAsia="zh-CN"/>
        </w:rPr>
        <w:t xml:space="preserve">   </w:t>
      </w:r>
      <w:r>
        <w:rPr>
          <w:rFonts w:hint="eastAsia" w:asciiTheme="majorEastAsia" w:hAnsiTheme="majorEastAsia" w:eastAsiaTheme="majorEastAsia" w:cstheme="majorEastAsia"/>
          <w:color w:val="auto"/>
          <w:sz w:val="21"/>
          <w:szCs w:val="21"/>
        </w:rPr>
        <w:t>年</w:t>
      </w:r>
      <w:r>
        <w:rPr>
          <w:rFonts w:hint="eastAsia" w:asciiTheme="majorEastAsia" w:hAnsiTheme="majorEastAsia" w:eastAsiaTheme="majorEastAsia" w:cstheme="majorEastAsia"/>
          <w:color w:val="auto"/>
          <w:sz w:val="21"/>
          <w:szCs w:val="21"/>
          <w:u w:val="single"/>
          <w:lang w:val="en-US" w:eastAsia="zh-CN"/>
        </w:rPr>
        <w:t xml:space="preserve">   </w:t>
      </w:r>
      <w:r>
        <w:rPr>
          <w:rFonts w:hint="eastAsia" w:asciiTheme="majorEastAsia" w:hAnsiTheme="majorEastAsia" w:eastAsiaTheme="majorEastAsia" w:cstheme="majorEastAsia"/>
          <w:color w:val="auto"/>
          <w:sz w:val="21"/>
          <w:szCs w:val="21"/>
        </w:rPr>
        <w:t>月</w:t>
      </w:r>
      <w:r>
        <w:rPr>
          <w:rFonts w:hint="eastAsia" w:asciiTheme="majorEastAsia" w:hAnsiTheme="majorEastAsia" w:eastAsiaTheme="majorEastAsia" w:cstheme="majorEastAsia"/>
          <w:color w:val="auto"/>
          <w:sz w:val="21"/>
          <w:szCs w:val="21"/>
          <w:u w:val="single"/>
          <w:lang w:val="en-US" w:eastAsia="zh-CN"/>
        </w:rPr>
        <w:t xml:space="preserve">   </w:t>
      </w:r>
      <w:r>
        <w:rPr>
          <w:rFonts w:hint="eastAsia" w:asciiTheme="majorEastAsia" w:hAnsiTheme="majorEastAsia" w:eastAsiaTheme="majorEastAsia" w:cstheme="majorEastAsia"/>
          <w:color w:val="auto"/>
          <w:sz w:val="21"/>
          <w:szCs w:val="21"/>
        </w:rPr>
        <w:t>日起至</w:t>
      </w:r>
      <w:r>
        <w:rPr>
          <w:rFonts w:hint="eastAsia" w:asciiTheme="majorEastAsia" w:hAnsiTheme="majorEastAsia" w:eastAsiaTheme="majorEastAsia" w:cstheme="majorEastAsia"/>
          <w:color w:val="auto"/>
          <w:sz w:val="21"/>
          <w:szCs w:val="21"/>
          <w:u w:val="single"/>
          <w:lang w:val="en-US" w:eastAsia="zh-CN"/>
        </w:rPr>
        <w:t xml:space="preserve">   </w:t>
      </w:r>
      <w:r>
        <w:rPr>
          <w:rFonts w:hint="eastAsia" w:asciiTheme="majorEastAsia" w:hAnsiTheme="majorEastAsia" w:eastAsiaTheme="majorEastAsia" w:cstheme="majorEastAsia"/>
          <w:color w:val="auto"/>
          <w:sz w:val="21"/>
          <w:szCs w:val="21"/>
        </w:rPr>
        <w:t>年</w:t>
      </w:r>
      <w:r>
        <w:rPr>
          <w:rFonts w:hint="eastAsia" w:asciiTheme="majorEastAsia" w:hAnsiTheme="majorEastAsia" w:eastAsiaTheme="majorEastAsia" w:cstheme="majorEastAsia"/>
          <w:color w:val="auto"/>
          <w:sz w:val="21"/>
          <w:szCs w:val="21"/>
          <w:u w:val="single"/>
          <w:lang w:val="en-US" w:eastAsia="zh-CN"/>
        </w:rPr>
        <w:t xml:space="preserve">  </w:t>
      </w:r>
      <w:r>
        <w:rPr>
          <w:rFonts w:hint="eastAsia" w:asciiTheme="majorEastAsia" w:hAnsiTheme="majorEastAsia" w:eastAsiaTheme="majorEastAsia" w:cstheme="majorEastAsia"/>
          <w:color w:val="auto"/>
          <w:sz w:val="21"/>
          <w:szCs w:val="21"/>
        </w:rPr>
        <w:t>月</w:t>
      </w:r>
      <w:r>
        <w:rPr>
          <w:rFonts w:hint="eastAsia" w:asciiTheme="majorEastAsia" w:hAnsiTheme="majorEastAsia" w:eastAsiaTheme="majorEastAsia" w:cstheme="majorEastAsia"/>
          <w:color w:val="auto"/>
          <w:sz w:val="21"/>
          <w:szCs w:val="21"/>
          <w:u w:val="single"/>
          <w:lang w:val="en-US" w:eastAsia="zh-CN"/>
        </w:rPr>
        <w:t xml:space="preserve">  </w:t>
      </w:r>
      <w:r>
        <w:rPr>
          <w:rFonts w:hint="eastAsia" w:asciiTheme="majorEastAsia" w:hAnsiTheme="majorEastAsia" w:eastAsiaTheme="majorEastAsia" w:cstheme="majorEastAsia"/>
          <w:color w:val="auto"/>
          <w:sz w:val="21"/>
          <w:szCs w:val="21"/>
        </w:rPr>
        <w:t xml:space="preserve">日止。 </w:t>
      </w:r>
    </w:p>
    <w:p w14:paraId="12AA303D">
      <w:pPr>
        <w:spacing w:line="540" w:lineRule="exact"/>
        <w:rPr>
          <w:rFonts w:hint="eastAsia" w:asciiTheme="majorEastAsia" w:hAnsiTheme="majorEastAsia" w:eastAsiaTheme="majorEastAsia" w:cstheme="majorEastAsia"/>
          <w:color w:val="auto"/>
          <w:sz w:val="21"/>
          <w:szCs w:val="21"/>
        </w:rPr>
      </w:pPr>
    </w:p>
    <w:p w14:paraId="4586D4C4">
      <w:pPr>
        <w:spacing w:line="540" w:lineRule="exact"/>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授权单位（公章）：</w:t>
      </w:r>
    </w:p>
    <w:p w14:paraId="0F04A70B">
      <w:pPr>
        <w:spacing w:line="540" w:lineRule="exact"/>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法定代表人（签字或盖章）：</w:t>
      </w:r>
    </w:p>
    <w:p w14:paraId="70518DFF">
      <w:pPr>
        <w:spacing w:line="540" w:lineRule="exact"/>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签发日期：</w:t>
      </w:r>
      <w:r>
        <w:rPr>
          <w:rFonts w:hint="eastAsia" w:asciiTheme="majorEastAsia" w:hAnsiTheme="majorEastAsia" w:eastAsiaTheme="majorEastAsia" w:cstheme="majorEastAsia"/>
          <w:color w:val="auto"/>
          <w:sz w:val="21"/>
          <w:szCs w:val="21"/>
          <w:u w:val="single"/>
          <w:lang w:val="en-US" w:eastAsia="zh-CN"/>
        </w:rPr>
        <w:t xml:space="preserve">  </w:t>
      </w:r>
      <w:r>
        <w:rPr>
          <w:rFonts w:hint="eastAsia" w:asciiTheme="majorEastAsia" w:hAnsiTheme="majorEastAsia" w:eastAsiaTheme="majorEastAsia" w:cstheme="majorEastAsia"/>
          <w:color w:val="auto"/>
          <w:sz w:val="21"/>
          <w:szCs w:val="21"/>
        </w:rPr>
        <w:t>年</w:t>
      </w:r>
      <w:r>
        <w:rPr>
          <w:rFonts w:hint="eastAsia" w:asciiTheme="majorEastAsia" w:hAnsiTheme="majorEastAsia" w:eastAsiaTheme="majorEastAsia" w:cstheme="majorEastAsia"/>
          <w:color w:val="auto"/>
          <w:sz w:val="21"/>
          <w:szCs w:val="21"/>
          <w:u w:val="single"/>
          <w:lang w:val="en-US" w:eastAsia="zh-CN"/>
        </w:rPr>
        <w:t xml:space="preserve">  </w:t>
      </w:r>
      <w:r>
        <w:rPr>
          <w:rFonts w:hint="eastAsia" w:asciiTheme="majorEastAsia" w:hAnsiTheme="majorEastAsia" w:eastAsiaTheme="majorEastAsia" w:cstheme="majorEastAsia"/>
          <w:color w:val="auto"/>
          <w:sz w:val="21"/>
          <w:szCs w:val="21"/>
        </w:rPr>
        <w:t>月</w:t>
      </w:r>
      <w:r>
        <w:rPr>
          <w:rFonts w:hint="eastAsia" w:asciiTheme="majorEastAsia" w:hAnsiTheme="majorEastAsia" w:eastAsiaTheme="majorEastAsia" w:cstheme="majorEastAsia"/>
          <w:color w:val="auto"/>
          <w:sz w:val="21"/>
          <w:szCs w:val="21"/>
          <w:u w:val="single"/>
          <w:lang w:val="en-US" w:eastAsia="zh-CN"/>
        </w:rPr>
        <w:t xml:space="preserve">  </w:t>
      </w:r>
      <w:r>
        <w:rPr>
          <w:rFonts w:hint="eastAsia" w:asciiTheme="majorEastAsia" w:hAnsiTheme="majorEastAsia" w:eastAsiaTheme="majorEastAsia" w:cstheme="majorEastAsia"/>
          <w:color w:val="auto"/>
          <w:sz w:val="21"/>
          <w:szCs w:val="21"/>
        </w:rPr>
        <w:t>日</w:t>
      </w:r>
    </w:p>
    <w:p w14:paraId="1CD1AD0D">
      <w:pPr>
        <w:spacing w:line="540" w:lineRule="exact"/>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附：代理人工作单位：</w:t>
      </w:r>
    </w:p>
    <w:p w14:paraId="1748A04E">
      <w:pPr>
        <w:spacing w:line="540" w:lineRule="exact"/>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职务：      性别：</w:t>
      </w:r>
    </w:p>
    <w:p w14:paraId="3BB8D649">
      <w:pPr>
        <w:spacing w:line="540" w:lineRule="exact"/>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身份证号码：</w:t>
      </w:r>
    </w:p>
    <w:p w14:paraId="37A838C0">
      <w:pPr>
        <w:adjustRightInd w:val="0"/>
        <w:snapToGrid w:val="0"/>
        <w:spacing w:line="540" w:lineRule="exact"/>
        <w:ind w:left="-88" w:leftChars="-42" w:firstLine="525" w:firstLineChars="250"/>
        <w:rPr>
          <w:rFonts w:hint="eastAsia" w:asciiTheme="majorEastAsia" w:hAnsiTheme="majorEastAsia" w:eastAsiaTheme="majorEastAsia" w:cstheme="majorEastAsia"/>
          <w:color w:val="auto"/>
          <w:sz w:val="21"/>
          <w:szCs w:val="21"/>
          <w:u w:val="single"/>
        </w:rPr>
      </w:pPr>
    </w:p>
    <w:tbl>
      <w:tblPr>
        <w:tblStyle w:val="15"/>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91"/>
        <w:gridCol w:w="4091"/>
      </w:tblGrid>
      <w:tr w14:paraId="09131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2" w:hRule="atLeast"/>
        </w:trPr>
        <w:tc>
          <w:tcPr>
            <w:tcW w:w="4091" w:type="dxa"/>
          </w:tcPr>
          <w:p w14:paraId="3697402E">
            <w:pPr>
              <w:spacing w:line="540" w:lineRule="exact"/>
              <w:rPr>
                <w:rFonts w:hint="eastAsia" w:asciiTheme="majorEastAsia" w:hAnsiTheme="majorEastAsia" w:eastAsiaTheme="majorEastAsia" w:cstheme="majorEastAsia"/>
                <w:bCs/>
                <w:color w:val="auto"/>
                <w:sz w:val="21"/>
                <w:szCs w:val="21"/>
              </w:rPr>
            </w:pPr>
            <w:r>
              <w:rPr>
                <w:rFonts w:hint="eastAsia" w:asciiTheme="majorEastAsia" w:hAnsiTheme="majorEastAsia" w:eastAsiaTheme="majorEastAsia" w:cstheme="majorEastAsia"/>
                <w:bCs/>
                <w:color w:val="auto"/>
                <w:sz w:val="21"/>
                <w:szCs w:val="21"/>
              </w:rPr>
              <w:t>粘贴法人身份证正</w:t>
            </w:r>
            <w:r>
              <w:rPr>
                <w:rFonts w:hint="eastAsia" w:asciiTheme="majorEastAsia" w:hAnsiTheme="majorEastAsia" w:eastAsiaTheme="majorEastAsia" w:cstheme="majorEastAsia"/>
                <w:bCs/>
                <w:color w:val="auto"/>
                <w:sz w:val="21"/>
                <w:szCs w:val="21"/>
                <w:lang w:eastAsia="zh-CN"/>
              </w:rPr>
              <w:t>反</w:t>
            </w:r>
            <w:r>
              <w:rPr>
                <w:rFonts w:hint="eastAsia" w:asciiTheme="majorEastAsia" w:hAnsiTheme="majorEastAsia" w:eastAsiaTheme="majorEastAsia" w:cstheme="majorEastAsia"/>
                <w:bCs/>
                <w:color w:val="auto"/>
                <w:sz w:val="21"/>
                <w:szCs w:val="21"/>
              </w:rPr>
              <w:t>面（复印件）</w:t>
            </w:r>
          </w:p>
        </w:tc>
        <w:tc>
          <w:tcPr>
            <w:tcW w:w="4091" w:type="dxa"/>
          </w:tcPr>
          <w:p w14:paraId="628D67C0">
            <w:pPr>
              <w:spacing w:line="540" w:lineRule="exact"/>
              <w:rPr>
                <w:rFonts w:hint="eastAsia" w:asciiTheme="majorEastAsia" w:hAnsiTheme="majorEastAsia" w:eastAsiaTheme="majorEastAsia" w:cstheme="majorEastAsia"/>
                <w:bCs/>
                <w:color w:val="auto"/>
                <w:sz w:val="21"/>
                <w:szCs w:val="21"/>
              </w:rPr>
            </w:pPr>
            <w:r>
              <w:rPr>
                <w:rFonts w:hint="eastAsia" w:asciiTheme="majorEastAsia" w:hAnsiTheme="majorEastAsia" w:eastAsiaTheme="majorEastAsia" w:cstheme="majorEastAsia"/>
                <w:bCs/>
                <w:color w:val="auto"/>
                <w:sz w:val="21"/>
                <w:szCs w:val="21"/>
              </w:rPr>
              <w:t>粘贴被授权人身份证正</w:t>
            </w:r>
            <w:r>
              <w:rPr>
                <w:rFonts w:hint="eastAsia" w:asciiTheme="majorEastAsia" w:hAnsiTheme="majorEastAsia" w:eastAsiaTheme="majorEastAsia" w:cstheme="majorEastAsia"/>
                <w:bCs/>
                <w:color w:val="auto"/>
                <w:sz w:val="21"/>
                <w:szCs w:val="21"/>
                <w:lang w:eastAsia="zh-CN"/>
              </w:rPr>
              <w:t>反</w:t>
            </w:r>
            <w:r>
              <w:rPr>
                <w:rFonts w:hint="eastAsia" w:asciiTheme="majorEastAsia" w:hAnsiTheme="majorEastAsia" w:eastAsiaTheme="majorEastAsia" w:cstheme="majorEastAsia"/>
                <w:bCs/>
                <w:color w:val="auto"/>
                <w:sz w:val="21"/>
                <w:szCs w:val="21"/>
              </w:rPr>
              <w:t>面（复印件）</w:t>
            </w:r>
          </w:p>
        </w:tc>
      </w:tr>
    </w:tbl>
    <w:p w14:paraId="11510567">
      <w:pPr>
        <w:rPr>
          <w:rFonts w:hint="eastAsia" w:asciiTheme="majorEastAsia" w:hAnsiTheme="majorEastAsia" w:eastAsiaTheme="majorEastAsia" w:cstheme="majorEastAsia"/>
          <w:color w:val="auto"/>
          <w:sz w:val="21"/>
          <w:szCs w:val="21"/>
        </w:rPr>
      </w:pPr>
      <w:bookmarkStart w:id="66" w:name="_Toc451864452"/>
    </w:p>
    <w:p w14:paraId="6D67D5C9">
      <w:pPr>
        <w:rPr>
          <w:rFonts w:hint="eastAsia" w:asciiTheme="majorEastAsia" w:hAnsiTheme="majorEastAsia" w:eastAsiaTheme="majorEastAsia" w:cstheme="majorEastAsia"/>
          <w:color w:val="auto"/>
          <w:sz w:val="21"/>
          <w:szCs w:val="21"/>
        </w:rPr>
      </w:pPr>
    </w:p>
    <w:p w14:paraId="77D12527">
      <w:pPr>
        <w:rPr>
          <w:rFonts w:hint="eastAsia" w:asciiTheme="majorEastAsia" w:hAnsiTheme="majorEastAsia" w:eastAsiaTheme="majorEastAsia" w:cstheme="majorEastAsia"/>
          <w:color w:val="auto"/>
          <w:sz w:val="21"/>
          <w:szCs w:val="21"/>
        </w:rPr>
      </w:pPr>
    </w:p>
    <w:bookmarkEnd w:id="66"/>
    <w:p w14:paraId="67FBA8F1">
      <w:pPr>
        <w:bidi w:val="0"/>
        <w:rPr>
          <w:rFonts w:hint="default"/>
          <w:color w:val="auto"/>
          <w:lang w:val="en-US" w:eastAsia="zh-CN"/>
        </w:rPr>
      </w:pPr>
      <w:bookmarkStart w:id="67" w:name="_Toc5171"/>
    </w:p>
    <w:p w14:paraId="0F5DB78C">
      <w:pPr>
        <w:bidi w:val="0"/>
        <w:rPr>
          <w:rFonts w:hint="default"/>
          <w:color w:val="auto"/>
          <w:lang w:val="en-US" w:eastAsia="zh-CN"/>
        </w:rPr>
      </w:pPr>
    </w:p>
    <w:p w14:paraId="378BE272">
      <w:pPr>
        <w:bidi w:val="0"/>
        <w:rPr>
          <w:rFonts w:hint="default"/>
          <w:color w:val="auto"/>
          <w:lang w:val="en-US" w:eastAsia="zh-CN"/>
        </w:rPr>
      </w:pPr>
    </w:p>
    <w:p w14:paraId="51C07F42">
      <w:pPr>
        <w:bidi w:val="0"/>
        <w:rPr>
          <w:rFonts w:hint="eastAsia"/>
          <w:color w:val="auto"/>
          <w:lang w:val="en-US" w:eastAsia="zh-CN"/>
        </w:rPr>
      </w:pPr>
    </w:p>
    <w:p w14:paraId="58306E2F">
      <w:pPr>
        <w:bidi w:val="0"/>
        <w:rPr>
          <w:rFonts w:hint="eastAsia"/>
          <w:color w:val="auto"/>
          <w:lang w:val="en-US" w:eastAsia="zh-CN"/>
        </w:rPr>
      </w:pPr>
    </w:p>
    <w:p w14:paraId="1E71E39E">
      <w:pPr>
        <w:pStyle w:val="3"/>
        <w:bidi w:val="0"/>
        <w:rPr>
          <w:rFonts w:hint="eastAsia"/>
          <w:color w:val="auto"/>
        </w:rPr>
      </w:pPr>
      <w:r>
        <w:rPr>
          <w:rFonts w:hint="eastAsia"/>
          <w:color w:val="auto"/>
          <w:lang w:val="en-US" w:eastAsia="zh-CN"/>
        </w:rPr>
        <w:t>四、</w:t>
      </w:r>
      <w:r>
        <w:rPr>
          <w:rFonts w:hint="eastAsia"/>
          <w:color w:val="auto"/>
        </w:rPr>
        <w:t>投标人的基本情况表</w:t>
      </w:r>
      <w:bookmarkEnd w:id="67"/>
    </w:p>
    <w:p w14:paraId="1D837B1A">
      <w:pPr>
        <w:spacing w:line="540" w:lineRule="exact"/>
        <w:rPr>
          <w:rFonts w:hint="eastAsia" w:asciiTheme="majorEastAsia" w:hAnsiTheme="majorEastAsia" w:eastAsiaTheme="majorEastAsia" w:cstheme="majorEastAsia"/>
          <w:color w:val="auto"/>
          <w:sz w:val="21"/>
          <w:szCs w:val="21"/>
        </w:rPr>
      </w:pPr>
    </w:p>
    <w:p w14:paraId="6A4FDFF7">
      <w:pPr>
        <w:spacing w:line="540" w:lineRule="exact"/>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1、名称及基本情况：</w:t>
      </w:r>
    </w:p>
    <w:p w14:paraId="6EA4C02D">
      <w:pPr>
        <w:spacing w:line="540" w:lineRule="exact"/>
        <w:ind w:firstLine="210" w:firstLineChars="100"/>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（1）投标人名称：</w:t>
      </w:r>
    </w:p>
    <w:p w14:paraId="60769504">
      <w:pPr>
        <w:spacing w:line="540" w:lineRule="exact"/>
        <w:ind w:firstLine="210" w:firstLineChars="100"/>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（2）地址：     邮编：</w:t>
      </w:r>
    </w:p>
    <w:p w14:paraId="7CD92086">
      <w:pPr>
        <w:spacing w:line="540" w:lineRule="exact"/>
        <w:ind w:firstLine="735" w:firstLineChars="350"/>
        <w:rPr>
          <w:rFonts w:hint="eastAsia" w:asciiTheme="majorEastAsia" w:hAnsiTheme="majorEastAsia" w:eastAsiaTheme="majorEastAsia" w:cstheme="majorEastAsia"/>
          <w:color w:val="auto"/>
          <w:sz w:val="21"/>
          <w:szCs w:val="21"/>
          <w:u w:val="single"/>
        </w:rPr>
      </w:pPr>
      <w:r>
        <w:rPr>
          <w:rFonts w:hint="eastAsia" w:asciiTheme="majorEastAsia" w:hAnsiTheme="majorEastAsia" w:eastAsiaTheme="majorEastAsia" w:cstheme="majorEastAsia"/>
          <w:color w:val="auto"/>
          <w:sz w:val="21"/>
          <w:szCs w:val="21"/>
        </w:rPr>
        <w:t>电话：     传真：</w:t>
      </w:r>
    </w:p>
    <w:p w14:paraId="55C2FDAF">
      <w:pPr>
        <w:spacing w:line="540" w:lineRule="exact"/>
        <w:ind w:firstLine="210" w:firstLineChars="100"/>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（3）成立或注册日期：</w:t>
      </w:r>
    </w:p>
    <w:p w14:paraId="24E8A13F">
      <w:pPr>
        <w:spacing w:line="540" w:lineRule="exact"/>
        <w:ind w:firstLine="210" w:firstLineChars="100"/>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（4）单位性质：</w:t>
      </w:r>
    </w:p>
    <w:p w14:paraId="26E2055E">
      <w:pPr>
        <w:spacing w:line="540" w:lineRule="exact"/>
        <w:ind w:firstLine="210" w:firstLineChars="100"/>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（5）法定代表人或主要负责人：</w:t>
      </w:r>
    </w:p>
    <w:p w14:paraId="6A7A7AF0">
      <w:pPr>
        <w:spacing w:line="540" w:lineRule="exact"/>
        <w:ind w:firstLine="210" w:firstLineChars="100"/>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（6）员工人数：</w:t>
      </w:r>
    </w:p>
    <w:p w14:paraId="4D801C99">
      <w:pPr>
        <w:spacing w:line="540" w:lineRule="exact"/>
        <w:ind w:firstLine="210" w:firstLineChars="100"/>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（7）注册资本：</w:t>
      </w:r>
    </w:p>
    <w:p w14:paraId="5ECA1793">
      <w:pPr>
        <w:spacing w:line="540" w:lineRule="exact"/>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2、兹证明上述声明是真实的、正确的，并提供了全部能提供的资料和数据，我们同意遵照代理机构要求出示有关证明文件。</w:t>
      </w:r>
    </w:p>
    <w:p w14:paraId="424B59C0">
      <w:pPr>
        <w:spacing w:line="540" w:lineRule="exact"/>
        <w:rPr>
          <w:rFonts w:hint="eastAsia" w:asciiTheme="majorEastAsia" w:hAnsiTheme="majorEastAsia" w:eastAsiaTheme="majorEastAsia" w:cstheme="majorEastAsia"/>
          <w:color w:val="auto"/>
          <w:sz w:val="21"/>
          <w:szCs w:val="21"/>
        </w:rPr>
      </w:pPr>
    </w:p>
    <w:p w14:paraId="32DA0544">
      <w:pPr>
        <w:spacing w:line="540" w:lineRule="exact"/>
        <w:ind w:firstLine="480"/>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投标人名称(公章)：</w:t>
      </w:r>
    </w:p>
    <w:p w14:paraId="310AEC54">
      <w:pPr>
        <w:spacing w:line="540" w:lineRule="exact"/>
        <w:ind w:firstLine="480"/>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lang w:eastAsia="zh-CN"/>
        </w:rPr>
        <w:t>法人代表签字</w:t>
      </w:r>
      <w:r>
        <w:rPr>
          <w:rFonts w:hint="eastAsia" w:asciiTheme="majorEastAsia" w:hAnsiTheme="majorEastAsia" w:eastAsiaTheme="majorEastAsia" w:cstheme="majorEastAsia"/>
          <w:color w:val="auto"/>
          <w:sz w:val="21"/>
          <w:szCs w:val="21"/>
        </w:rPr>
        <w:t>（或盖章）：</w:t>
      </w:r>
    </w:p>
    <w:p w14:paraId="4E01EFD4">
      <w:pPr>
        <w:spacing w:line="540" w:lineRule="exact"/>
        <w:ind w:firstLine="480"/>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电      话：</w:t>
      </w:r>
    </w:p>
    <w:p w14:paraId="2E3F1406">
      <w:pPr>
        <w:spacing w:line="540" w:lineRule="exact"/>
        <w:ind w:firstLine="480"/>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传      真：</w:t>
      </w:r>
    </w:p>
    <w:p w14:paraId="1CE95DAF">
      <w:pPr>
        <w:autoSpaceDE w:val="0"/>
        <w:autoSpaceDN w:val="0"/>
        <w:spacing w:line="540" w:lineRule="exact"/>
        <w:ind w:firstLine="480"/>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日      期：</w:t>
      </w:r>
      <w:r>
        <w:rPr>
          <w:rFonts w:hint="eastAsia" w:asciiTheme="majorEastAsia" w:hAnsiTheme="majorEastAsia" w:eastAsiaTheme="majorEastAsia" w:cstheme="majorEastAsia"/>
          <w:color w:val="auto"/>
          <w:sz w:val="21"/>
          <w:szCs w:val="21"/>
          <w:u w:val="single"/>
          <w:lang w:val="en-US" w:eastAsia="zh-CN"/>
        </w:rPr>
        <w:t xml:space="preserve">  </w:t>
      </w:r>
      <w:r>
        <w:rPr>
          <w:rFonts w:hint="eastAsia" w:asciiTheme="majorEastAsia" w:hAnsiTheme="majorEastAsia" w:eastAsiaTheme="majorEastAsia" w:cstheme="majorEastAsia"/>
          <w:color w:val="auto"/>
          <w:sz w:val="21"/>
          <w:szCs w:val="21"/>
        </w:rPr>
        <w:t>年</w:t>
      </w:r>
      <w:r>
        <w:rPr>
          <w:rFonts w:hint="eastAsia" w:asciiTheme="majorEastAsia" w:hAnsiTheme="majorEastAsia" w:eastAsiaTheme="majorEastAsia" w:cstheme="majorEastAsia"/>
          <w:color w:val="auto"/>
          <w:sz w:val="21"/>
          <w:szCs w:val="21"/>
          <w:u w:val="single"/>
          <w:lang w:val="en-US" w:eastAsia="zh-CN"/>
        </w:rPr>
        <w:t xml:space="preserve">  </w:t>
      </w:r>
      <w:r>
        <w:rPr>
          <w:rFonts w:hint="eastAsia" w:asciiTheme="majorEastAsia" w:hAnsiTheme="majorEastAsia" w:eastAsiaTheme="majorEastAsia" w:cstheme="majorEastAsia"/>
          <w:color w:val="auto"/>
          <w:sz w:val="21"/>
          <w:szCs w:val="21"/>
        </w:rPr>
        <w:t>月</w:t>
      </w:r>
      <w:r>
        <w:rPr>
          <w:rFonts w:hint="eastAsia" w:asciiTheme="majorEastAsia" w:hAnsiTheme="majorEastAsia" w:eastAsiaTheme="majorEastAsia" w:cstheme="majorEastAsia"/>
          <w:color w:val="auto"/>
          <w:sz w:val="21"/>
          <w:szCs w:val="21"/>
          <w:u w:val="single"/>
          <w:lang w:val="en-US" w:eastAsia="zh-CN"/>
        </w:rPr>
        <w:t xml:space="preserve">  </w:t>
      </w:r>
      <w:r>
        <w:rPr>
          <w:rFonts w:hint="eastAsia" w:asciiTheme="majorEastAsia" w:hAnsiTheme="majorEastAsia" w:eastAsiaTheme="majorEastAsia" w:cstheme="majorEastAsia"/>
          <w:color w:val="auto"/>
          <w:sz w:val="21"/>
          <w:szCs w:val="21"/>
        </w:rPr>
        <w:t xml:space="preserve">日 </w:t>
      </w:r>
    </w:p>
    <w:p w14:paraId="6F285F6D">
      <w:pPr>
        <w:jc w:val="center"/>
        <w:rPr>
          <w:rFonts w:hint="eastAsia" w:asciiTheme="majorEastAsia" w:hAnsiTheme="majorEastAsia" w:eastAsiaTheme="majorEastAsia" w:cstheme="majorEastAsia"/>
          <w:b/>
          <w:iCs/>
          <w:color w:val="auto"/>
          <w:sz w:val="21"/>
          <w:szCs w:val="21"/>
        </w:rPr>
      </w:pPr>
      <w:bookmarkStart w:id="68" w:name="_Toc451864453"/>
      <w:bookmarkStart w:id="69" w:name="_Toc437519988"/>
      <w:bookmarkStart w:id="70" w:name="_Toc423697137"/>
    </w:p>
    <w:p w14:paraId="4944036D">
      <w:pPr>
        <w:jc w:val="center"/>
        <w:rPr>
          <w:rFonts w:hint="eastAsia" w:asciiTheme="majorEastAsia" w:hAnsiTheme="majorEastAsia" w:eastAsiaTheme="majorEastAsia" w:cstheme="majorEastAsia"/>
          <w:b/>
          <w:iCs/>
          <w:color w:val="auto"/>
          <w:sz w:val="21"/>
          <w:szCs w:val="21"/>
        </w:rPr>
      </w:pPr>
    </w:p>
    <w:p w14:paraId="14D1D29B">
      <w:pPr>
        <w:jc w:val="center"/>
        <w:rPr>
          <w:rFonts w:hint="eastAsia" w:asciiTheme="majorEastAsia" w:hAnsiTheme="majorEastAsia" w:eastAsiaTheme="majorEastAsia" w:cstheme="majorEastAsia"/>
          <w:b/>
          <w:iCs/>
          <w:color w:val="auto"/>
          <w:sz w:val="21"/>
          <w:szCs w:val="21"/>
        </w:rPr>
      </w:pPr>
    </w:p>
    <w:p w14:paraId="3933978D">
      <w:pPr>
        <w:pStyle w:val="29"/>
        <w:rPr>
          <w:rFonts w:hint="eastAsia" w:asciiTheme="majorEastAsia" w:hAnsiTheme="majorEastAsia" w:eastAsiaTheme="majorEastAsia" w:cstheme="majorEastAsia"/>
          <w:b/>
          <w:iCs/>
          <w:color w:val="auto"/>
          <w:sz w:val="21"/>
          <w:szCs w:val="21"/>
        </w:rPr>
      </w:pPr>
    </w:p>
    <w:p w14:paraId="1DE979A2">
      <w:pPr>
        <w:pStyle w:val="29"/>
        <w:rPr>
          <w:rFonts w:hint="eastAsia" w:asciiTheme="majorEastAsia" w:hAnsiTheme="majorEastAsia" w:eastAsiaTheme="majorEastAsia" w:cstheme="majorEastAsia"/>
          <w:b/>
          <w:iCs/>
          <w:color w:val="auto"/>
          <w:sz w:val="21"/>
          <w:szCs w:val="21"/>
        </w:rPr>
      </w:pPr>
    </w:p>
    <w:p w14:paraId="577E8A44">
      <w:pPr>
        <w:pStyle w:val="29"/>
        <w:rPr>
          <w:rFonts w:hint="eastAsia" w:asciiTheme="majorEastAsia" w:hAnsiTheme="majorEastAsia" w:eastAsiaTheme="majorEastAsia" w:cstheme="majorEastAsia"/>
          <w:b/>
          <w:iCs/>
          <w:color w:val="auto"/>
          <w:sz w:val="21"/>
          <w:szCs w:val="21"/>
        </w:rPr>
      </w:pPr>
    </w:p>
    <w:p w14:paraId="7EF49953">
      <w:pPr>
        <w:pStyle w:val="29"/>
        <w:rPr>
          <w:rFonts w:hint="eastAsia" w:asciiTheme="majorEastAsia" w:hAnsiTheme="majorEastAsia" w:eastAsiaTheme="majorEastAsia" w:cstheme="majorEastAsia"/>
          <w:b/>
          <w:iCs/>
          <w:color w:val="auto"/>
          <w:sz w:val="21"/>
          <w:szCs w:val="21"/>
        </w:rPr>
      </w:pPr>
    </w:p>
    <w:bookmarkEnd w:id="68"/>
    <w:bookmarkEnd w:id="69"/>
    <w:bookmarkEnd w:id="70"/>
    <w:p w14:paraId="237601A1">
      <w:pPr>
        <w:pStyle w:val="3"/>
        <w:bidi w:val="0"/>
        <w:rPr>
          <w:rFonts w:hint="eastAsia"/>
          <w:color w:val="auto"/>
        </w:rPr>
      </w:pPr>
      <w:bookmarkStart w:id="71" w:name="_Toc22749"/>
      <w:bookmarkStart w:id="72" w:name="_Toc856905"/>
      <w:bookmarkStart w:id="73" w:name="_Toc927365"/>
      <w:r>
        <w:rPr>
          <w:rFonts w:hint="eastAsia"/>
          <w:color w:val="auto"/>
          <w:lang w:val="en-US" w:eastAsia="zh-CN"/>
        </w:rPr>
        <w:t>五、</w:t>
      </w:r>
      <w:r>
        <w:rPr>
          <w:rFonts w:hint="eastAsia"/>
          <w:color w:val="auto"/>
        </w:rPr>
        <w:t>资格及符合性响应情况</w:t>
      </w:r>
    </w:p>
    <w:p w14:paraId="59E0FF7E">
      <w:pPr>
        <w:pStyle w:val="4"/>
        <w:bidi w:val="0"/>
        <w:rPr>
          <w:rFonts w:hint="eastAsia"/>
          <w:color w:val="auto"/>
          <w:lang w:val="en-US" w:eastAsia="zh-CN"/>
        </w:rPr>
      </w:pPr>
      <w:r>
        <w:rPr>
          <w:rFonts w:hint="eastAsia"/>
          <w:color w:val="auto"/>
        </w:rPr>
        <w:t>（一）</w:t>
      </w:r>
      <w:r>
        <w:rPr>
          <w:rFonts w:hint="eastAsia"/>
          <w:color w:val="auto"/>
          <w:lang w:val="en-US" w:eastAsia="zh-CN"/>
        </w:rPr>
        <w:t>基本资格条件承诺函</w:t>
      </w:r>
    </w:p>
    <w:p w14:paraId="5AA9C0D4">
      <w:pPr>
        <w:tabs>
          <w:tab w:val="left" w:pos="6264"/>
        </w:tabs>
        <w:spacing w:line="276" w:lineRule="auto"/>
        <w:ind w:firstLine="480"/>
        <w:rPr>
          <w:color w:val="auto"/>
          <w:u w:val="single"/>
        </w:rPr>
      </w:pPr>
      <w:r>
        <w:rPr>
          <w:rFonts w:hint="eastAsia"/>
          <w:color w:val="auto"/>
          <w:lang w:bidi="ar"/>
        </w:rPr>
        <w:t>致</w:t>
      </w:r>
      <w:r>
        <w:rPr>
          <w:rFonts w:hint="eastAsia"/>
          <w:color w:val="auto"/>
          <w:u w:val="single"/>
          <w:lang w:bidi="ar"/>
        </w:rPr>
        <w:t>（</w:t>
      </w:r>
      <w:r>
        <w:rPr>
          <w:rFonts w:hint="eastAsia"/>
          <w:color w:val="auto"/>
          <w:u w:val="single"/>
          <w:lang w:val="en-US" w:eastAsia="zh-CN" w:bidi="ar"/>
        </w:rPr>
        <w:t>招标人</w:t>
      </w:r>
      <w:r>
        <w:rPr>
          <w:rFonts w:hint="eastAsia"/>
          <w:color w:val="auto"/>
          <w:u w:val="single"/>
          <w:lang w:bidi="ar"/>
        </w:rPr>
        <w:t>名称）</w:t>
      </w:r>
      <w:r>
        <w:rPr>
          <w:rFonts w:hint="eastAsia"/>
          <w:color w:val="auto"/>
          <w:lang w:bidi="ar"/>
        </w:rPr>
        <w:t>：</w:t>
      </w:r>
    </w:p>
    <w:p w14:paraId="4A8889D5">
      <w:pPr>
        <w:keepNext w:val="0"/>
        <w:keepLines w:val="0"/>
        <w:pageBreakBefore w:val="0"/>
        <w:widowControl w:val="0"/>
        <w:kinsoku/>
        <w:wordWrap/>
        <w:overflowPunct/>
        <w:topLinePunct w:val="0"/>
        <w:autoSpaceDE/>
        <w:autoSpaceDN/>
        <w:bidi w:val="0"/>
        <w:adjustRightInd/>
        <w:snapToGrid/>
        <w:spacing w:line="480" w:lineRule="auto"/>
        <w:ind w:firstLine="420" w:firstLineChars="200"/>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u w:val="single"/>
          <w:lang w:val="en-US" w:eastAsia="zh-CN"/>
        </w:rPr>
        <w:t>(投标人名称)</w:t>
      </w:r>
      <w:r>
        <w:rPr>
          <w:rFonts w:hint="eastAsia" w:asciiTheme="majorEastAsia" w:hAnsiTheme="majorEastAsia" w:eastAsiaTheme="majorEastAsia" w:cstheme="majorEastAsia"/>
          <w:color w:val="auto"/>
          <w:sz w:val="21"/>
          <w:szCs w:val="21"/>
          <w:lang w:val="en-US" w:eastAsia="zh-CN"/>
        </w:rPr>
        <w:t>郑重承诺:</w:t>
      </w:r>
    </w:p>
    <w:p w14:paraId="14A6EE99">
      <w:pPr>
        <w:keepNext w:val="0"/>
        <w:keepLines w:val="0"/>
        <w:pageBreakBefore w:val="0"/>
        <w:widowControl w:val="0"/>
        <w:kinsoku/>
        <w:wordWrap/>
        <w:overflowPunct/>
        <w:topLinePunct w:val="0"/>
        <w:autoSpaceDE/>
        <w:autoSpaceDN/>
        <w:bidi w:val="0"/>
        <w:adjustRightInd/>
        <w:snapToGrid/>
        <w:spacing w:line="480" w:lineRule="auto"/>
        <w:ind w:firstLine="420" w:firstLineChars="200"/>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1.我方具有良好的商业信誉和健全的财务会计制度,具有依法缴纳税收和社会保障金的良好记录，参加本项目采购活动前三年内无重大违法活动记录。</w:t>
      </w:r>
    </w:p>
    <w:p w14:paraId="723F612F">
      <w:pPr>
        <w:keepNext w:val="0"/>
        <w:keepLines w:val="0"/>
        <w:pageBreakBefore w:val="0"/>
        <w:widowControl w:val="0"/>
        <w:kinsoku/>
        <w:wordWrap/>
        <w:overflowPunct/>
        <w:topLinePunct w:val="0"/>
        <w:autoSpaceDE/>
        <w:autoSpaceDN/>
        <w:bidi w:val="0"/>
        <w:adjustRightInd/>
        <w:snapToGrid/>
        <w:spacing w:line="480" w:lineRule="auto"/>
        <w:ind w:firstLine="420" w:firstLineChars="200"/>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2.我方未列入信用中国网站(www.creditchina.gov.cn)“失信被执行人”、“重大税收违法案件当事人名单”中，也未列入中国政府采购网(www.ccgp.gov.cn)“政府采购严重违法失信行为记录名单”中。</w:t>
      </w:r>
    </w:p>
    <w:p w14:paraId="4C7FC5A0">
      <w:pPr>
        <w:keepNext w:val="0"/>
        <w:keepLines w:val="0"/>
        <w:pageBreakBefore w:val="0"/>
        <w:widowControl w:val="0"/>
        <w:kinsoku/>
        <w:wordWrap/>
        <w:overflowPunct/>
        <w:topLinePunct w:val="0"/>
        <w:autoSpaceDE/>
        <w:autoSpaceDN/>
        <w:bidi w:val="0"/>
        <w:adjustRightInd/>
        <w:snapToGrid/>
        <w:spacing w:line="480" w:lineRule="auto"/>
        <w:ind w:firstLine="420" w:firstLineChars="200"/>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3.我方在采购项目评审(评标)环节结束后，随时接受招标人、采购代理机构的检查验证,配合提供相关证明材料,证明符合《中华人民共和国政府采购法》规定的投标人基本资格条件。</w:t>
      </w:r>
    </w:p>
    <w:p w14:paraId="1151600C">
      <w:pPr>
        <w:keepNext w:val="0"/>
        <w:keepLines w:val="0"/>
        <w:pageBreakBefore w:val="0"/>
        <w:widowControl w:val="0"/>
        <w:kinsoku/>
        <w:wordWrap/>
        <w:overflowPunct/>
        <w:topLinePunct w:val="0"/>
        <w:autoSpaceDE/>
        <w:autoSpaceDN/>
        <w:bidi w:val="0"/>
        <w:adjustRightInd/>
        <w:snapToGrid/>
        <w:spacing w:line="480" w:lineRule="auto"/>
        <w:ind w:firstLine="420" w:firstLineChars="200"/>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我方对以上承诺负全部法律责任。</w:t>
      </w:r>
    </w:p>
    <w:p w14:paraId="26B5B02A">
      <w:pPr>
        <w:keepNext w:val="0"/>
        <w:keepLines w:val="0"/>
        <w:pageBreakBefore w:val="0"/>
        <w:widowControl w:val="0"/>
        <w:kinsoku/>
        <w:wordWrap/>
        <w:overflowPunct/>
        <w:topLinePunct w:val="0"/>
        <w:autoSpaceDE/>
        <w:autoSpaceDN/>
        <w:bidi w:val="0"/>
        <w:adjustRightInd/>
        <w:snapToGrid/>
        <w:spacing w:line="480" w:lineRule="auto"/>
        <w:ind w:firstLine="420" w:firstLineChars="200"/>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特此承诺。</w:t>
      </w:r>
    </w:p>
    <w:p w14:paraId="57A483F7">
      <w:pPr>
        <w:ind w:firstLine="480"/>
        <w:rPr>
          <w:rFonts w:hint="eastAsia"/>
          <w:color w:val="auto"/>
          <w:lang w:bidi="ar"/>
        </w:rPr>
      </w:pPr>
    </w:p>
    <w:p w14:paraId="5EB105E3">
      <w:pPr>
        <w:ind w:firstLine="480"/>
        <w:jc w:val="right"/>
        <w:rPr>
          <w:rFonts w:hint="eastAsia"/>
          <w:color w:val="auto"/>
          <w:u w:val="none"/>
          <w:lang w:val="en-US" w:eastAsia="zh-CN" w:bidi="ar"/>
        </w:rPr>
      </w:pPr>
      <w:r>
        <w:rPr>
          <w:rFonts w:hint="eastAsia"/>
          <w:color w:val="auto"/>
          <w:lang w:bidi="ar"/>
        </w:rPr>
        <w:t>法定代表人或被授权代表（签字或盖章）：</w:t>
      </w:r>
      <w:r>
        <w:rPr>
          <w:rFonts w:hint="eastAsia" w:hAnsi="宋体" w:cs="宋体"/>
          <w:color w:val="auto"/>
          <w:sz w:val="24"/>
          <w:szCs w:val="24"/>
          <w:u w:val="single"/>
        </w:rPr>
        <w:tab/>
      </w:r>
      <w:r>
        <w:rPr>
          <w:rFonts w:hint="eastAsia" w:hAnsi="宋体" w:cs="宋体"/>
          <w:color w:val="auto"/>
          <w:sz w:val="24"/>
          <w:szCs w:val="24"/>
          <w:u w:val="single"/>
        </w:rPr>
        <w:tab/>
      </w:r>
      <w:r>
        <w:rPr>
          <w:rFonts w:hint="eastAsia" w:hAnsi="宋体" w:cs="宋体"/>
          <w:color w:val="auto"/>
          <w:sz w:val="24"/>
          <w:szCs w:val="24"/>
          <w:u w:val="single"/>
        </w:rPr>
        <w:tab/>
      </w:r>
    </w:p>
    <w:p w14:paraId="6A03D663">
      <w:pPr>
        <w:ind w:firstLine="480"/>
        <w:jc w:val="right"/>
        <w:rPr>
          <w:color w:val="auto"/>
        </w:rPr>
      </w:pPr>
      <w:r>
        <w:rPr>
          <w:rFonts w:hint="eastAsia"/>
          <w:color w:val="auto"/>
          <w:lang w:eastAsia="zh-CN" w:bidi="ar"/>
        </w:rPr>
        <w:t>投标人</w:t>
      </w:r>
      <w:r>
        <w:rPr>
          <w:rFonts w:hint="eastAsia"/>
          <w:color w:val="auto"/>
          <w:lang w:bidi="ar"/>
        </w:rPr>
        <w:t>名称（公章）：</w:t>
      </w:r>
      <w:r>
        <w:rPr>
          <w:rFonts w:hint="eastAsia" w:hAnsi="宋体" w:cs="宋体"/>
          <w:color w:val="auto"/>
          <w:sz w:val="24"/>
          <w:szCs w:val="24"/>
          <w:u w:val="single"/>
        </w:rPr>
        <w:tab/>
      </w:r>
      <w:r>
        <w:rPr>
          <w:rFonts w:hint="eastAsia" w:hAnsi="宋体" w:cs="宋体"/>
          <w:color w:val="auto"/>
          <w:sz w:val="24"/>
          <w:szCs w:val="24"/>
          <w:u w:val="single"/>
        </w:rPr>
        <w:tab/>
      </w:r>
      <w:r>
        <w:rPr>
          <w:rFonts w:hint="eastAsia" w:hAnsi="宋体" w:cs="宋体"/>
          <w:color w:val="auto"/>
          <w:sz w:val="24"/>
          <w:szCs w:val="24"/>
          <w:u w:val="single"/>
        </w:rPr>
        <w:tab/>
      </w:r>
    </w:p>
    <w:p w14:paraId="2382A262">
      <w:pPr>
        <w:ind w:firstLine="480"/>
        <w:jc w:val="right"/>
        <w:rPr>
          <w:rFonts w:hint="eastAsia" w:eastAsia="宋体"/>
          <w:color w:val="auto"/>
          <w:lang w:eastAsia="zh-CN"/>
        </w:rPr>
      </w:pPr>
      <w:r>
        <w:rPr>
          <w:rFonts w:hint="eastAsia"/>
          <w:color w:val="auto"/>
          <w:lang w:bidi="ar"/>
        </w:rPr>
        <w:t>日期：</w:t>
      </w:r>
      <w:r>
        <w:rPr>
          <w:rFonts w:hint="eastAsia"/>
          <w:color w:val="auto"/>
          <w:u w:val="single"/>
          <w:lang w:val="en-US" w:eastAsia="zh-CN" w:bidi="ar"/>
        </w:rPr>
        <w:t xml:space="preserve">  </w:t>
      </w:r>
      <w:r>
        <w:rPr>
          <w:rFonts w:hint="eastAsia"/>
          <w:color w:val="auto"/>
          <w:lang w:eastAsia="zh-CN" w:bidi="ar"/>
        </w:rPr>
        <w:t>年</w:t>
      </w:r>
      <w:r>
        <w:rPr>
          <w:rFonts w:hint="eastAsia"/>
          <w:color w:val="auto"/>
          <w:u w:val="single"/>
          <w:lang w:val="en-US" w:eastAsia="zh-CN" w:bidi="ar"/>
        </w:rPr>
        <w:t xml:space="preserve">  </w:t>
      </w:r>
      <w:r>
        <w:rPr>
          <w:rFonts w:hint="eastAsia"/>
          <w:color w:val="auto"/>
          <w:lang w:eastAsia="zh-CN" w:bidi="ar"/>
        </w:rPr>
        <w:t>月</w:t>
      </w:r>
      <w:r>
        <w:rPr>
          <w:rFonts w:hint="eastAsia"/>
          <w:color w:val="auto"/>
          <w:u w:val="single"/>
          <w:lang w:val="en-US" w:eastAsia="zh-CN" w:bidi="ar"/>
        </w:rPr>
        <w:t xml:space="preserve">  </w:t>
      </w:r>
      <w:r>
        <w:rPr>
          <w:rFonts w:hint="eastAsia"/>
          <w:color w:val="auto"/>
          <w:lang w:eastAsia="zh-CN" w:bidi="ar"/>
        </w:rPr>
        <w:t>日</w:t>
      </w:r>
    </w:p>
    <w:p w14:paraId="21151003">
      <w:pPr>
        <w:pStyle w:val="4"/>
        <w:bidi w:val="0"/>
        <w:rPr>
          <w:rFonts w:hint="eastAsia"/>
          <w:color w:val="auto"/>
        </w:rPr>
      </w:pPr>
    </w:p>
    <w:p w14:paraId="6074E8F1">
      <w:pPr>
        <w:pStyle w:val="4"/>
        <w:bidi w:val="0"/>
        <w:rPr>
          <w:rFonts w:hint="eastAsia"/>
          <w:color w:val="auto"/>
        </w:rPr>
      </w:pPr>
    </w:p>
    <w:p w14:paraId="3C139BBE">
      <w:pPr>
        <w:rPr>
          <w:rStyle w:val="24"/>
          <w:rFonts w:hint="eastAsia"/>
          <w:color w:val="auto"/>
          <w:lang w:val="en-US" w:eastAsia="zh-CN"/>
        </w:rPr>
      </w:pPr>
      <w:bookmarkStart w:id="74" w:name="_Toc6305"/>
      <w:r>
        <w:rPr>
          <w:rStyle w:val="24"/>
          <w:rFonts w:hint="eastAsia"/>
          <w:color w:val="auto"/>
          <w:lang w:val="en-US" w:eastAsia="zh-CN"/>
        </w:rPr>
        <w:br w:type="page"/>
      </w:r>
    </w:p>
    <w:p w14:paraId="53A0153B">
      <w:pPr>
        <w:pStyle w:val="4"/>
        <w:bidi w:val="0"/>
        <w:rPr>
          <w:color w:val="auto"/>
        </w:rPr>
      </w:pPr>
      <w:r>
        <w:rPr>
          <w:rStyle w:val="24"/>
          <w:rFonts w:hint="eastAsia"/>
          <w:b/>
          <w:color w:val="auto"/>
          <w:lang w:val="en-US" w:eastAsia="zh-CN"/>
        </w:rPr>
        <w:t>（二）</w:t>
      </w:r>
      <w:r>
        <w:rPr>
          <w:rFonts w:hint="eastAsia"/>
          <w:color w:val="auto"/>
          <w:lang w:val="en-US" w:eastAsia="zh-CN"/>
        </w:rPr>
        <w:t>、</w:t>
      </w:r>
      <w:bookmarkEnd w:id="74"/>
      <w:r>
        <w:rPr>
          <w:rFonts w:hint="eastAsia"/>
          <w:color w:val="auto"/>
        </w:rPr>
        <w:t>诚信投标承诺书</w:t>
      </w:r>
    </w:p>
    <w:p w14:paraId="35B2A552">
      <w:pPr>
        <w:tabs>
          <w:tab w:val="left" w:pos="6264"/>
        </w:tabs>
        <w:spacing w:line="276" w:lineRule="auto"/>
        <w:ind w:firstLine="480"/>
        <w:rPr>
          <w:rFonts w:hint="eastAsia"/>
          <w:color w:val="auto"/>
          <w:u w:val="single"/>
          <w:lang w:bidi="ar"/>
        </w:rPr>
      </w:pPr>
    </w:p>
    <w:p w14:paraId="5DC33E28">
      <w:pPr>
        <w:tabs>
          <w:tab w:val="left" w:pos="6264"/>
        </w:tabs>
        <w:spacing w:line="276" w:lineRule="auto"/>
        <w:ind w:firstLine="480"/>
        <w:rPr>
          <w:color w:val="auto"/>
          <w:u w:val="single"/>
        </w:rPr>
      </w:pPr>
      <w:r>
        <w:rPr>
          <w:rFonts w:hint="eastAsia"/>
          <w:color w:val="auto"/>
          <w:lang w:bidi="ar"/>
        </w:rPr>
        <w:t>致</w:t>
      </w:r>
      <w:r>
        <w:rPr>
          <w:rFonts w:hint="eastAsia"/>
          <w:color w:val="auto"/>
          <w:u w:val="single"/>
          <w:lang w:bidi="ar"/>
        </w:rPr>
        <w:t>（</w:t>
      </w:r>
      <w:r>
        <w:rPr>
          <w:rFonts w:hint="eastAsia"/>
          <w:color w:val="auto"/>
          <w:u w:val="single"/>
          <w:lang w:val="en-US" w:eastAsia="zh-CN" w:bidi="ar"/>
        </w:rPr>
        <w:t>招标人</w:t>
      </w:r>
      <w:r>
        <w:rPr>
          <w:rFonts w:hint="eastAsia"/>
          <w:color w:val="auto"/>
          <w:u w:val="single"/>
          <w:lang w:bidi="ar"/>
        </w:rPr>
        <w:t>名称）</w:t>
      </w:r>
      <w:r>
        <w:rPr>
          <w:rFonts w:hint="eastAsia"/>
          <w:color w:val="auto"/>
          <w:lang w:bidi="ar"/>
        </w:rPr>
        <w:t>：</w:t>
      </w:r>
    </w:p>
    <w:p w14:paraId="579B5A93">
      <w:pPr>
        <w:spacing w:line="312" w:lineRule="auto"/>
        <w:ind w:firstLine="480"/>
        <w:rPr>
          <w:color w:val="auto"/>
        </w:rPr>
      </w:pPr>
      <w:r>
        <w:rPr>
          <w:rFonts w:hint="eastAsia"/>
          <w:color w:val="auto"/>
          <w:lang w:bidi="ar"/>
        </w:rPr>
        <w:t>为维护市场公平竞争，营造诚实守信的招投标交易环境，我在此慎重作出如下承诺：</w:t>
      </w:r>
    </w:p>
    <w:p w14:paraId="6AC2AAF7">
      <w:pPr>
        <w:spacing w:line="312" w:lineRule="auto"/>
        <w:ind w:firstLine="480"/>
        <w:rPr>
          <w:color w:val="auto"/>
        </w:rPr>
      </w:pPr>
      <w:r>
        <w:rPr>
          <w:rFonts w:hint="eastAsia"/>
          <w:color w:val="auto"/>
          <w:lang w:bidi="ar"/>
        </w:rPr>
        <w:t>1、我单位不与</w:t>
      </w:r>
      <w:r>
        <w:rPr>
          <w:rFonts w:hint="eastAsia"/>
          <w:color w:val="auto"/>
          <w:lang w:val="en-US" w:eastAsia="zh-CN" w:bidi="ar"/>
        </w:rPr>
        <w:t>招标</w:t>
      </w:r>
      <w:r>
        <w:rPr>
          <w:rFonts w:hint="eastAsia"/>
          <w:color w:val="auto"/>
          <w:lang w:bidi="ar"/>
        </w:rPr>
        <w:t>人、其他</w:t>
      </w:r>
      <w:r>
        <w:rPr>
          <w:rFonts w:hint="eastAsia"/>
          <w:color w:val="auto"/>
          <w:lang w:val="en-US" w:eastAsia="zh-CN" w:bidi="ar"/>
        </w:rPr>
        <w:t>投标人</w:t>
      </w:r>
      <w:r>
        <w:rPr>
          <w:rFonts w:hint="eastAsia"/>
          <w:color w:val="auto"/>
          <w:lang w:bidi="ar"/>
        </w:rPr>
        <w:t>及招标代理机构串通投标，损害国家利益、社会利益和他人的合法权益；</w:t>
      </w:r>
    </w:p>
    <w:p w14:paraId="1F80DD79">
      <w:pPr>
        <w:spacing w:line="312" w:lineRule="auto"/>
        <w:ind w:firstLine="480"/>
        <w:rPr>
          <w:color w:val="auto"/>
        </w:rPr>
      </w:pPr>
      <w:r>
        <w:rPr>
          <w:rFonts w:hint="eastAsia"/>
          <w:color w:val="auto"/>
          <w:lang w:bidi="ar"/>
        </w:rPr>
        <w:t>2、我单位不向</w:t>
      </w:r>
      <w:r>
        <w:rPr>
          <w:rFonts w:hint="eastAsia"/>
          <w:color w:val="auto"/>
          <w:lang w:eastAsia="zh-CN" w:bidi="ar"/>
        </w:rPr>
        <w:t>招标人</w:t>
      </w:r>
      <w:r>
        <w:rPr>
          <w:rFonts w:hint="eastAsia"/>
          <w:color w:val="auto"/>
          <w:lang w:bidi="ar"/>
        </w:rPr>
        <w:t>、评标委员会成员及相关人员行贿，牟取中标；</w:t>
      </w:r>
    </w:p>
    <w:p w14:paraId="3DEF6104">
      <w:pPr>
        <w:spacing w:line="312" w:lineRule="auto"/>
        <w:ind w:firstLine="480"/>
        <w:rPr>
          <w:color w:val="auto"/>
        </w:rPr>
      </w:pPr>
      <w:r>
        <w:rPr>
          <w:rFonts w:hint="eastAsia"/>
          <w:color w:val="auto"/>
          <w:lang w:bidi="ar"/>
        </w:rPr>
        <w:t>3、我单位不以他人名义投标或者其他弄虚作假的方式参与投标、骗取中标；</w:t>
      </w:r>
    </w:p>
    <w:p w14:paraId="14DD02FB">
      <w:pPr>
        <w:spacing w:line="312" w:lineRule="auto"/>
        <w:ind w:firstLine="480"/>
        <w:rPr>
          <w:color w:val="auto"/>
        </w:rPr>
      </w:pPr>
      <w:r>
        <w:rPr>
          <w:rFonts w:hint="eastAsia"/>
          <w:color w:val="auto"/>
          <w:lang w:bidi="ar"/>
        </w:rPr>
        <w:t>4、我单位不出借资质，不接受任何形式的挂靠，不扰乱招投标市场秩序；</w:t>
      </w:r>
    </w:p>
    <w:p w14:paraId="5AA62FBA">
      <w:pPr>
        <w:spacing w:line="312" w:lineRule="auto"/>
        <w:ind w:firstLine="480"/>
        <w:rPr>
          <w:color w:val="auto"/>
        </w:rPr>
      </w:pPr>
      <w:r>
        <w:rPr>
          <w:rFonts w:hint="eastAsia"/>
          <w:color w:val="auto"/>
          <w:lang w:bidi="ar"/>
        </w:rPr>
        <w:t>5、我单位不在投标中哄抬价格或恶意压价；</w:t>
      </w:r>
    </w:p>
    <w:p w14:paraId="14FF80B0">
      <w:pPr>
        <w:spacing w:line="312" w:lineRule="auto"/>
        <w:ind w:firstLine="480"/>
        <w:rPr>
          <w:color w:val="auto"/>
        </w:rPr>
      </w:pPr>
      <w:r>
        <w:rPr>
          <w:rFonts w:hint="eastAsia"/>
          <w:color w:val="auto"/>
          <w:lang w:bidi="ar"/>
        </w:rPr>
        <w:t>6、我单位不在招投标活动中虚假投诉；</w:t>
      </w:r>
    </w:p>
    <w:p w14:paraId="73BEF59A">
      <w:pPr>
        <w:spacing w:line="312" w:lineRule="auto"/>
        <w:ind w:firstLine="480"/>
        <w:rPr>
          <w:color w:val="auto"/>
        </w:rPr>
      </w:pPr>
      <w:r>
        <w:rPr>
          <w:rFonts w:hint="eastAsia"/>
          <w:color w:val="auto"/>
          <w:lang w:bidi="ar"/>
        </w:rPr>
        <w:t>7、我单位在中标后不转包和非法分包；</w:t>
      </w:r>
    </w:p>
    <w:p w14:paraId="5BA4E552">
      <w:pPr>
        <w:spacing w:line="312" w:lineRule="auto"/>
        <w:ind w:firstLine="480"/>
        <w:rPr>
          <w:color w:val="auto"/>
        </w:rPr>
      </w:pPr>
      <w:r>
        <w:rPr>
          <w:rFonts w:hint="eastAsia"/>
          <w:color w:val="auto"/>
          <w:lang w:bidi="ar"/>
        </w:rPr>
        <w:t>8、我单位在中标合同履行中不违背合同实质性条款；</w:t>
      </w:r>
    </w:p>
    <w:p w14:paraId="00D8709C">
      <w:pPr>
        <w:spacing w:line="312" w:lineRule="auto"/>
        <w:ind w:firstLine="480"/>
        <w:rPr>
          <w:color w:val="auto"/>
        </w:rPr>
      </w:pPr>
      <w:r>
        <w:rPr>
          <w:rFonts w:hint="eastAsia"/>
          <w:color w:val="auto"/>
          <w:lang w:bidi="ar"/>
        </w:rPr>
        <w:t>9、我单位参与本项目所提供全部资料、文件均真实、合法、有效。</w:t>
      </w:r>
    </w:p>
    <w:p w14:paraId="70038B54">
      <w:pPr>
        <w:spacing w:line="312" w:lineRule="auto"/>
        <w:ind w:firstLine="480"/>
        <w:rPr>
          <w:rFonts w:hint="eastAsia"/>
          <w:color w:val="auto"/>
          <w:lang w:bidi="ar"/>
        </w:rPr>
      </w:pPr>
      <w:r>
        <w:rPr>
          <w:rFonts w:hint="eastAsia"/>
          <w:color w:val="auto"/>
          <w:lang w:bidi="ar"/>
        </w:rPr>
        <w:t>10、我单位未有单位负责人为同一人或者存在控股、管理关系的不同单位，同时参加本项目投标的情形。</w:t>
      </w:r>
    </w:p>
    <w:p w14:paraId="73EF78BC">
      <w:pPr>
        <w:spacing w:line="312" w:lineRule="auto"/>
        <w:ind w:firstLine="480"/>
        <w:rPr>
          <w:color w:val="auto"/>
        </w:rPr>
      </w:pPr>
      <w:r>
        <w:rPr>
          <w:rFonts w:hint="eastAsia"/>
          <w:color w:val="auto"/>
        </w:rPr>
        <w:t>11、我单位未为采购项目提供整体设计、规范编制或者不是项目管理、监理、检测等服务的</w:t>
      </w:r>
      <w:r>
        <w:rPr>
          <w:rFonts w:hint="eastAsia"/>
          <w:color w:val="auto"/>
          <w:lang w:eastAsia="zh-CN"/>
        </w:rPr>
        <w:t>投标人</w:t>
      </w:r>
      <w:r>
        <w:rPr>
          <w:rFonts w:hint="eastAsia"/>
          <w:color w:val="auto"/>
        </w:rPr>
        <w:t>。</w:t>
      </w:r>
    </w:p>
    <w:p w14:paraId="46BBE493">
      <w:pPr>
        <w:spacing w:line="312" w:lineRule="auto"/>
        <w:ind w:firstLine="480"/>
        <w:rPr>
          <w:color w:val="auto"/>
        </w:rPr>
      </w:pPr>
      <w:r>
        <w:rPr>
          <w:rFonts w:hint="eastAsia"/>
          <w:color w:val="auto"/>
          <w:lang w:bidi="ar"/>
        </w:rPr>
        <w:t>12、我单位在招投标活动中严格遵守相关法律、法规、规章、规定，诚实守信。</w:t>
      </w:r>
    </w:p>
    <w:p w14:paraId="5A8DFF4B">
      <w:pPr>
        <w:spacing w:line="312" w:lineRule="auto"/>
        <w:ind w:firstLine="480"/>
        <w:rPr>
          <w:color w:val="auto"/>
        </w:rPr>
      </w:pPr>
      <w:r>
        <w:rPr>
          <w:rFonts w:hint="eastAsia"/>
          <w:color w:val="auto"/>
          <w:lang w:bidi="ar"/>
        </w:rPr>
        <w:t>本单位如有违反承诺内容的行为，自愿接受相关行政或</w:t>
      </w:r>
      <w:r>
        <w:rPr>
          <w:rFonts w:hint="eastAsia"/>
          <w:color w:val="auto"/>
          <w:lang w:eastAsia="zh-CN" w:bidi="ar"/>
        </w:rPr>
        <w:t>招标人</w:t>
      </w:r>
      <w:r>
        <w:rPr>
          <w:rFonts w:hint="eastAsia"/>
          <w:color w:val="auto"/>
          <w:lang w:bidi="ar"/>
        </w:rPr>
        <w:t>监督部门的处罚，自愿放弃投标保证金要求退还的权利，记不良行为记录，并上网公示，并愿意承担因此产生的一切法律责任。</w:t>
      </w:r>
    </w:p>
    <w:p w14:paraId="4FC9269D">
      <w:pPr>
        <w:spacing w:line="312" w:lineRule="auto"/>
        <w:ind w:firstLine="4830" w:firstLineChars="2300"/>
        <w:rPr>
          <w:rFonts w:hint="eastAsia"/>
          <w:color w:val="auto"/>
        </w:rPr>
      </w:pPr>
    </w:p>
    <w:p w14:paraId="044EFDC7">
      <w:pPr>
        <w:ind w:firstLine="480"/>
        <w:rPr>
          <w:rFonts w:hint="eastAsia"/>
          <w:color w:val="auto"/>
          <w:lang w:bidi="ar"/>
        </w:rPr>
      </w:pPr>
    </w:p>
    <w:p w14:paraId="386455E8">
      <w:pPr>
        <w:ind w:firstLine="480"/>
        <w:jc w:val="right"/>
        <w:rPr>
          <w:rFonts w:hint="eastAsia"/>
          <w:color w:val="auto"/>
          <w:u w:val="none"/>
          <w:lang w:val="en-US" w:eastAsia="zh-CN" w:bidi="ar"/>
        </w:rPr>
      </w:pPr>
      <w:r>
        <w:rPr>
          <w:rFonts w:hint="eastAsia"/>
          <w:color w:val="auto"/>
          <w:lang w:bidi="ar"/>
        </w:rPr>
        <w:t>法定代表人或被授权代表（签字或盖章）：</w:t>
      </w:r>
      <w:r>
        <w:rPr>
          <w:rFonts w:hint="eastAsia" w:hAnsi="宋体" w:cs="宋体"/>
          <w:color w:val="auto"/>
          <w:sz w:val="24"/>
          <w:szCs w:val="24"/>
          <w:u w:val="single"/>
        </w:rPr>
        <w:tab/>
      </w:r>
      <w:r>
        <w:rPr>
          <w:rFonts w:hint="eastAsia" w:hAnsi="宋体" w:cs="宋体"/>
          <w:color w:val="auto"/>
          <w:sz w:val="24"/>
          <w:szCs w:val="24"/>
          <w:u w:val="single"/>
        </w:rPr>
        <w:tab/>
      </w:r>
      <w:r>
        <w:rPr>
          <w:rFonts w:hint="eastAsia" w:hAnsi="宋体" w:cs="宋体"/>
          <w:color w:val="auto"/>
          <w:sz w:val="24"/>
          <w:szCs w:val="24"/>
          <w:u w:val="single"/>
        </w:rPr>
        <w:tab/>
      </w:r>
    </w:p>
    <w:p w14:paraId="1553A24A">
      <w:pPr>
        <w:ind w:firstLine="480"/>
        <w:jc w:val="right"/>
        <w:rPr>
          <w:color w:val="auto"/>
        </w:rPr>
      </w:pPr>
      <w:r>
        <w:rPr>
          <w:rFonts w:hint="eastAsia"/>
          <w:color w:val="auto"/>
          <w:lang w:eastAsia="zh-CN" w:bidi="ar"/>
        </w:rPr>
        <w:t>投标人</w:t>
      </w:r>
      <w:r>
        <w:rPr>
          <w:rFonts w:hint="eastAsia"/>
          <w:color w:val="auto"/>
          <w:lang w:bidi="ar"/>
        </w:rPr>
        <w:t>名称（公章）：</w:t>
      </w:r>
      <w:r>
        <w:rPr>
          <w:rFonts w:hint="eastAsia" w:hAnsi="宋体" w:cs="宋体"/>
          <w:color w:val="auto"/>
          <w:sz w:val="24"/>
          <w:szCs w:val="24"/>
          <w:u w:val="single"/>
        </w:rPr>
        <w:tab/>
      </w:r>
      <w:r>
        <w:rPr>
          <w:rFonts w:hint="eastAsia" w:hAnsi="宋体" w:cs="宋体"/>
          <w:color w:val="auto"/>
          <w:sz w:val="24"/>
          <w:szCs w:val="24"/>
          <w:u w:val="single"/>
        </w:rPr>
        <w:tab/>
      </w:r>
      <w:r>
        <w:rPr>
          <w:rFonts w:hint="eastAsia" w:hAnsi="宋体" w:cs="宋体"/>
          <w:color w:val="auto"/>
          <w:sz w:val="24"/>
          <w:szCs w:val="24"/>
          <w:u w:val="single"/>
        </w:rPr>
        <w:tab/>
      </w:r>
    </w:p>
    <w:p w14:paraId="3E5335AA">
      <w:pPr>
        <w:ind w:firstLine="480"/>
        <w:jc w:val="right"/>
        <w:rPr>
          <w:rFonts w:hint="eastAsia" w:eastAsia="宋体"/>
          <w:color w:val="auto"/>
          <w:lang w:eastAsia="zh-CN"/>
        </w:rPr>
      </w:pPr>
      <w:r>
        <w:rPr>
          <w:rFonts w:hint="eastAsia"/>
          <w:color w:val="auto"/>
          <w:lang w:bidi="ar"/>
        </w:rPr>
        <w:t>日期：</w:t>
      </w:r>
      <w:r>
        <w:rPr>
          <w:rFonts w:hint="eastAsia"/>
          <w:color w:val="auto"/>
          <w:u w:val="single"/>
          <w:lang w:val="en-US" w:eastAsia="zh-CN" w:bidi="ar"/>
        </w:rPr>
        <w:t xml:space="preserve">  </w:t>
      </w:r>
      <w:r>
        <w:rPr>
          <w:rFonts w:hint="eastAsia"/>
          <w:color w:val="auto"/>
          <w:lang w:eastAsia="zh-CN" w:bidi="ar"/>
        </w:rPr>
        <w:t>年</w:t>
      </w:r>
      <w:r>
        <w:rPr>
          <w:rFonts w:hint="eastAsia"/>
          <w:color w:val="auto"/>
          <w:u w:val="single"/>
          <w:lang w:val="en-US" w:eastAsia="zh-CN" w:bidi="ar"/>
        </w:rPr>
        <w:t xml:space="preserve">  </w:t>
      </w:r>
      <w:r>
        <w:rPr>
          <w:rFonts w:hint="eastAsia"/>
          <w:color w:val="auto"/>
          <w:lang w:eastAsia="zh-CN" w:bidi="ar"/>
        </w:rPr>
        <w:t>月</w:t>
      </w:r>
      <w:r>
        <w:rPr>
          <w:rFonts w:hint="eastAsia"/>
          <w:color w:val="auto"/>
          <w:u w:val="single"/>
          <w:lang w:val="en-US" w:eastAsia="zh-CN" w:bidi="ar"/>
        </w:rPr>
        <w:t xml:space="preserve">  </w:t>
      </w:r>
      <w:r>
        <w:rPr>
          <w:rFonts w:hint="eastAsia"/>
          <w:color w:val="auto"/>
          <w:lang w:eastAsia="zh-CN" w:bidi="ar"/>
        </w:rPr>
        <w:t>日</w:t>
      </w:r>
    </w:p>
    <w:p w14:paraId="7E0CB8BA">
      <w:pPr>
        <w:ind w:firstLine="480"/>
        <w:jc w:val="right"/>
        <w:rPr>
          <w:rFonts w:hint="eastAsia" w:eastAsia="宋体"/>
          <w:color w:val="auto"/>
          <w:lang w:eastAsia="zh-CN"/>
        </w:rPr>
      </w:pPr>
      <w:r>
        <w:rPr>
          <w:rFonts w:hint="eastAsia"/>
          <w:color w:val="auto"/>
          <w:lang w:bidi="ar"/>
        </w:rPr>
        <w:br w:type="page"/>
      </w:r>
    </w:p>
    <w:p w14:paraId="3F1A3B2D">
      <w:pPr>
        <w:keepNext w:val="0"/>
        <w:keepLines w:val="0"/>
        <w:pageBreakBefore w:val="0"/>
        <w:kinsoku/>
        <w:wordWrap/>
        <w:overflowPunct/>
        <w:topLinePunct w:val="0"/>
        <w:autoSpaceDE/>
        <w:autoSpaceDN/>
        <w:bidi w:val="0"/>
        <w:adjustRightInd/>
        <w:spacing w:line="312" w:lineRule="auto"/>
        <w:ind w:firstLine="420" w:firstLineChars="200"/>
        <w:jc w:val="right"/>
        <w:textAlignment w:val="auto"/>
        <w:rPr>
          <w:rFonts w:hint="eastAsia" w:asciiTheme="majorEastAsia" w:hAnsiTheme="majorEastAsia" w:eastAsiaTheme="majorEastAsia" w:cstheme="majorEastAsia"/>
          <w:color w:val="auto"/>
          <w:sz w:val="21"/>
          <w:szCs w:val="21"/>
          <w:lang w:val="en-US" w:eastAsia="zh-CN"/>
        </w:rPr>
      </w:pPr>
    </w:p>
    <w:p w14:paraId="5C92BD1D">
      <w:pPr>
        <w:pStyle w:val="3"/>
        <w:bidi w:val="0"/>
        <w:rPr>
          <w:color w:val="auto"/>
        </w:rPr>
      </w:pPr>
      <w:r>
        <w:rPr>
          <w:rFonts w:hint="eastAsia"/>
          <w:color w:val="auto"/>
          <w:lang w:val="en-US" w:eastAsia="zh-CN"/>
        </w:rPr>
        <w:t>六、</w:t>
      </w:r>
      <w:r>
        <w:rPr>
          <w:rFonts w:hint="eastAsia"/>
          <w:color w:val="auto"/>
        </w:rPr>
        <w:t>其他资格、符合性审查要求的证明或承诺（如有）</w:t>
      </w:r>
    </w:p>
    <w:p w14:paraId="48966B77">
      <w:pPr>
        <w:ind w:firstLine="0" w:firstLineChars="0"/>
        <w:jc w:val="center"/>
        <w:rPr>
          <w:color w:val="auto"/>
        </w:rPr>
      </w:pPr>
      <w:r>
        <w:rPr>
          <w:rFonts w:hint="eastAsia"/>
          <w:color w:val="auto"/>
          <w:lang w:bidi="ar"/>
        </w:rPr>
        <w:t>（格式自拟，详见第</w:t>
      </w:r>
      <w:r>
        <w:rPr>
          <w:rFonts w:hint="eastAsia"/>
          <w:color w:val="auto"/>
          <w:lang w:val="en-US" w:eastAsia="zh-CN" w:bidi="ar"/>
        </w:rPr>
        <w:t>四</w:t>
      </w:r>
      <w:r>
        <w:rPr>
          <w:rFonts w:hint="eastAsia"/>
          <w:color w:val="auto"/>
          <w:lang w:bidi="ar"/>
        </w:rPr>
        <w:t>章内容）</w:t>
      </w:r>
    </w:p>
    <w:p w14:paraId="307C8F52">
      <w:pPr>
        <w:spacing w:line="540" w:lineRule="exact"/>
        <w:jc w:val="both"/>
        <w:outlineLvl w:val="0"/>
        <w:rPr>
          <w:rFonts w:hint="eastAsia" w:asciiTheme="majorEastAsia" w:hAnsiTheme="majorEastAsia" w:eastAsiaTheme="majorEastAsia" w:cstheme="majorEastAsia"/>
          <w:bCs/>
          <w:color w:val="auto"/>
          <w:sz w:val="21"/>
          <w:szCs w:val="21"/>
          <w:lang w:val="en-US" w:eastAsia="zh-CN"/>
        </w:rPr>
      </w:pPr>
    </w:p>
    <w:p w14:paraId="7D85C934">
      <w:pPr>
        <w:spacing w:line="540" w:lineRule="exact"/>
        <w:jc w:val="both"/>
        <w:outlineLvl w:val="0"/>
        <w:rPr>
          <w:rFonts w:hint="eastAsia" w:asciiTheme="majorEastAsia" w:hAnsiTheme="majorEastAsia" w:eastAsiaTheme="majorEastAsia" w:cstheme="majorEastAsia"/>
          <w:bCs/>
          <w:color w:val="auto"/>
          <w:sz w:val="21"/>
          <w:szCs w:val="21"/>
          <w:lang w:val="en-US" w:eastAsia="zh-CN"/>
        </w:rPr>
      </w:pPr>
    </w:p>
    <w:p w14:paraId="67A74CC5">
      <w:pPr>
        <w:pStyle w:val="3"/>
        <w:bidi w:val="0"/>
        <w:rPr>
          <w:color w:val="auto"/>
        </w:rPr>
      </w:pPr>
      <w:r>
        <w:rPr>
          <w:rFonts w:hint="eastAsia"/>
          <w:color w:val="auto"/>
          <w:lang w:val="en-US" w:eastAsia="zh-CN"/>
        </w:rPr>
        <w:t>七</w:t>
      </w:r>
      <w:r>
        <w:rPr>
          <w:rFonts w:hint="eastAsia"/>
          <w:color w:val="auto"/>
        </w:rPr>
        <w:t>、综合部分响应情况</w:t>
      </w:r>
    </w:p>
    <w:p w14:paraId="5D495E90">
      <w:pPr>
        <w:pStyle w:val="13"/>
        <w:ind w:firstLine="0" w:firstLineChars="0"/>
        <w:jc w:val="center"/>
        <w:rPr>
          <w:bCs/>
          <w:color w:val="auto"/>
        </w:rPr>
      </w:pPr>
      <w:r>
        <w:rPr>
          <w:rFonts w:hint="eastAsia" w:ascii="仿宋" w:hAnsi="仿宋" w:eastAsia="仿宋"/>
          <w:bCs/>
          <w:caps/>
          <w:color w:val="auto"/>
          <w:sz w:val="24"/>
          <w:szCs w:val="24"/>
          <w:lang w:bidi="ar"/>
        </w:rPr>
        <w:t>（根据</w:t>
      </w:r>
      <w:r>
        <w:rPr>
          <w:rFonts w:hint="eastAsia" w:ascii="仿宋" w:hAnsi="仿宋" w:eastAsia="仿宋"/>
          <w:bCs/>
          <w:caps/>
          <w:color w:val="auto"/>
          <w:sz w:val="24"/>
          <w:szCs w:val="24"/>
          <w:lang w:val="en-US" w:eastAsia="zh-CN" w:bidi="ar"/>
        </w:rPr>
        <w:t>招标文件</w:t>
      </w:r>
      <w:r>
        <w:rPr>
          <w:rFonts w:hint="eastAsia" w:ascii="仿宋" w:hAnsi="仿宋" w:eastAsia="仿宋"/>
          <w:bCs/>
          <w:caps/>
          <w:color w:val="auto"/>
          <w:sz w:val="24"/>
          <w:szCs w:val="24"/>
          <w:lang w:bidi="ar"/>
        </w:rPr>
        <w:t>要求提供企业</w:t>
      </w:r>
      <w:r>
        <w:rPr>
          <w:rFonts w:hint="eastAsia" w:ascii="仿宋" w:hAnsi="仿宋" w:eastAsia="仿宋"/>
          <w:bCs/>
          <w:caps/>
          <w:color w:val="auto"/>
          <w:sz w:val="24"/>
          <w:szCs w:val="24"/>
          <w:lang w:val="en-US" w:eastAsia="zh-CN" w:bidi="ar"/>
        </w:rPr>
        <w:t>业绩</w:t>
      </w:r>
      <w:r>
        <w:rPr>
          <w:rFonts w:hint="eastAsia" w:ascii="仿宋" w:hAnsi="仿宋" w:eastAsia="仿宋"/>
          <w:bCs/>
          <w:caps/>
          <w:color w:val="auto"/>
          <w:sz w:val="24"/>
          <w:szCs w:val="24"/>
          <w:lang w:bidi="ar"/>
        </w:rPr>
        <w:t>、人员相关综合实力证明等内容）</w:t>
      </w:r>
    </w:p>
    <w:p w14:paraId="6A80B14E">
      <w:pPr>
        <w:ind w:firstLine="480"/>
        <w:rPr>
          <w:color w:val="auto"/>
        </w:rPr>
      </w:pPr>
    </w:p>
    <w:p w14:paraId="5138BE05">
      <w:pPr>
        <w:ind w:firstLine="480"/>
        <w:rPr>
          <w:rFonts w:hint="eastAsia"/>
          <w:color w:val="auto"/>
          <w:lang w:bidi="ar"/>
        </w:rPr>
      </w:pPr>
      <w:r>
        <w:rPr>
          <w:rFonts w:hint="eastAsia"/>
          <w:color w:val="auto"/>
          <w:lang w:bidi="ar"/>
        </w:rPr>
        <w:t>项目名称：</w:t>
      </w:r>
    </w:p>
    <w:p w14:paraId="6F4BF990">
      <w:pPr>
        <w:ind w:firstLine="480"/>
        <w:rPr>
          <w:color w:val="auto"/>
        </w:rPr>
      </w:pPr>
      <w:r>
        <w:rPr>
          <w:rFonts w:hint="eastAsia"/>
          <w:color w:val="auto"/>
          <w:lang w:bidi="ar"/>
        </w:rPr>
        <w:t>项目编号：</w:t>
      </w:r>
    </w:p>
    <w:tbl>
      <w:tblPr>
        <w:tblStyle w:val="15"/>
        <w:tblW w:w="912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2"/>
        <w:gridCol w:w="3154"/>
        <w:gridCol w:w="2483"/>
        <w:gridCol w:w="1250"/>
        <w:gridCol w:w="1301"/>
      </w:tblGrid>
      <w:tr w14:paraId="2DAE6E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5" w:hRule="atLeast"/>
          <w:jc w:val="center"/>
        </w:trPr>
        <w:tc>
          <w:tcPr>
            <w:tcW w:w="933" w:type="dxa"/>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6B14FC6A">
            <w:pPr>
              <w:pStyle w:val="13"/>
              <w:spacing w:line="240" w:lineRule="auto"/>
              <w:ind w:firstLine="0" w:firstLineChars="0"/>
              <w:jc w:val="center"/>
              <w:rPr>
                <w:b/>
                <w:color w:val="auto"/>
              </w:rPr>
            </w:pPr>
            <w:r>
              <w:rPr>
                <w:rFonts w:hint="eastAsia" w:ascii="仿宋" w:hAnsi="仿宋" w:eastAsia="仿宋"/>
                <w:b/>
                <w:color w:val="auto"/>
                <w:sz w:val="24"/>
                <w:szCs w:val="24"/>
                <w:lang w:bidi="ar"/>
              </w:rPr>
              <w:t>序号</w:t>
            </w:r>
          </w:p>
        </w:tc>
        <w:tc>
          <w:tcPr>
            <w:tcW w:w="3154" w:type="dxa"/>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1A1C8ACC">
            <w:pPr>
              <w:pStyle w:val="13"/>
              <w:spacing w:line="240" w:lineRule="auto"/>
              <w:ind w:firstLine="0" w:firstLineChars="0"/>
              <w:jc w:val="center"/>
              <w:rPr>
                <w:b/>
                <w:color w:val="auto"/>
              </w:rPr>
            </w:pPr>
            <w:r>
              <w:rPr>
                <w:rFonts w:hint="eastAsia" w:ascii="仿宋" w:hAnsi="仿宋" w:eastAsia="仿宋"/>
                <w:b/>
                <w:color w:val="auto"/>
                <w:sz w:val="24"/>
                <w:szCs w:val="24"/>
                <w:lang w:bidi="ar"/>
              </w:rPr>
              <w:t>项目名称</w:t>
            </w:r>
          </w:p>
        </w:tc>
        <w:tc>
          <w:tcPr>
            <w:tcW w:w="2483" w:type="dxa"/>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4530A853">
            <w:pPr>
              <w:pStyle w:val="13"/>
              <w:spacing w:line="240" w:lineRule="auto"/>
              <w:ind w:firstLine="0" w:firstLineChars="0"/>
              <w:jc w:val="center"/>
              <w:rPr>
                <w:b/>
                <w:color w:val="auto"/>
              </w:rPr>
            </w:pPr>
            <w:r>
              <w:rPr>
                <w:rFonts w:hint="eastAsia" w:ascii="仿宋" w:hAnsi="仿宋" w:eastAsia="仿宋"/>
                <w:b/>
                <w:color w:val="auto"/>
                <w:sz w:val="24"/>
                <w:szCs w:val="24"/>
                <w:lang w:bidi="ar"/>
              </w:rPr>
              <w:t>用户名称</w:t>
            </w:r>
          </w:p>
        </w:tc>
        <w:tc>
          <w:tcPr>
            <w:tcW w:w="1250" w:type="dxa"/>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0000F4CD">
            <w:pPr>
              <w:pStyle w:val="13"/>
              <w:spacing w:line="240" w:lineRule="auto"/>
              <w:ind w:firstLine="0" w:firstLineChars="0"/>
              <w:jc w:val="center"/>
              <w:rPr>
                <w:b/>
                <w:color w:val="auto"/>
              </w:rPr>
            </w:pPr>
            <w:r>
              <w:rPr>
                <w:rFonts w:hint="eastAsia" w:ascii="仿宋" w:hAnsi="仿宋" w:eastAsia="仿宋"/>
                <w:b/>
                <w:color w:val="auto"/>
                <w:sz w:val="24"/>
                <w:szCs w:val="24"/>
                <w:lang w:bidi="ar"/>
              </w:rPr>
              <w:t>项目规模</w:t>
            </w:r>
          </w:p>
        </w:tc>
        <w:tc>
          <w:tcPr>
            <w:tcW w:w="1301" w:type="dxa"/>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31E0BC5B">
            <w:pPr>
              <w:pStyle w:val="13"/>
              <w:spacing w:line="240" w:lineRule="auto"/>
              <w:ind w:firstLine="0" w:firstLineChars="0"/>
              <w:jc w:val="center"/>
              <w:rPr>
                <w:b/>
                <w:color w:val="auto"/>
              </w:rPr>
            </w:pPr>
            <w:r>
              <w:rPr>
                <w:rFonts w:hint="eastAsia" w:ascii="仿宋" w:hAnsi="仿宋" w:eastAsia="仿宋"/>
                <w:b/>
                <w:color w:val="auto"/>
                <w:sz w:val="24"/>
                <w:szCs w:val="24"/>
                <w:lang w:bidi="ar"/>
              </w:rPr>
              <w:t>联系电话</w:t>
            </w:r>
          </w:p>
          <w:p w14:paraId="4049EBA8">
            <w:pPr>
              <w:pStyle w:val="13"/>
              <w:spacing w:line="240" w:lineRule="auto"/>
              <w:ind w:firstLine="0" w:firstLineChars="0"/>
              <w:jc w:val="center"/>
              <w:rPr>
                <w:b/>
                <w:color w:val="auto"/>
              </w:rPr>
            </w:pPr>
            <w:r>
              <w:rPr>
                <w:rFonts w:hint="eastAsia" w:ascii="仿宋" w:hAnsi="仿宋" w:eastAsia="仿宋"/>
                <w:b/>
                <w:color w:val="auto"/>
                <w:sz w:val="24"/>
                <w:szCs w:val="24"/>
                <w:lang w:bidi="ar"/>
              </w:rPr>
              <w:t>及联系人</w:t>
            </w:r>
          </w:p>
        </w:tc>
      </w:tr>
      <w:tr w14:paraId="7C10FD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5" w:hRule="atLeast"/>
          <w:jc w:val="center"/>
        </w:trPr>
        <w:tc>
          <w:tcPr>
            <w:tcW w:w="933" w:type="dxa"/>
            <w:tcBorders>
              <w:top w:val="single" w:color="000000" w:sz="4" w:space="0"/>
              <w:left w:val="single" w:color="000000" w:sz="4" w:space="0"/>
              <w:bottom w:val="single" w:color="000000" w:sz="4" w:space="0"/>
              <w:right w:val="single" w:color="000000" w:sz="4" w:space="0"/>
            </w:tcBorders>
            <w:noWrap w:val="0"/>
            <w:vAlign w:val="top"/>
          </w:tcPr>
          <w:p w14:paraId="43EE617E">
            <w:pPr>
              <w:pStyle w:val="13"/>
              <w:spacing w:line="240" w:lineRule="auto"/>
              <w:ind w:firstLine="0" w:firstLineChars="0"/>
              <w:rPr>
                <w:color w:val="auto"/>
              </w:rPr>
            </w:pPr>
          </w:p>
        </w:tc>
        <w:tc>
          <w:tcPr>
            <w:tcW w:w="3154" w:type="dxa"/>
            <w:tcBorders>
              <w:top w:val="single" w:color="000000" w:sz="4" w:space="0"/>
              <w:left w:val="single" w:color="000000" w:sz="4" w:space="0"/>
              <w:bottom w:val="single" w:color="000000" w:sz="4" w:space="0"/>
              <w:right w:val="single" w:color="000000" w:sz="4" w:space="0"/>
            </w:tcBorders>
            <w:noWrap w:val="0"/>
            <w:vAlign w:val="top"/>
          </w:tcPr>
          <w:p w14:paraId="4E74A7E3">
            <w:pPr>
              <w:pStyle w:val="13"/>
              <w:spacing w:line="240" w:lineRule="auto"/>
              <w:ind w:firstLine="0" w:firstLineChars="0"/>
              <w:rPr>
                <w:color w:val="auto"/>
              </w:rPr>
            </w:pPr>
          </w:p>
        </w:tc>
        <w:tc>
          <w:tcPr>
            <w:tcW w:w="2483" w:type="dxa"/>
            <w:tcBorders>
              <w:top w:val="single" w:color="000000" w:sz="4" w:space="0"/>
              <w:left w:val="single" w:color="000000" w:sz="4" w:space="0"/>
              <w:bottom w:val="single" w:color="000000" w:sz="4" w:space="0"/>
              <w:right w:val="single" w:color="000000" w:sz="4" w:space="0"/>
            </w:tcBorders>
            <w:noWrap w:val="0"/>
            <w:vAlign w:val="top"/>
          </w:tcPr>
          <w:p w14:paraId="083BCBDA">
            <w:pPr>
              <w:pStyle w:val="13"/>
              <w:spacing w:line="240" w:lineRule="auto"/>
              <w:ind w:firstLine="0" w:firstLineChars="0"/>
              <w:rPr>
                <w:color w:val="auto"/>
              </w:rPr>
            </w:pPr>
          </w:p>
        </w:tc>
        <w:tc>
          <w:tcPr>
            <w:tcW w:w="1250" w:type="dxa"/>
            <w:tcBorders>
              <w:top w:val="single" w:color="000000" w:sz="4" w:space="0"/>
              <w:left w:val="single" w:color="000000" w:sz="4" w:space="0"/>
              <w:bottom w:val="single" w:color="000000" w:sz="4" w:space="0"/>
              <w:right w:val="single" w:color="000000" w:sz="4" w:space="0"/>
            </w:tcBorders>
            <w:noWrap w:val="0"/>
            <w:vAlign w:val="top"/>
          </w:tcPr>
          <w:p w14:paraId="552987B4">
            <w:pPr>
              <w:pStyle w:val="13"/>
              <w:spacing w:line="240" w:lineRule="auto"/>
              <w:ind w:firstLine="0" w:firstLineChars="0"/>
              <w:rPr>
                <w:color w:val="auto"/>
              </w:rPr>
            </w:pPr>
          </w:p>
        </w:tc>
        <w:tc>
          <w:tcPr>
            <w:tcW w:w="1301" w:type="dxa"/>
            <w:tcBorders>
              <w:top w:val="single" w:color="000000" w:sz="4" w:space="0"/>
              <w:left w:val="single" w:color="000000" w:sz="4" w:space="0"/>
              <w:bottom w:val="single" w:color="000000" w:sz="4" w:space="0"/>
              <w:right w:val="single" w:color="000000" w:sz="4" w:space="0"/>
            </w:tcBorders>
            <w:noWrap w:val="0"/>
            <w:vAlign w:val="top"/>
          </w:tcPr>
          <w:p w14:paraId="62A426E2">
            <w:pPr>
              <w:pStyle w:val="13"/>
              <w:spacing w:line="240" w:lineRule="auto"/>
              <w:ind w:firstLine="0" w:firstLineChars="0"/>
              <w:rPr>
                <w:color w:val="auto"/>
              </w:rPr>
            </w:pPr>
          </w:p>
        </w:tc>
      </w:tr>
      <w:tr w14:paraId="15190F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5" w:hRule="atLeast"/>
          <w:jc w:val="center"/>
        </w:trPr>
        <w:tc>
          <w:tcPr>
            <w:tcW w:w="933" w:type="dxa"/>
            <w:tcBorders>
              <w:top w:val="single" w:color="000000" w:sz="4" w:space="0"/>
              <w:left w:val="single" w:color="000000" w:sz="4" w:space="0"/>
              <w:bottom w:val="single" w:color="000000" w:sz="4" w:space="0"/>
              <w:right w:val="single" w:color="000000" w:sz="4" w:space="0"/>
            </w:tcBorders>
            <w:noWrap w:val="0"/>
            <w:vAlign w:val="top"/>
          </w:tcPr>
          <w:p w14:paraId="14682D94">
            <w:pPr>
              <w:pStyle w:val="13"/>
              <w:spacing w:line="240" w:lineRule="auto"/>
              <w:ind w:firstLine="0" w:firstLineChars="0"/>
              <w:rPr>
                <w:color w:val="auto"/>
              </w:rPr>
            </w:pPr>
          </w:p>
        </w:tc>
        <w:tc>
          <w:tcPr>
            <w:tcW w:w="3154" w:type="dxa"/>
            <w:tcBorders>
              <w:top w:val="single" w:color="000000" w:sz="4" w:space="0"/>
              <w:left w:val="single" w:color="000000" w:sz="4" w:space="0"/>
              <w:bottom w:val="single" w:color="000000" w:sz="4" w:space="0"/>
              <w:right w:val="single" w:color="000000" w:sz="4" w:space="0"/>
            </w:tcBorders>
            <w:noWrap w:val="0"/>
            <w:vAlign w:val="top"/>
          </w:tcPr>
          <w:p w14:paraId="5B65DCB9">
            <w:pPr>
              <w:pStyle w:val="13"/>
              <w:spacing w:line="240" w:lineRule="auto"/>
              <w:ind w:firstLine="0" w:firstLineChars="0"/>
              <w:rPr>
                <w:color w:val="auto"/>
              </w:rPr>
            </w:pPr>
          </w:p>
        </w:tc>
        <w:tc>
          <w:tcPr>
            <w:tcW w:w="2483" w:type="dxa"/>
            <w:tcBorders>
              <w:top w:val="single" w:color="000000" w:sz="4" w:space="0"/>
              <w:left w:val="single" w:color="000000" w:sz="4" w:space="0"/>
              <w:bottom w:val="single" w:color="000000" w:sz="4" w:space="0"/>
              <w:right w:val="single" w:color="000000" w:sz="4" w:space="0"/>
            </w:tcBorders>
            <w:noWrap w:val="0"/>
            <w:vAlign w:val="top"/>
          </w:tcPr>
          <w:p w14:paraId="2EC8C5BF">
            <w:pPr>
              <w:pStyle w:val="13"/>
              <w:spacing w:line="240" w:lineRule="auto"/>
              <w:ind w:firstLine="0" w:firstLineChars="0"/>
              <w:rPr>
                <w:color w:val="auto"/>
              </w:rPr>
            </w:pPr>
          </w:p>
        </w:tc>
        <w:tc>
          <w:tcPr>
            <w:tcW w:w="1250" w:type="dxa"/>
            <w:tcBorders>
              <w:top w:val="single" w:color="000000" w:sz="4" w:space="0"/>
              <w:left w:val="single" w:color="000000" w:sz="4" w:space="0"/>
              <w:bottom w:val="single" w:color="000000" w:sz="4" w:space="0"/>
              <w:right w:val="single" w:color="000000" w:sz="4" w:space="0"/>
            </w:tcBorders>
            <w:noWrap w:val="0"/>
            <w:vAlign w:val="top"/>
          </w:tcPr>
          <w:p w14:paraId="44E116FD">
            <w:pPr>
              <w:pStyle w:val="13"/>
              <w:spacing w:line="240" w:lineRule="auto"/>
              <w:ind w:firstLine="0" w:firstLineChars="0"/>
              <w:rPr>
                <w:color w:val="auto"/>
              </w:rPr>
            </w:pPr>
          </w:p>
        </w:tc>
        <w:tc>
          <w:tcPr>
            <w:tcW w:w="1301" w:type="dxa"/>
            <w:tcBorders>
              <w:top w:val="single" w:color="000000" w:sz="4" w:space="0"/>
              <w:left w:val="single" w:color="000000" w:sz="4" w:space="0"/>
              <w:bottom w:val="single" w:color="000000" w:sz="4" w:space="0"/>
              <w:right w:val="single" w:color="000000" w:sz="4" w:space="0"/>
            </w:tcBorders>
            <w:noWrap w:val="0"/>
            <w:vAlign w:val="top"/>
          </w:tcPr>
          <w:p w14:paraId="3AA02F6E">
            <w:pPr>
              <w:pStyle w:val="13"/>
              <w:spacing w:line="240" w:lineRule="auto"/>
              <w:ind w:firstLine="0" w:firstLineChars="0"/>
              <w:rPr>
                <w:color w:val="auto"/>
              </w:rPr>
            </w:pPr>
          </w:p>
        </w:tc>
      </w:tr>
      <w:tr w14:paraId="405220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5" w:hRule="atLeast"/>
          <w:jc w:val="center"/>
        </w:trPr>
        <w:tc>
          <w:tcPr>
            <w:tcW w:w="933" w:type="dxa"/>
            <w:tcBorders>
              <w:top w:val="single" w:color="000000" w:sz="4" w:space="0"/>
              <w:left w:val="single" w:color="000000" w:sz="4" w:space="0"/>
              <w:bottom w:val="single" w:color="000000" w:sz="4" w:space="0"/>
              <w:right w:val="single" w:color="000000" w:sz="4" w:space="0"/>
            </w:tcBorders>
            <w:noWrap w:val="0"/>
            <w:vAlign w:val="top"/>
          </w:tcPr>
          <w:p w14:paraId="56BD0315">
            <w:pPr>
              <w:pStyle w:val="13"/>
              <w:spacing w:line="240" w:lineRule="auto"/>
              <w:ind w:firstLine="0" w:firstLineChars="0"/>
              <w:rPr>
                <w:color w:val="auto"/>
              </w:rPr>
            </w:pPr>
          </w:p>
        </w:tc>
        <w:tc>
          <w:tcPr>
            <w:tcW w:w="3154" w:type="dxa"/>
            <w:tcBorders>
              <w:top w:val="single" w:color="000000" w:sz="4" w:space="0"/>
              <w:left w:val="single" w:color="000000" w:sz="4" w:space="0"/>
              <w:bottom w:val="single" w:color="000000" w:sz="4" w:space="0"/>
              <w:right w:val="single" w:color="000000" w:sz="4" w:space="0"/>
            </w:tcBorders>
            <w:noWrap w:val="0"/>
            <w:vAlign w:val="top"/>
          </w:tcPr>
          <w:p w14:paraId="4C4ECDA0">
            <w:pPr>
              <w:pStyle w:val="13"/>
              <w:spacing w:line="240" w:lineRule="auto"/>
              <w:ind w:firstLine="0" w:firstLineChars="0"/>
              <w:rPr>
                <w:color w:val="auto"/>
              </w:rPr>
            </w:pPr>
          </w:p>
        </w:tc>
        <w:tc>
          <w:tcPr>
            <w:tcW w:w="2483" w:type="dxa"/>
            <w:tcBorders>
              <w:top w:val="single" w:color="000000" w:sz="4" w:space="0"/>
              <w:left w:val="single" w:color="000000" w:sz="4" w:space="0"/>
              <w:bottom w:val="single" w:color="000000" w:sz="4" w:space="0"/>
              <w:right w:val="single" w:color="000000" w:sz="4" w:space="0"/>
            </w:tcBorders>
            <w:noWrap w:val="0"/>
            <w:vAlign w:val="top"/>
          </w:tcPr>
          <w:p w14:paraId="21B515B5">
            <w:pPr>
              <w:pStyle w:val="13"/>
              <w:spacing w:line="240" w:lineRule="auto"/>
              <w:ind w:firstLine="0" w:firstLineChars="0"/>
              <w:rPr>
                <w:color w:val="auto"/>
              </w:rPr>
            </w:pPr>
          </w:p>
        </w:tc>
        <w:tc>
          <w:tcPr>
            <w:tcW w:w="1250" w:type="dxa"/>
            <w:tcBorders>
              <w:top w:val="single" w:color="000000" w:sz="4" w:space="0"/>
              <w:left w:val="single" w:color="000000" w:sz="4" w:space="0"/>
              <w:bottom w:val="single" w:color="000000" w:sz="4" w:space="0"/>
              <w:right w:val="single" w:color="000000" w:sz="4" w:space="0"/>
            </w:tcBorders>
            <w:noWrap w:val="0"/>
            <w:vAlign w:val="top"/>
          </w:tcPr>
          <w:p w14:paraId="4C6F84FC">
            <w:pPr>
              <w:pStyle w:val="13"/>
              <w:spacing w:line="240" w:lineRule="auto"/>
              <w:ind w:firstLine="0" w:firstLineChars="0"/>
              <w:rPr>
                <w:color w:val="auto"/>
              </w:rPr>
            </w:pPr>
          </w:p>
        </w:tc>
        <w:tc>
          <w:tcPr>
            <w:tcW w:w="1301" w:type="dxa"/>
            <w:tcBorders>
              <w:top w:val="single" w:color="000000" w:sz="4" w:space="0"/>
              <w:left w:val="single" w:color="000000" w:sz="4" w:space="0"/>
              <w:bottom w:val="single" w:color="000000" w:sz="4" w:space="0"/>
              <w:right w:val="single" w:color="000000" w:sz="4" w:space="0"/>
            </w:tcBorders>
            <w:noWrap w:val="0"/>
            <w:vAlign w:val="top"/>
          </w:tcPr>
          <w:p w14:paraId="46A79B3E">
            <w:pPr>
              <w:pStyle w:val="13"/>
              <w:spacing w:line="240" w:lineRule="auto"/>
              <w:ind w:firstLine="0" w:firstLineChars="0"/>
              <w:rPr>
                <w:color w:val="auto"/>
              </w:rPr>
            </w:pPr>
          </w:p>
        </w:tc>
      </w:tr>
    </w:tbl>
    <w:p w14:paraId="371E784D">
      <w:pPr>
        <w:ind w:firstLine="480"/>
        <w:rPr>
          <w:color w:val="auto"/>
        </w:rPr>
      </w:pPr>
    </w:p>
    <w:p w14:paraId="3D8F2EDB">
      <w:pPr>
        <w:ind w:firstLine="480"/>
        <w:rPr>
          <w:color w:val="auto"/>
        </w:rPr>
      </w:pPr>
    </w:p>
    <w:p w14:paraId="28A2A993">
      <w:pPr>
        <w:ind w:firstLine="480"/>
        <w:rPr>
          <w:rFonts w:hint="eastAsia"/>
          <w:color w:val="auto"/>
          <w:lang w:bidi="ar"/>
        </w:rPr>
      </w:pPr>
    </w:p>
    <w:p w14:paraId="078F4970">
      <w:pPr>
        <w:ind w:firstLine="480"/>
        <w:jc w:val="right"/>
        <w:rPr>
          <w:rFonts w:hint="eastAsia"/>
          <w:color w:val="auto"/>
          <w:u w:val="none"/>
          <w:lang w:val="en-US" w:eastAsia="zh-CN" w:bidi="ar"/>
        </w:rPr>
      </w:pPr>
      <w:r>
        <w:rPr>
          <w:rFonts w:hint="eastAsia"/>
          <w:color w:val="auto"/>
          <w:lang w:bidi="ar"/>
        </w:rPr>
        <w:t>法定代表人或被授权代表（签字或盖章）：</w:t>
      </w:r>
      <w:r>
        <w:rPr>
          <w:rFonts w:hint="eastAsia" w:hAnsi="宋体" w:cs="宋体"/>
          <w:color w:val="auto"/>
          <w:sz w:val="24"/>
          <w:szCs w:val="24"/>
          <w:u w:val="single"/>
        </w:rPr>
        <w:tab/>
      </w:r>
      <w:r>
        <w:rPr>
          <w:rFonts w:hint="eastAsia" w:hAnsi="宋体" w:cs="宋体"/>
          <w:color w:val="auto"/>
          <w:sz w:val="24"/>
          <w:szCs w:val="24"/>
          <w:u w:val="single"/>
        </w:rPr>
        <w:tab/>
      </w:r>
      <w:r>
        <w:rPr>
          <w:rFonts w:hint="eastAsia" w:hAnsi="宋体" w:cs="宋体"/>
          <w:color w:val="auto"/>
          <w:sz w:val="24"/>
          <w:szCs w:val="24"/>
          <w:u w:val="single"/>
        </w:rPr>
        <w:tab/>
      </w:r>
    </w:p>
    <w:p w14:paraId="60C14CFE">
      <w:pPr>
        <w:ind w:firstLine="480"/>
        <w:jc w:val="right"/>
        <w:rPr>
          <w:color w:val="auto"/>
        </w:rPr>
      </w:pPr>
      <w:r>
        <w:rPr>
          <w:rFonts w:hint="eastAsia"/>
          <w:color w:val="auto"/>
          <w:lang w:eastAsia="zh-CN" w:bidi="ar"/>
        </w:rPr>
        <w:t>投标人</w:t>
      </w:r>
      <w:r>
        <w:rPr>
          <w:rFonts w:hint="eastAsia"/>
          <w:color w:val="auto"/>
          <w:lang w:bidi="ar"/>
        </w:rPr>
        <w:t>名称（公章）：</w:t>
      </w:r>
      <w:r>
        <w:rPr>
          <w:rFonts w:hint="eastAsia" w:hAnsi="宋体" w:cs="宋体"/>
          <w:color w:val="auto"/>
          <w:sz w:val="24"/>
          <w:szCs w:val="24"/>
          <w:u w:val="single"/>
        </w:rPr>
        <w:tab/>
      </w:r>
      <w:r>
        <w:rPr>
          <w:rFonts w:hint="eastAsia" w:hAnsi="宋体" w:cs="宋体"/>
          <w:color w:val="auto"/>
          <w:sz w:val="24"/>
          <w:szCs w:val="24"/>
          <w:u w:val="single"/>
        </w:rPr>
        <w:tab/>
      </w:r>
      <w:r>
        <w:rPr>
          <w:rFonts w:hint="eastAsia" w:hAnsi="宋体" w:cs="宋体"/>
          <w:color w:val="auto"/>
          <w:sz w:val="24"/>
          <w:szCs w:val="24"/>
          <w:u w:val="single"/>
        </w:rPr>
        <w:tab/>
      </w:r>
    </w:p>
    <w:p w14:paraId="617A24A2">
      <w:pPr>
        <w:ind w:firstLine="480"/>
        <w:jc w:val="right"/>
        <w:rPr>
          <w:rFonts w:hint="eastAsia" w:eastAsia="宋体"/>
          <w:color w:val="auto"/>
          <w:lang w:eastAsia="zh-CN"/>
        </w:rPr>
      </w:pPr>
      <w:r>
        <w:rPr>
          <w:rFonts w:hint="eastAsia"/>
          <w:color w:val="auto"/>
          <w:lang w:bidi="ar"/>
        </w:rPr>
        <w:t>日期：</w:t>
      </w:r>
      <w:r>
        <w:rPr>
          <w:rFonts w:hint="eastAsia"/>
          <w:color w:val="auto"/>
          <w:u w:val="single"/>
          <w:lang w:val="en-US" w:eastAsia="zh-CN" w:bidi="ar"/>
        </w:rPr>
        <w:t xml:space="preserve">  </w:t>
      </w:r>
      <w:r>
        <w:rPr>
          <w:rFonts w:hint="eastAsia"/>
          <w:color w:val="auto"/>
          <w:lang w:eastAsia="zh-CN" w:bidi="ar"/>
        </w:rPr>
        <w:t>年</w:t>
      </w:r>
      <w:r>
        <w:rPr>
          <w:rFonts w:hint="eastAsia"/>
          <w:color w:val="auto"/>
          <w:u w:val="single"/>
          <w:lang w:val="en-US" w:eastAsia="zh-CN" w:bidi="ar"/>
        </w:rPr>
        <w:t xml:space="preserve">  </w:t>
      </w:r>
      <w:r>
        <w:rPr>
          <w:rFonts w:hint="eastAsia"/>
          <w:color w:val="auto"/>
          <w:lang w:eastAsia="zh-CN" w:bidi="ar"/>
        </w:rPr>
        <w:t>月</w:t>
      </w:r>
      <w:r>
        <w:rPr>
          <w:rFonts w:hint="eastAsia"/>
          <w:color w:val="auto"/>
          <w:u w:val="single"/>
          <w:lang w:val="en-US" w:eastAsia="zh-CN" w:bidi="ar"/>
        </w:rPr>
        <w:t xml:space="preserve">  </w:t>
      </w:r>
      <w:r>
        <w:rPr>
          <w:rFonts w:hint="eastAsia"/>
          <w:color w:val="auto"/>
          <w:lang w:eastAsia="zh-CN" w:bidi="ar"/>
        </w:rPr>
        <w:t>日</w:t>
      </w:r>
    </w:p>
    <w:p w14:paraId="3BEE5533">
      <w:pPr>
        <w:ind w:firstLine="482"/>
        <w:jc w:val="center"/>
        <w:rPr>
          <w:b/>
          <w:color w:val="auto"/>
        </w:rPr>
      </w:pPr>
    </w:p>
    <w:p w14:paraId="7858AA4F">
      <w:pPr>
        <w:widowControl/>
        <w:ind w:firstLine="0" w:firstLineChars="0"/>
        <w:jc w:val="center"/>
        <w:rPr>
          <w:rFonts w:hint="eastAsia"/>
          <w:color w:val="auto"/>
          <w:lang w:bidi="ar"/>
        </w:rPr>
      </w:pPr>
    </w:p>
    <w:p w14:paraId="7B4B594B">
      <w:pPr>
        <w:widowControl/>
        <w:ind w:firstLine="0" w:firstLineChars="0"/>
        <w:jc w:val="center"/>
        <w:rPr>
          <w:rFonts w:hint="eastAsia"/>
          <w:color w:val="auto"/>
          <w:lang w:bidi="ar"/>
        </w:rPr>
      </w:pPr>
    </w:p>
    <w:p w14:paraId="1805A398">
      <w:pPr>
        <w:widowControl/>
        <w:ind w:firstLine="0" w:firstLineChars="0"/>
        <w:jc w:val="center"/>
        <w:rPr>
          <w:rFonts w:hint="eastAsia"/>
          <w:color w:val="auto"/>
          <w:lang w:bidi="ar"/>
        </w:rPr>
      </w:pPr>
    </w:p>
    <w:p w14:paraId="4E1CDD2A">
      <w:pPr>
        <w:widowControl/>
        <w:ind w:firstLine="0" w:firstLineChars="0"/>
        <w:jc w:val="center"/>
        <w:rPr>
          <w:rFonts w:hint="eastAsia"/>
          <w:color w:val="auto"/>
          <w:lang w:bidi="ar"/>
        </w:rPr>
      </w:pPr>
    </w:p>
    <w:p w14:paraId="1E096320">
      <w:pPr>
        <w:widowControl/>
        <w:ind w:firstLine="0" w:firstLineChars="0"/>
        <w:jc w:val="center"/>
        <w:rPr>
          <w:rFonts w:hint="eastAsia"/>
          <w:color w:val="auto"/>
          <w:lang w:bidi="ar"/>
        </w:rPr>
      </w:pPr>
    </w:p>
    <w:p w14:paraId="07904D98">
      <w:pPr>
        <w:widowControl/>
        <w:ind w:firstLine="0" w:firstLineChars="0"/>
        <w:jc w:val="center"/>
        <w:rPr>
          <w:rFonts w:hint="eastAsia"/>
          <w:color w:val="auto"/>
          <w:lang w:bidi="ar"/>
        </w:rPr>
      </w:pPr>
    </w:p>
    <w:p w14:paraId="1DB57658">
      <w:pPr>
        <w:widowControl/>
        <w:ind w:firstLine="0" w:firstLineChars="0"/>
        <w:jc w:val="center"/>
        <w:rPr>
          <w:rFonts w:hint="eastAsia"/>
          <w:color w:val="auto"/>
          <w:lang w:bidi="ar"/>
        </w:rPr>
      </w:pPr>
    </w:p>
    <w:p w14:paraId="43F368FE">
      <w:pPr>
        <w:widowControl/>
        <w:ind w:firstLine="0" w:firstLineChars="0"/>
        <w:jc w:val="center"/>
        <w:rPr>
          <w:rFonts w:hint="eastAsia"/>
          <w:color w:val="auto"/>
          <w:lang w:bidi="ar"/>
        </w:rPr>
      </w:pPr>
    </w:p>
    <w:p w14:paraId="71586AE7">
      <w:pPr>
        <w:widowControl/>
        <w:ind w:firstLine="0" w:firstLineChars="0"/>
        <w:jc w:val="center"/>
        <w:rPr>
          <w:rFonts w:hint="eastAsia"/>
          <w:color w:val="auto"/>
          <w:lang w:bidi="ar"/>
        </w:rPr>
      </w:pPr>
    </w:p>
    <w:p w14:paraId="06BE2D09">
      <w:pPr>
        <w:widowControl/>
        <w:ind w:firstLine="0" w:firstLineChars="0"/>
        <w:jc w:val="center"/>
        <w:rPr>
          <w:rFonts w:hint="eastAsia"/>
          <w:color w:val="auto"/>
          <w:lang w:bidi="ar"/>
        </w:rPr>
      </w:pPr>
    </w:p>
    <w:p w14:paraId="104A5286">
      <w:pPr>
        <w:widowControl/>
        <w:ind w:firstLine="0" w:firstLineChars="0"/>
        <w:jc w:val="center"/>
        <w:rPr>
          <w:rFonts w:hint="eastAsia"/>
          <w:color w:val="auto"/>
          <w:lang w:bidi="ar"/>
        </w:rPr>
      </w:pPr>
    </w:p>
    <w:p w14:paraId="3B570127">
      <w:pPr>
        <w:widowControl/>
        <w:ind w:firstLine="0" w:firstLineChars="0"/>
        <w:jc w:val="center"/>
        <w:rPr>
          <w:rFonts w:hint="eastAsia"/>
          <w:color w:val="auto"/>
          <w:lang w:bidi="ar"/>
        </w:rPr>
      </w:pPr>
    </w:p>
    <w:p w14:paraId="03ACFFE2">
      <w:pPr>
        <w:widowControl/>
        <w:ind w:firstLine="0" w:firstLineChars="0"/>
        <w:jc w:val="both"/>
        <w:rPr>
          <w:rFonts w:hint="eastAsia"/>
          <w:color w:val="auto"/>
          <w:lang w:bidi="ar"/>
        </w:rPr>
      </w:pPr>
    </w:p>
    <w:p w14:paraId="22D77F25">
      <w:pPr>
        <w:widowControl/>
        <w:ind w:firstLine="0" w:firstLineChars="0"/>
        <w:jc w:val="both"/>
        <w:rPr>
          <w:rFonts w:hint="eastAsia"/>
          <w:color w:val="auto"/>
          <w:lang w:bidi="ar"/>
        </w:rPr>
      </w:pPr>
    </w:p>
    <w:p w14:paraId="754F8091">
      <w:pPr>
        <w:pStyle w:val="3"/>
        <w:bidi w:val="0"/>
        <w:rPr>
          <w:rFonts w:hint="eastAsia" w:eastAsia="宋体"/>
          <w:color w:val="auto"/>
          <w:lang w:eastAsia="zh-CN"/>
        </w:rPr>
      </w:pPr>
      <w:r>
        <w:rPr>
          <w:rFonts w:hint="eastAsia"/>
          <w:color w:val="auto"/>
          <w:lang w:val="en-US" w:eastAsia="zh-CN"/>
        </w:rPr>
        <w:t>八、</w:t>
      </w:r>
      <w:r>
        <w:rPr>
          <w:rFonts w:hint="eastAsia"/>
          <w:color w:val="auto"/>
        </w:rPr>
        <w:t>货物（服务）</w:t>
      </w:r>
      <w:r>
        <w:rPr>
          <w:rFonts w:hint="eastAsia"/>
          <w:color w:val="auto"/>
          <w:lang w:eastAsia="zh-CN"/>
        </w:rPr>
        <w:t>分项报价表</w:t>
      </w:r>
    </w:p>
    <w:p w14:paraId="51079AA2">
      <w:pPr>
        <w:pageBreakBefore w:val="0"/>
        <w:kinsoku/>
        <w:wordWrap/>
        <w:overflowPunct w:val="0"/>
        <w:topLinePunct w:val="0"/>
        <w:bidi w:val="0"/>
        <w:spacing w:line="360" w:lineRule="auto"/>
        <w:ind w:firstLine="0" w:firstLineChars="0"/>
        <w:jc w:val="left"/>
        <w:textAlignment w:val="auto"/>
        <w:rPr>
          <w:rFonts w:hint="eastAsia" w:ascii="仿宋" w:hAnsi="仿宋" w:eastAsia="仿宋" w:cs="仿宋"/>
          <w:b/>
          <w:color w:val="auto"/>
          <w:highlight w:val="none"/>
        </w:rPr>
      </w:pPr>
    </w:p>
    <w:p w14:paraId="2AAFFE28">
      <w:pPr>
        <w:pageBreakBefore w:val="0"/>
        <w:kinsoku/>
        <w:wordWrap/>
        <w:overflowPunct w:val="0"/>
        <w:topLinePunct w:val="0"/>
        <w:bidi w:val="0"/>
        <w:spacing w:line="360" w:lineRule="auto"/>
        <w:ind w:firstLine="420" w:firstLineChars="200"/>
        <w:jc w:val="left"/>
        <w:textAlignment w:val="auto"/>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项目编号：</w:t>
      </w:r>
    </w:p>
    <w:p w14:paraId="5C4E0E24">
      <w:pPr>
        <w:pageBreakBefore w:val="0"/>
        <w:kinsoku/>
        <w:wordWrap/>
        <w:overflowPunct w:val="0"/>
        <w:topLinePunct w:val="0"/>
        <w:bidi w:val="0"/>
        <w:spacing w:line="360" w:lineRule="auto"/>
        <w:ind w:firstLine="420" w:firstLineChars="200"/>
        <w:jc w:val="left"/>
        <w:textAlignment w:val="auto"/>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项目名称：</w:t>
      </w:r>
    </w:p>
    <w:tbl>
      <w:tblPr>
        <w:tblStyle w:val="15"/>
        <w:tblW w:w="5985"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28" w:type="dxa"/>
          <w:left w:w="57" w:type="dxa"/>
          <w:bottom w:w="28" w:type="dxa"/>
          <w:right w:w="57" w:type="dxa"/>
        </w:tblCellMar>
      </w:tblPr>
      <w:tblGrid>
        <w:gridCol w:w="598"/>
        <w:gridCol w:w="1956"/>
        <w:gridCol w:w="1907"/>
        <w:gridCol w:w="1228"/>
        <w:gridCol w:w="1006"/>
        <w:gridCol w:w="813"/>
        <w:gridCol w:w="1188"/>
        <w:gridCol w:w="1383"/>
      </w:tblGrid>
      <w:tr w14:paraId="7C0FC81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28" w:type="dxa"/>
            <w:left w:w="57" w:type="dxa"/>
            <w:bottom w:w="28" w:type="dxa"/>
            <w:right w:w="57" w:type="dxa"/>
          </w:tblCellMar>
        </w:tblPrEx>
        <w:trPr>
          <w:trHeight w:val="614" w:hRule="atLeast"/>
          <w:jc w:val="center"/>
        </w:trPr>
        <w:tc>
          <w:tcPr>
            <w:tcW w:w="297" w:type="pct"/>
            <w:shd w:val="clear" w:color="auto" w:fill="E7E6E6" w:themeFill="background2"/>
            <w:vAlign w:val="center"/>
          </w:tcPr>
          <w:p w14:paraId="37226F38">
            <w:pPr>
              <w:adjustRightInd w:val="0"/>
              <w:snapToGrid w:val="0"/>
              <w:jc w:val="center"/>
              <w:rPr>
                <w:rFonts w:ascii="华文宋体" w:hAnsi="华文宋体" w:eastAsia="华文宋体"/>
                <w:b/>
                <w:color w:val="auto"/>
                <w:sz w:val="24"/>
              </w:rPr>
            </w:pPr>
            <w:r>
              <w:rPr>
                <w:rFonts w:ascii="华文宋体" w:hAnsi="华文宋体" w:eastAsia="华文宋体"/>
                <w:b/>
                <w:color w:val="auto"/>
                <w:sz w:val="24"/>
              </w:rPr>
              <w:t>序号</w:t>
            </w:r>
          </w:p>
        </w:tc>
        <w:tc>
          <w:tcPr>
            <w:tcW w:w="970" w:type="pct"/>
            <w:tcBorders>
              <w:right w:val="single" w:color="auto" w:sz="4" w:space="0"/>
            </w:tcBorders>
            <w:shd w:val="clear" w:color="auto" w:fill="E7E6E6" w:themeFill="background2"/>
            <w:vAlign w:val="center"/>
          </w:tcPr>
          <w:p w14:paraId="725DBE15">
            <w:pPr>
              <w:adjustRightInd w:val="0"/>
              <w:snapToGrid w:val="0"/>
              <w:ind w:left="41" w:leftChars="-57" w:hanging="161" w:hangingChars="67"/>
              <w:jc w:val="center"/>
              <w:rPr>
                <w:rFonts w:ascii="华文宋体" w:hAnsi="华文宋体" w:eastAsia="华文宋体"/>
                <w:b/>
                <w:color w:val="auto"/>
                <w:sz w:val="24"/>
              </w:rPr>
            </w:pPr>
            <w:r>
              <w:rPr>
                <w:rFonts w:hint="eastAsia" w:ascii="华文宋体" w:hAnsi="华文宋体" w:eastAsia="华文宋体"/>
                <w:b/>
                <w:color w:val="auto"/>
                <w:sz w:val="24"/>
              </w:rPr>
              <w:t>货物</w:t>
            </w:r>
            <w:r>
              <w:rPr>
                <w:rFonts w:ascii="华文宋体" w:hAnsi="华文宋体" w:eastAsia="华文宋体"/>
                <w:b/>
                <w:color w:val="auto"/>
                <w:sz w:val="24"/>
              </w:rPr>
              <w:t>名称</w:t>
            </w:r>
          </w:p>
        </w:tc>
        <w:tc>
          <w:tcPr>
            <w:tcW w:w="946" w:type="pct"/>
            <w:tcBorders>
              <w:left w:val="single" w:color="auto" w:sz="4" w:space="0"/>
              <w:right w:val="single" w:color="auto" w:sz="4" w:space="0"/>
            </w:tcBorders>
            <w:shd w:val="clear" w:color="auto" w:fill="E7E6E6" w:themeFill="background2"/>
            <w:vAlign w:val="center"/>
          </w:tcPr>
          <w:p w14:paraId="31F996B0">
            <w:pPr>
              <w:adjustRightInd w:val="0"/>
              <w:snapToGrid w:val="0"/>
              <w:jc w:val="center"/>
              <w:rPr>
                <w:rFonts w:ascii="华文宋体" w:hAnsi="华文宋体" w:eastAsia="华文宋体"/>
                <w:b/>
                <w:color w:val="auto"/>
                <w:sz w:val="24"/>
              </w:rPr>
            </w:pPr>
            <w:r>
              <w:rPr>
                <w:rFonts w:hint="eastAsia" w:ascii="华文宋体" w:hAnsi="华文宋体" w:eastAsia="华文宋体"/>
                <w:b/>
                <w:color w:val="auto"/>
                <w:sz w:val="24"/>
              </w:rPr>
              <w:t>规格型号</w:t>
            </w:r>
          </w:p>
        </w:tc>
        <w:tc>
          <w:tcPr>
            <w:tcW w:w="609" w:type="pct"/>
            <w:tcBorders>
              <w:left w:val="single" w:color="auto" w:sz="4" w:space="0"/>
              <w:right w:val="single" w:color="auto" w:sz="4" w:space="0"/>
            </w:tcBorders>
            <w:shd w:val="clear" w:color="auto" w:fill="E7E6E6" w:themeFill="background2"/>
            <w:vAlign w:val="center"/>
          </w:tcPr>
          <w:p w14:paraId="63D2D3FB">
            <w:pPr>
              <w:adjustRightInd w:val="0"/>
              <w:snapToGrid w:val="0"/>
              <w:jc w:val="center"/>
              <w:rPr>
                <w:rFonts w:ascii="华文宋体" w:hAnsi="华文宋体" w:eastAsia="华文宋体"/>
                <w:b/>
                <w:color w:val="auto"/>
                <w:sz w:val="24"/>
              </w:rPr>
            </w:pPr>
            <w:r>
              <w:rPr>
                <w:rFonts w:hint="eastAsia" w:ascii="华文宋体" w:hAnsi="华文宋体" w:eastAsia="华文宋体"/>
                <w:b/>
                <w:color w:val="auto"/>
                <w:sz w:val="24"/>
              </w:rPr>
              <w:t>制造商</w:t>
            </w:r>
          </w:p>
        </w:tc>
        <w:tc>
          <w:tcPr>
            <w:tcW w:w="497" w:type="pct"/>
            <w:tcBorders>
              <w:left w:val="single" w:color="auto" w:sz="4" w:space="0"/>
            </w:tcBorders>
            <w:shd w:val="clear" w:color="auto" w:fill="E7E6E6" w:themeFill="background2"/>
            <w:vAlign w:val="center"/>
          </w:tcPr>
          <w:p w14:paraId="4BA222F0">
            <w:pPr>
              <w:adjustRightInd w:val="0"/>
              <w:snapToGrid w:val="0"/>
              <w:jc w:val="center"/>
              <w:rPr>
                <w:rFonts w:ascii="华文宋体" w:hAnsi="华文宋体" w:eastAsia="华文宋体"/>
                <w:b/>
                <w:color w:val="auto"/>
                <w:sz w:val="24"/>
              </w:rPr>
            </w:pPr>
            <w:r>
              <w:rPr>
                <w:rFonts w:hint="eastAsia" w:ascii="华文宋体" w:hAnsi="华文宋体" w:eastAsia="华文宋体"/>
                <w:b/>
                <w:color w:val="auto"/>
                <w:sz w:val="24"/>
              </w:rPr>
              <w:t>数量</w:t>
            </w:r>
          </w:p>
        </w:tc>
        <w:tc>
          <w:tcPr>
            <w:tcW w:w="403" w:type="pct"/>
            <w:tcBorders>
              <w:right w:val="single" w:color="auto" w:sz="4" w:space="0"/>
            </w:tcBorders>
            <w:shd w:val="clear" w:color="auto" w:fill="E7E6E6" w:themeFill="background2"/>
            <w:vAlign w:val="center"/>
          </w:tcPr>
          <w:p w14:paraId="1F225EB4">
            <w:pPr>
              <w:adjustRightInd w:val="0"/>
              <w:snapToGrid w:val="0"/>
              <w:jc w:val="center"/>
              <w:rPr>
                <w:rFonts w:ascii="华文宋体" w:hAnsi="华文宋体" w:eastAsia="华文宋体"/>
                <w:b/>
                <w:color w:val="auto"/>
                <w:sz w:val="24"/>
              </w:rPr>
            </w:pPr>
            <w:r>
              <w:rPr>
                <w:rFonts w:hint="eastAsia" w:ascii="华文宋体" w:hAnsi="华文宋体" w:eastAsia="华文宋体"/>
                <w:b/>
                <w:color w:val="auto"/>
                <w:sz w:val="24"/>
              </w:rPr>
              <w:t>计量</w:t>
            </w:r>
          </w:p>
          <w:p w14:paraId="34A20265">
            <w:pPr>
              <w:adjustRightInd w:val="0"/>
              <w:snapToGrid w:val="0"/>
              <w:jc w:val="center"/>
              <w:rPr>
                <w:rFonts w:ascii="华文宋体" w:hAnsi="华文宋体" w:eastAsia="华文宋体"/>
                <w:b/>
                <w:color w:val="auto"/>
                <w:sz w:val="24"/>
              </w:rPr>
            </w:pPr>
            <w:r>
              <w:rPr>
                <w:rFonts w:hint="eastAsia" w:ascii="华文宋体" w:hAnsi="华文宋体" w:eastAsia="华文宋体"/>
                <w:b/>
                <w:color w:val="auto"/>
                <w:sz w:val="24"/>
              </w:rPr>
              <w:t>单位</w:t>
            </w:r>
          </w:p>
        </w:tc>
        <w:tc>
          <w:tcPr>
            <w:tcW w:w="589" w:type="pct"/>
            <w:tcBorders>
              <w:left w:val="single" w:color="auto" w:sz="4" w:space="0"/>
            </w:tcBorders>
            <w:shd w:val="clear" w:color="auto" w:fill="E7E6E6" w:themeFill="background2"/>
            <w:vAlign w:val="center"/>
          </w:tcPr>
          <w:p w14:paraId="09E7C15E">
            <w:pPr>
              <w:adjustRightInd w:val="0"/>
              <w:snapToGrid w:val="0"/>
              <w:jc w:val="center"/>
              <w:rPr>
                <w:rFonts w:ascii="华文宋体" w:hAnsi="华文宋体" w:eastAsia="华文宋体"/>
                <w:b/>
                <w:color w:val="auto"/>
                <w:sz w:val="24"/>
              </w:rPr>
            </w:pPr>
            <w:r>
              <w:rPr>
                <w:rFonts w:ascii="华文宋体" w:hAnsi="华文宋体" w:eastAsia="华文宋体"/>
                <w:b/>
                <w:color w:val="auto"/>
                <w:sz w:val="24"/>
              </w:rPr>
              <w:t>单价</w:t>
            </w:r>
          </w:p>
        </w:tc>
        <w:tc>
          <w:tcPr>
            <w:tcW w:w="686" w:type="pct"/>
            <w:shd w:val="clear" w:color="auto" w:fill="E7E6E6" w:themeFill="background2"/>
            <w:vAlign w:val="center"/>
          </w:tcPr>
          <w:p w14:paraId="466A4F9B">
            <w:pPr>
              <w:adjustRightInd w:val="0"/>
              <w:snapToGrid w:val="0"/>
              <w:jc w:val="center"/>
              <w:rPr>
                <w:rFonts w:ascii="华文宋体" w:hAnsi="华文宋体" w:eastAsia="华文宋体"/>
                <w:b/>
                <w:color w:val="auto"/>
                <w:sz w:val="24"/>
              </w:rPr>
            </w:pPr>
            <w:r>
              <w:rPr>
                <w:rFonts w:hint="eastAsia" w:ascii="华文宋体" w:hAnsi="华文宋体" w:eastAsia="华文宋体"/>
                <w:b/>
                <w:color w:val="auto"/>
                <w:sz w:val="24"/>
              </w:rPr>
              <w:t>分项合计</w:t>
            </w:r>
          </w:p>
        </w:tc>
      </w:tr>
      <w:tr w14:paraId="22ADF85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28" w:type="dxa"/>
            <w:left w:w="57" w:type="dxa"/>
            <w:bottom w:w="28" w:type="dxa"/>
            <w:right w:w="57" w:type="dxa"/>
          </w:tblCellMar>
        </w:tblPrEx>
        <w:trPr>
          <w:trHeight w:val="567" w:hRule="atLeast"/>
          <w:jc w:val="center"/>
        </w:trPr>
        <w:tc>
          <w:tcPr>
            <w:tcW w:w="297" w:type="pct"/>
            <w:vAlign w:val="center"/>
          </w:tcPr>
          <w:p w14:paraId="357F91E8">
            <w:pPr>
              <w:adjustRightInd w:val="0"/>
              <w:snapToGrid w:val="0"/>
              <w:jc w:val="center"/>
              <w:rPr>
                <w:rFonts w:ascii="华文宋体" w:hAnsi="华文宋体" w:eastAsia="华文宋体"/>
                <w:color w:val="auto"/>
                <w:sz w:val="24"/>
              </w:rPr>
            </w:pPr>
            <w:r>
              <w:rPr>
                <w:rFonts w:hint="eastAsia" w:ascii="华文宋体" w:hAnsi="华文宋体" w:eastAsia="华文宋体"/>
                <w:color w:val="auto"/>
                <w:sz w:val="24"/>
              </w:rPr>
              <w:t>1</w:t>
            </w:r>
          </w:p>
        </w:tc>
        <w:tc>
          <w:tcPr>
            <w:tcW w:w="970" w:type="pct"/>
            <w:tcBorders>
              <w:right w:val="single" w:color="auto" w:sz="4" w:space="0"/>
            </w:tcBorders>
            <w:vAlign w:val="center"/>
          </w:tcPr>
          <w:p w14:paraId="66A7026C">
            <w:pPr>
              <w:adjustRightInd w:val="0"/>
              <w:snapToGrid w:val="0"/>
              <w:ind w:leftChars="-108" w:hanging="302" w:hangingChars="126"/>
              <w:jc w:val="center"/>
              <w:rPr>
                <w:rFonts w:ascii="华文宋体" w:hAnsi="华文宋体" w:eastAsia="华文宋体"/>
                <w:color w:val="auto"/>
                <w:sz w:val="24"/>
              </w:rPr>
            </w:pPr>
          </w:p>
        </w:tc>
        <w:tc>
          <w:tcPr>
            <w:tcW w:w="946" w:type="pct"/>
            <w:tcBorders>
              <w:left w:val="single" w:color="auto" w:sz="4" w:space="0"/>
              <w:right w:val="single" w:color="auto" w:sz="4" w:space="0"/>
            </w:tcBorders>
            <w:vAlign w:val="center"/>
          </w:tcPr>
          <w:p w14:paraId="44F1BC2F">
            <w:pPr>
              <w:adjustRightInd w:val="0"/>
              <w:snapToGrid w:val="0"/>
              <w:jc w:val="center"/>
              <w:rPr>
                <w:rFonts w:ascii="华文宋体" w:hAnsi="华文宋体" w:eastAsia="华文宋体"/>
                <w:color w:val="auto"/>
                <w:sz w:val="24"/>
              </w:rPr>
            </w:pPr>
          </w:p>
        </w:tc>
        <w:tc>
          <w:tcPr>
            <w:tcW w:w="609" w:type="pct"/>
            <w:tcBorders>
              <w:left w:val="single" w:color="auto" w:sz="4" w:space="0"/>
              <w:right w:val="single" w:color="auto" w:sz="4" w:space="0"/>
            </w:tcBorders>
            <w:vAlign w:val="center"/>
          </w:tcPr>
          <w:p w14:paraId="34038575">
            <w:pPr>
              <w:adjustRightInd w:val="0"/>
              <w:snapToGrid w:val="0"/>
              <w:jc w:val="center"/>
              <w:rPr>
                <w:rFonts w:ascii="华文宋体" w:hAnsi="华文宋体" w:eastAsia="华文宋体"/>
                <w:color w:val="auto"/>
                <w:sz w:val="24"/>
              </w:rPr>
            </w:pPr>
          </w:p>
        </w:tc>
        <w:tc>
          <w:tcPr>
            <w:tcW w:w="497" w:type="pct"/>
            <w:tcBorders>
              <w:left w:val="single" w:color="auto" w:sz="4" w:space="0"/>
            </w:tcBorders>
            <w:vAlign w:val="center"/>
          </w:tcPr>
          <w:p w14:paraId="6FB5D7E7">
            <w:pPr>
              <w:adjustRightInd w:val="0"/>
              <w:snapToGrid w:val="0"/>
              <w:jc w:val="center"/>
              <w:rPr>
                <w:rFonts w:ascii="华文宋体" w:hAnsi="华文宋体" w:eastAsia="华文宋体"/>
                <w:color w:val="auto"/>
                <w:sz w:val="24"/>
              </w:rPr>
            </w:pPr>
          </w:p>
        </w:tc>
        <w:tc>
          <w:tcPr>
            <w:tcW w:w="403" w:type="pct"/>
            <w:tcBorders>
              <w:right w:val="single" w:color="auto" w:sz="4" w:space="0"/>
            </w:tcBorders>
            <w:vAlign w:val="center"/>
          </w:tcPr>
          <w:p w14:paraId="0214D59D">
            <w:pPr>
              <w:adjustRightInd w:val="0"/>
              <w:snapToGrid w:val="0"/>
              <w:jc w:val="center"/>
              <w:rPr>
                <w:rFonts w:ascii="华文宋体" w:hAnsi="华文宋体" w:eastAsia="华文宋体"/>
                <w:color w:val="auto"/>
                <w:sz w:val="24"/>
              </w:rPr>
            </w:pPr>
          </w:p>
        </w:tc>
        <w:tc>
          <w:tcPr>
            <w:tcW w:w="589" w:type="pct"/>
            <w:tcBorders>
              <w:left w:val="single" w:color="auto" w:sz="4" w:space="0"/>
            </w:tcBorders>
            <w:vAlign w:val="center"/>
          </w:tcPr>
          <w:p w14:paraId="697553F3">
            <w:pPr>
              <w:adjustRightInd w:val="0"/>
              <w:snapToGrid w:val="0"/>
              <w:jc w:val="center"/>
              <w:rPr>
                <w:rFonts w:ascii="华文宋体" w:hAnsi="华文宋体" w:eastAsia="华文宋体"/>
                <w:color w:val="auto"/>
                <w:sz w:val="24"/>
              </w:rPr>
            </w:pPr>
          </w:p>
        </w:tc>
        <w:tc>
          <w:tcPr>
            <w:tcW w:w="686" w:type="pct"/>
            <w:vAlign w:val="center"/>
          </w:tcPr>
          <w:p w14:paraId="7796EA9A">
            <w:pPr>
              <w:adjustRightInd w:val="0"/>
              <w:snapToGrid w:val="0"/>
              <w:jc w:val="center"/>
              <w:rPr>
                <w:rFonts w:ascii="华文宋体" w:hAnsi="华文宋体" w:eastAsia="华文宋体"/>
                <w:color w:val="auto"/>
                <w:sz w:val="24"/>
              </w:rPr>
            </w:pPr>
          </w:p>
        </w:tc>
      </w:tr>
      <w:tr w14:paraId="1792321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28" w:type="dxa"/>
            <w:left w:w="57" w:type="dxa"/>
            <w:bottom w:w="28" w:type="dxa"/>
            <w:right w:w="57" w:type="dxa"/>
          </w:tblCellMar>
        </w:tblPrEx>
        <w:trPr>
          <w:trHeight w:val="567" w:hRule="atLeast"/>
          <w:jc w:val="center"/>
        </w:trPr>
        <w:tc>
          <w:tcPr>
            <w:tcW w:w="297" w:type="pct"/>
            <w:vAlign w:val="center"/>
          </w:tcPr>
          <w:p w14:paraId="76717812">
            <w:pPr>
              <w:adjustRightInd w:val="0"/>
              <w:snapToGrid w:val="0"/>
              <w:jc w:val="center"/>
              <w:rPr>
                <w:rFonts w:ascii="华文宋体" w:hAnsi="华文宋体" w:eastAsia="华文宋体"/>
                <w:color w:val="auto"/>
                <w:sz w:val="24"/>
              </w:rPr>
            </w:pPr>
            <w:r>
              <w:rPr>
                <w:rFonts w:hint="eastAsia" w:ascii="华文宋体" w:hAnsi="华文宋体" w:eastAsia="华文宋体"/>
                <w:color w:val="auto"/>
                <w:sz w:val="24"/>
              </w:rPr>
              <w:t>2</w:t>
            </w:r>
          </w:p>
        </w:tc>
        <w:tc>
          <w:tcPr>
            <w:tcW w:w="970" w:type="pct"/>
            <w:tcBorders>
              <w:right w:val="single" w:color="auto" w:sz="4" w:space="0"/>
            </w:tcBorders>
            <w:vAlign w:val="center"/>
          </w:tcPr>
          <w:p w14:paraId="605748F6">
            <w:pPr>
              <w:adjustRightInd w:val="0"/>
              <w:snapToGrid w:val="0"/>
              <w:jc w:val="center"/>
              <w:rPr>
                <w:rFonts w:ascii="华文宋体" w:hAnsi="华文宋体" w:eastAsia="华文宋体"/>
                <w:color w:val="auto"/>
                <w:sz w:val="24"/>
              </w:rPr>
            </w:pPr>
          </w:p>
        </w:tc>
        <w:tc>
          <w:tcPr>
            <w:tcW w:w="946" w:type="pct"/>
            <w:tcBorders>
              <w:left w:val="single" w:color="auto" w:sz="4" w:space="0"/>
              <w:right w:val="single" w:color="auto" w:sz="4" w:space="0"/>
            </w:tcBorders>
            <w:vAlign w:val="center"/>
          </w:tcPr>
          <w:p w14:paraId="5635FAC1">
            <w:pPr>
              <w:adjustRightInd w:val="0"/>
              <w:snapToGrid w:val="0"/>
              <w:jc w:val="center"/>
              <w:rPr>
                <w:rFonts w:ascii="华文宋体" w:hAnsi="华文宋体" w:eastAsia="华文宋体"/>
                <w:color w:val="auto"/>
                <w:sz w:val="24"/>
              </w:rPr>
            </w:pPr>
          </w:p>
        </w:tc>
        <w:tc>
          <w:tcPr>
            <w:tcW w:w="609" w:type="pct"/>
            <w:tcBorders>
              <w:left w:val="single" w:color="auto" w:sz="4" w:space="0"/>
              <w:right w:val="single" w:color="auto" w:sz="4" w:space="0"/>
            </w:tcBorders>
            <w:vAlign w:val="center"/>
          </w:tcPr>
          <w:p w14:paraId="2C89E878">
            <w:pPr>
              <w:adjustRightInd w:val="0"/>
              <w:snapToGrid w:val="0"/>
              <w:jc w:val="center"/>
              <w:rPr>
                <w:rFonts w:ascii="华文宋体" w:hAnsi="华文宋体" w:eastAsia="华文宋体"/>
                <w:color w:val="auto"/>
                <w:sz w:val="24"/>
              </w:rPr>
            </w:pPr>
          </w:p>
        </w:tc>
        <w:tc>
          <w:tcPr>
            <w:tcW w:w="497" w:type="pct"/>
            <w:tcBorders>
              <w:left w:val="single" w:color="auto" w:sz="4" w:space="0"/>
            </w:tcBorders>
            <w:vAlign w:val="center"/>
          </w:tcPr>
          <w:p w14:paraId="7890528E">
            <w:pPr>
              <w:adjustRightInd w:val="0"/>
              <w:snapToGrid w:val="0"/>
              <w:jc w:val="center"/>
              <w:rPr>
                <w:rFonts w:ascii="华文宋体" w:hAnsi="华文宋体" w:eastAsia="华文宋体"/>
                <w:color w:val="auto"/>
                <w:sz w:val="24"/>
              </w:rPr>
            </w:pPr>
          </w:p>
        </w:tc>
        <w:tc>
          <w:tcPr>
            <w:tcW w:w="403" w:type="pct"/>
            <w:tcBorders>
              <w:right w:val="single" w:color="auto" w:sz="4" w:space="0"/>
            </w:tcBorders>
            <w:vAlign w:val="center"/>
          </w:tcPr>
          <w:p w14:paraId="41C31D90">
            <w:pPr>
              <w:adjustRightInd w:val="0"/>
              <w:snapToGrid w:val="0"/>
              <w:jc w:val="center"/>
              <w:rPr>
                <w:rFonts w:ascii="华文宋体" w:hAnsi="华文宋体" w:eastAsia="华文宋体"/>
                <w:color w:val="auto"/>
                <w:sz w:val="24"/>
              </w:rPr>
            </w:pPr>
          </w:p>
        </w:tc>
        <w:tc>
          <w:tcPr>
            <w:tcW w:w="589" w:type="pct"/>
            <w:tcBorders>
              <w:left w:val="single" w:color="auto" w:sz="4" w:space="0"/>
            </w:tcBorders>
            <w:vAlign w:val="center"/>
          </w:tcPr>
          <w:p w14:paraId="72A37307">
            <w:pPr>
              <w:adjustRightInd w:val="0"/>
              <w:snapToGrid w:val="0"/>
              <w:jc w:val="center"/>
              <w:rPr>
                <w:rFonts w:ascii="华文宋体" w:hAnsi="华文宋体" w:eastAsia="华文宋体"/>
                <w:color w:val="auto"/>
                <w:sz w:val="24"/>
              </w:rPr>
            </w:pPr>
          </w:p>
        </w:tc>
        <w:tc>
          <w:tcPr>
            <w:tcW w:w="686" w:type="pct"/>
            <w:vAlign w:val="center"/>
          </w:tcPr>
          <w:p w14:paraId="0AD99DD3">
            <w:pPr>
              <w:adjustRightInd w:val="0"/>
              <w:snapToGrid w:val="0"/>
              <w:jc w:val="center"/>
              <w:rPr>
                <w:rFonts w:ascii="华文宋体" w:hAnsi="华文宋体" w:eastAsia="华文宋体"/>
                <w:color w:val="auto"/>
                <w:sz w:val="24"/>
              </w:rPr>
            </w:pPr>
          </w:p>
        </w:tc>
      </w:tr>
      <w:tr w14:paraId="6DA4EFD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28" w:type="dxa"/>
            <w:left w:w="57" w:type="dxa"/>
            <w:bottom w:w="28" w:type="dxa"/>
            <w:right w:w="57" w:type="dxa"/>
          </w:tblCellMar>
        </w:tblPrEx>
        <w:trPr>
          <w:trHeight w:val="567" w:hRule="atLeast"/>
          <w:jc w:val="center"/>
        </w:trPr>
        <w:tc>
          <w:tcPr>
            <w:tcW w:w="297" w:type="pct"/>
            <w:vAlign w:val="center"/>
          </w:tcPr>
          <w:p w14:paraId="6365A9E2">
            <w:pPr>
              <w:adjustRightInd w:val="0"/>
              <w:snapToGrid w:val="0"/>
              <w:jc w:val="center"/>
              <w:rPr>
                <w:rFonts w:ascii="华文宋体" w:hAnsi="华文宋体" w:eastAsia="华文宋体"/>
                <w:color w:val="auto"/>
                <w:sz w:val="24"/>
              </w:rPr>
            </w:pPr>
            <w:r>
              <w:rPr>
                <w:rFonts w:hint="eastAsia" w:ascii="华文宋体" w:hAnsi="华文宋体" w:eastAsia="华文宋体"/>
                <w:color w:val="auto"/>
                <w:sz w:val="24"/>
              </w:rPr>
              <w:t>3</w:t>
            </w:r>
          </w:p>
        </w:tc>
        <w:tc>
          <w:tcPr>
            <w:tcW w:w="970" w:type="pct"/>
            <w:tcBorders>
              <w:right w:val="single" w:color="auto" w:sz="4" w:space="0"/>
            </w:tcBorders>
            <w:vAlign w:val="center"/>
          </w:tcPr>
          <w:p w14:paraId="02CF2EC9">
            <w:pPr>
              <w:adjustRightInd w:val="0"/>
              <w:snapToGrid w:val="0"/>
              <w:jc w:val="center"/>
              <w:rPr>
                <w:rFonts w:ascii="华文宋体" w:hAnsi="华文宋体" w:eastAsia="华文宋体"/>
                <w:color w:val="auto"/>
                <w:sz w:val="24"/>
              </w:rPr>
            </w:pPr>
          </w:p>
        </w:tc>
        <w:tc>
          <w:tcPr>
            <w:tcW w:w="946" w:type="pct"/>
            <w:tcBorders>
              <w:left w:val="single" w:color="auto" w:sz="4" w:space="0"/>
              <w:right w:val="single" w:color="auto" w:sz="4" w:space="0"/>
            </w:tcBorders>
            <w:vAlign w:val="center"/>
          </w:tcPr>
          <w:p w14:paraId="79B83433">
            <w:pPr>
              <w:adjustRightInd w:val="0"/>
              <w:snapToGrid w:val="0"/>
              <w:jc w:val="center"/>
              <w:rPr>
                <w:rFonts w:ascii="华文宋体" w:hAnsi="华文宋体" w:eastAsia="华文宋体"/>
                <w:color w:val="auto"/>
                <w:sz w:val="24"/>
              </w:rPr>
            </w:pPr>
          </w:p>
        </w:tc>
        <w:tc>
          <w:tcPr>
            <w:tcW w:w="609" w:type="pct"/>
            <w:tcBorders>
              <w:left w:val="single" w:color="auto" w:sz="4" w:space="0"/>
              <w:right w:val="single" w:color="auto" w:sz="4" w:space="0"/>
            </w:tcBorders>
            <w:vAlign w:val="center"/>
          </w:tcPr>
          <w:p w14:paraId="737841FC">
            <w:pPr>
              <w:adjustRightInd w:val="0"/>
              <w:snapToGrid w:val="0"/>
              <w:jc w:val="center"/>
              <w:rPr>
                <w:rFonts w:ascii="华文宋体" w:hAnsi="华文宋体" w:eastAsia="华文宋体"/>
                <w:color w:val="auto"/>
                <w:sz w:val="24"/>
              </w:rPr>
            </w:pPr>
          </w:p>
        </w:tc>
        <w:tc>
          <w:tcPr>
            <w:tcW w:w="497" w:type="pct"/>
            <w:tcBorders>
              <w:left w:val="single" w:color="auto" w:sz="4" w:space="0"/>
            </w:tcBorders>
            <w:vAlign w:val="center"/>
          </w:tcPr>
          <w:p w14:paraId="77AB2E70">
            <w:pPr>
              <w:adjustRightInd w:val="0"/>
              <w:snapToGrid w:val="0"/>
              <w:jc w:val="center"/>
              <w:rPr>
                <w:rFonts w:ascii="华文宋体" w:hAnsi="华文宋体" w:eastAsia="华文宋体"/>
                <w:color w:val="auto"/>
                <w:sz w:val="24"/>
              </w:rPr>
            </w:pPr>
          </w:p>
        </w:tc>
        <w:tc>
          <w:tcPr>
            <w:tcW w:w="403" w:type="pct"/>
            <w:tcBorders>
              <w:right w:val="single" w:color="auto" w:sz="4" w:space="0"/>
            </w:tcBorders>
            <w:vAlign w:val="center"/>
          </w:tcPr>
          <w:p w14:paraId="43A43BEA">
            <w:pPr>
              <w:adjustRightInd w:val="0"/>
              <w:snapToGrid w:val="0"/>
              <w:jc w:val="center"/>
              <w:rPr>
                <w:rFonts w:ascii="华文宋体" w:hAnsi="华文宋体" w:eastAsia="华文宋体"/>
                <w:color w:val="auto"/>
                <w:sz w:val="24"/>
              </w:rPr>
            </w:pPr>
          </w:p>
        </w:tc>
        <w:tc>
          <w:tcPr>
            <w:tcW w:w="589" w:type="pct"/>
            <w:tcBorders>
              <w:left w:val="single" w:color="auto" w:sz="4" w:space="0"/>
            </w:tcBorders>
            <w:vAlign w:val="center"/>
          </w:tcPr>
          <w:p w14:paraId="15997AD3">
            <w:pPr>
              <w:adjustRightInd w:val="0"/>
              <w:snapToGrid w:val="0"/>
              <w:jc w:val="center"/>
              <w:rPr>
                <w:rFonts w:ascii="华文宋体" w:hAnsi="华文宋体" w:eastAsia="华文宋体"/>
                <w:color w:val="auto"/>
                <w:sz w:val="24"/>
              </w:rPr>
            </w:pPr>
          </w:p>
        </w:tc>
        <w:tc>
          <w:tcPr>
            <w:tcW w:w="686" w:type="pct"/>
            <w:vAlign w:val="center"/>
          </w:tcPr>
          <w:p w14:paraId="23A6DFF9">
            <w:pPr>
              <w:adjustRightInd w:val="0"/>
              <w:snapToGrid w:val="0"/>
              <w:jc w:val="center"/>
              <w:rPr>
                <w:rFonts w:ascii="华文宋体" w:hAnsi="华文宋体" w:eastAsia="华文宋体"/>
                <w:color w:val="auto"/>
                <w:sz w:val="24"/>
              </w:rPr>
            </w:pPr>
          </w:p>
        </w:tc>
      </w:tr>
      <w:tr w14:paraId="591A9F1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28" w:type="dxa"/>
            <w:left w:w="57" w:type="dxa"/>
            <w:bottom w:w="28" w:type="dxa"/>
            <w:right w:w="57" w:type="dxa"/>
          </w:tblCellMar>
        </w:tblPrEx>
        <w:trPr>
          <w:trHeight w:val="567" w:hRule="atLeast"/>
          <w:jc w:val="center"/>
        </w:trPr>
        <w:tc>
          <w:tcPr>
            <w:tcW w:w="297" w:type="pct"/>
            <w:vAlign w:val="center"/>
          </w:tcPr>
          <w:p w14:paraId="280E7C45">
            <w:pPr>
              <w:adjustRightInd w:val="0"/>
              <w:snapToGrid w:val="0"/>
              <w:jc w:val="center"/>
              <w:rPr>
                <w:rFonts w:ascii="华文宋体" w:hAnsi="华文宋体" w:eastAsia="华文宋体"/>
                <w:color w:val="auto"/>
                <w:sz w:val="24"/>
              </w:rPr>
            </w:pPr>
            <w:r>
              <w:rPr>
                <w:rFonts w:hint="eastAsia" w:ascii="华文宋体" w:hAnsi="华文宋体" w:eastAsia="华文宋体"/>
                <w:color w:val="auto"/>
                <w:sz w:val="24"/>
              </w:rPr>
              <w:t>4</w:t>
            </w:r>
          </w:p>
        </w:tc>
        <w:tc>
          <w:tcPr>
            <w:tcW w:w="970" w:type="pct"/>
            <w:tcBorders>
              <w:right w:val="single" w:color="auto" w:sz="4" w:space="0"/>
            </w:tcBorders>
            <w:vAlign w:val="center"/>
          </w:tcPr>
          <w:p w14:paraId="4ABB867E">
            <w:pPr>
              <w:adjustRightInd w:val="0"/>
              <w:snapToGrid w:val="0"/>
              <w:jc w:val="center"/>
              <w:rPr>
                <w:rFonts w:ascii="华文宋体" w:hAnsi="华文宋体" w:eastAsia="华文宋体"/>
                <w:color w:val="auto"/>
                <w:sz w:val="24"/>
              </w:rPr>
            </w:pPr>
          </w:p>
        </w:tc>
        <w:tc>
          <w:tcPr>
            <w:tcW w:w="946" w:type="pct"/>
            <w:tcBorders>
              <w:left w:val="single" w:color="auto" w:sz="4" w:space="0"/>
              <w:right w:val="single" w:color="auto" w:sz="4" w:space="0"/>
            </w:tcBorders>
            <w:vAlign w:val="center"/>
          </w:tcPr>
          <w:p w14:paraId="17C0029B">
            <w:pPr>
              <w:adjustRightInd w:val="0"/>
              <w:snapToGrid w:val="0"/>
              <w:jc w:val="center"/>
              <w:rPr>
                <w:rFonts w:ascii="华文宋体" w:hAnsi="华文宋体" w:eastAsia="华文宋体"/>
                <w:color w:val="auto"/>
                <w:sz w:val="24"/>
              </w:rPr>
            </w:pPr>
          </w:p>
        </w:tc>
        <w:tc>
          <w:tcPr>
            <w:tcW w:w="609" w:type="pct"/>
            <w:tcBorders>
              <w:left w:val="single" w:color="auto" w:sz="4" w:space="0"/>
              <w:right w:val="single" w:color="auto" w:sz="4" w:space="0"/>
            </w:tcBorders>
            <w:vAlign w:val="center"/>
          </w:tcPr>
          <w:p w14:paraId="2377619E">
            <w:pPr>
              <w:adjustRightInd w:val="0"/>
              <w:snapToGrid w:val="0"/>
              <w:jc w:val="center"/>
              <w:rPr>
                <w:rFonts w:ascii="华文宋体" w:hAnsi="华文宋体" w:eastAsia="华文宋体"/>
                <w:color w:val="auto"/>
                <w:sz w:val="24"/>
              </w:rPr>
            </w:pPr>
          </w:p>
        </w:tc>
        <w:tc>
          <w:tcPr>
            <w:tcW w:w="497" w:type="pct"/>
            <w:tcBorders>
              <w:left w:val="single" w:color="auto" w:sz="4" w:space="0"/>
            </w:tcBorders>
            <w:vAlign w:val="center"/>
          </w:tcPr>
          <w:p w14:paraId="688D7B72">
            <w:pPr>
              <w:adjustRightInd w:val="0"/>
              <w:snapToGrid w:val="0"/>
              <w:jc w:val="center"/>
              <w:rPr>
                <w:rFonts w:ascii="华文宋体" w:hAnsi="华文宋体" w:eastAsia="华文宋体"/>
                <w:color w:val="auto"/>
                <w:sz w:val="24"/>
              </w:rPr>
            </w:pPr>
          </w:p>
        </w:tc>
        <w:tc>
          <w:tcPr>
            <w:tcW w:w="403" w:type="pct"/>
            <w:tcBorders>
              <w:right w:val="single" w:color="auto" w:sz="4" w:space="0"/>
            </w:tcBorders>
            <w:vAlign w:val="center"/>
          </w:tcPr>
          <w:p w14:paraId="29B81567">
            <w:pPr>
              <w:adjustRightInd w:val="0"/>
              <w:snapToGrid w:val="0"/>
              <w:jc w:val="center"/>
              <w:rPr>
                <w:rFonts w:ascii="华文宋体" w:hAnsi="华文宋体" w:eastAsia="华文宋体"/>
                <w:color w:val="auto"/>
                <w:sz w:val="24"/>
              </w:rPr>
            </w:pPr>
          </w:p>
        </w:tc>
        <w:tc>
          <w:tcPr>
            <w:tcW w:w="589" w:type="pct"/>
            <w:tcBorders>
              <w:left w:val="single" w:color="auto" w:sz="4" w:space="0"/>
            </w:tcBorders>
            <w:vAlign w:val="center"/>
          </w:tcPr>
          <w:p w14:paraId="30578E28">
            <w:pPr>
              <w:adjustRightInd w:val="0"/>
              <w:snapToGrid w:val="0"/>
              <w:jc w:val="center"/>
              <w:rPr>
                <w:rFonts w:ascii="华文宋体" w:hAnsi="华文宋体" w:eastAsia="华文宋体"/>
                <w:color w:val="auto"/>
                <w:sz w:val="24"/>
              </w:rPr>
            </w:pPr>
          </w:p>
        </w:tc>
        <w:tc>
          <w:tcPr>
            <w:tcW w:w="686" w:type="pct"/>
            <w:vAlign w:val="center"/>
          </w:tcPr>
          <w:p w14:paraId="69085E66">
            <w:pPr>
              <w:adjustRightInd w:val="0"/>
              <w:snapToGrid w:val="0"/>
              <w:jc w:val="center"/>
              <w:rPr>
                <w:rFonts w:ascii="华文宋体" w:hAnsi="华文宋体" w:eastAsia="华文宋体"/>
                <w:color w:val="auto"/>
                <w:sz w:val="24"/>
              </w:rPr>
            </w:pPr>
          </w:p>
        </w:tc>
      </w:tr>
      <w:tr w14:paraId="0F12F43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28" w:type="dxa"/>
            <w:left w:w="57" w:type="dxa"/>
            <w:bottom w:w="28" w:type="dxa"/>
            <w:right w:w="57" w:type="dxa"/>
          </w:tblCellMar>
        </w:tblPrEx>
        <w:trPr>
          <w:trHeight w:val="567" w:hRule="atLeast"/>
          <w:jc w:val="center"/>
        </w:trPr>
        <w:tc>
          <w:tcPr>
            <w:tcW w:w="297" w:type="pct"/>
            <w:vAlign w:val="center"/>
          </w:tcPr>
          <w:p w14:paraId="576E25F6">
            <w:pPr>
              <w:adjustRightInd w:val="0"/>
              <w:snapToGrid w:val="0"/>
              <w:jc w:val="center"/>
              <w:rPr>
                <w:rFonts w:ascii="华文宋体" w:hAnsi="华文宋体" w:eastAsia="华文宋体"/>
                <w:color w:val="auto"/>
                <w:sz w:val="24"/>
              </w:rPr>
            </w:pPr>
            <w:r>
              <w:rPr>
                <w:rFonts w:hint="eastAsia" w:ascii="华文宋体" w:hAnsi="华文宋体" w:eastAsia="华文宋体"/>
                <w:color w:val="auto"/>
                <w:sz w:val="24"/>
              </w:rPr>
              <w:t>5</w:t>
            </w:r>
          </w:p>
        </w:tc>
        <w:tc>
          <w:tcPr>
            <w:tcW w:w="970" w:type="pct"/>
            <w:tcBorders>
              <w:right w:val="single" w:color="auto" w:sz="4" w:space="0"/>
            </w:tcBorders>
            <w:vAlign w:val="center"/>
          </w:tcPr>
          <w:p w14:paraId="47D93264">
            <w:pPr>
              <w:adjustRightInd w:val="0"/>
              <w:snapToGrid w:val="0"/>
              <w:jc w:val="center"/>
              <w:rPr>
                <w:rFonts w:ascii="华文宋体" w:hAnsi="华文宋体" w:eastAsia="华文宋体"/>
                <w:color w:val="auto"/>
                <w:sz w:val="24"/>
              </w:rPr>
            </w:pPr>
          </w:p>
        </w:tc>
        <w:tc>
          <w:tcPr>
            <w:tcW w:w="946" w:type="pct"/>
            <w:tcBorders>
              <w:left w:val="single" w:color="auto" w:sz="4" w:space="0"/>
              <w:right w:val="single" w:color="auto" w:sz="4" w:space="0"/>
            </w:tcBorders>
            <w:vAlign w:val="center"/>
          </w:tcPr>
          <w:p w14:paraId="0D13DA02">
            <w:pPr>
              <w:adjustRightInd w:val="0"/>
              <w:snapToGrid w:val="0"/>
              <w:jc w:val="center"/>
              <w:rPr>
                <w:rFonts w:ascii="华文宋体" w:hAnsi="华文宋体" w:eastAsia="华文宋体"/>
                <w:color w:val="auto"/>
                <w:sz w:val="24"/>
              </w:rPr>
            </w:pPr>
          </w:p>
        </w:tc>
        <w:tc>
          <w:tcPr>
            <w:tcW w:w="609" w:type="pct"/>
            <w:tcBorders>
              <w:left w:val="single" w:color="auto" w:sz="4" w:space="0"/>
              <w:right w:val="single" w:color="auto" w:sz="4" w:space="0"/>
            </w:tcBorders>
            <w:vAlign w:val="center"/>
          </w:tcPr>
          <w:p w14:paraId="7C01BBD9">
            <w:pPr>
              <w:adjustRightInd w:val="0"/>
              <w:snapToGrid w:val="0"/>
              <w:jc w:val="center"/>
              <w:rPr>
                <w:rFonts w:ascii="华文宋体" w:hAnsi="华文宋体" w:eastAsia="华文宋体"/>
                <w:color w:val="auto"/>
                <w:sz w:val="24"/>
              </w:rPr>
            </w:pPr>
          </w:p>
        </w:tc>
        <w:tc>
          <w:tcPr>
            <w:tcW w:w="497" w:type="pct"/>
            <w:tcBorders>
              <w:left w:val="single" w:color="auto" w:sz="4" w:space="0"/>
            </w:tcBorders>
            <w:vAlign w:val="center"/>
          </w:tcPr>
          <w:p w14:paraId="5AEEE76A">
            <w:pPr>
              <w:adjustRightInd w:val="0"/>
              <w:snapToGrid w:val="0"/>
              <w:jc w:val="center"/>
              <w:rPr>
                <w:rFonts w:ascii="华文宋体" w:hAnsi="华文宋体" w:eastAsia="华文宋体"/>
                <w:color w:val="auto"/>
                <w:sz w:val="24"/>
              </w:rPr>
            </w:pPr>
          </w:p>
        </w:tc>
        <w:tc>
          <w:tcPr>
            <w:tcW w:w="403" w:type="pct"/>
            <w:tcBorders>
              <w:right w:val="single" w:color="auto" w:sz="4" w:space="0"/>
            </w:tcBorders>
            <w:vAlign w:val="center"/>
          </w:tcPr>
          <w:p w14:paraId="63DC2373">
            <w:pPr>
              <w:adjustRightInd w:val="0"/>
              <w:snapToGrid w:val="0"/>
              <w:jc w:val="center"/>
              <w:rPr>
                <w:rFonts w:ascii="华文宋体" w:hAnsi="华文宋体" w:eastAsia="华文宋体"/>
                <w:color w:val="auto"/>
                <w:sz w:val="24"/>
              </w:rPr>
            </w:pPr>
          </w:p>
        </w:tc>
        <w:tc>
          <w:tcPr>
            <w:tcW w:w="589" w:type="pct"/>
            <w:tcBorders>
              <w:left w:val="single" w:color="auto" w:sz="4" w:space="0"/>
            </w:tcBorders>
            <w:vAlign w:val="center"/>
          </w:tcPr>
          <w:p w14:paraId="351397B6">
            <w:pPr>
              <w:adjustRightInd w:val="0"/>
              <w:snapToGrid w:val="0"/>
              <w:jc w:val="center"/>
              <w:rPr>
                <w:rFonts w:ascii="华文宋体" w:hAnsi="华文宋体" w:eastAsia="华文宋体"/>
                <w:color w:val="auto"/>
                <w:sz w:val="24"/>
              </w:rPr>
            </w:pPr>
          </w:p>
        </w:tc>
        <w:tc>
          <w:tcPr>
            <w:tcW w:w="686" w:type="pct"/>
            <w:vAlign w:val="center"/>
          </w:tcPr>
          <w:p w14:paraId="128E67BD">
            <w:pPr>
              <w:adjustRightInd w:val="0"/>
              <w:snapToGrid w:val="0"/>
              <w:jc w:val="center"/>
              <w:rPr>
                <w:rFonts w:ascii="华文宋体" w:hAnsi="华文宋体" w:eastAsia="华文宋体"/>
                <w:color w:val="auto"/>
                <w:sz w:val="24"/>
              </w:rPr>
            </w:pPr>
          </w:p>
        </w:tc>
      </w:tr>
      <w:tr w14:paraId="1F9CDD1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28" w:type="dxa"/>
            <w:left w:w="57" w:type="dxa"/>
            <w:bottom w:w="28" w:type="dxa"/>
            <w:right w:w="57" w:type="dxa"/>
          </w:tblCellMar>
        </w:tblPrEx>
        <w:trPr>
          <w:trHeight w:val="567" w:hRule="atLeast"/>
          <w:jc w:val="center"/>
        </w:trPr>
        <w:tc>
          <w:tcPr>
            <w:tcW w:w="297" w:type="pct"/>
            <w:vAlign w:val="center"/>
          </w:tcPr>
          <w:p w14:paraId="12E52C85">
            <w:pPr>
              <w:adjustRightInd w:val="0"/>
              <w:snapToGrid w:val="0"/>
              <w:jc w:val="center"/>
              <w:rPr>
                <w:rFonts w:ascii="华文宋体" w:hAnsi="华文宋体" w:eastAsia="华文宋体"/>
                <w:color w:val="auto"/>
                <w:sz w:val="24"/>
              </w:rPr>
            </w:pPr>
            <w:r>
              <w:rPr>
                <w:rFonts w:hint="eastAsia" w:ascii="华文宋体" w:hAnsi="华文宋体" w:eastAsia="华文宋体"/>
                <w:color w:val="auto"/>
                <w:sz w:val="24"/>
              </w:rPr>
              <w:t>6</w:t>
            </w:r>
          </w:p>
        </w:tc>
        <w:tc>
          <w:tcPr>
            <w:tcW w:w="970" w:type="pct"/>
            <w:tcBorders>
              <w:right w:val="single" w:color="auto" w:sz="4" w:space="0"/>
            </w:tcBorders>
            <w:vAlign w:val="center"/>
          </w:tcPr>
          <w:p w14:paraId="58162A07">
            <w:pPr>
              <w:adjustRightInd w:val="0"/>
              <w:snapToGrid w:val="0"/>
              <w:jc w:val="center"/>
              <w:rPr>
                <w:rFonts w:ascii="华文宋体" w:hAnsi="华文宋体" w:eastAsia="华文宋体"/>
                <w:color w:val="auto"/>
                <w:sz w:val="24"/>
              </w:rPr>
            </w:pPr>
          </w:p>
        </w:tc>
        <w:tc>
          <w:tcPr>
            <w:tcW w:w="946" w:type="pct"/>
            <w:tcBorders>
              <w:left w:val="single" w:color="auto" w:sz="4" w:space="0"/>
              <w:right w:val="single" w:color="auto" w:sz="4" w:space="0"/>
            </w:tcBorders>
            <w:vAlign w:val="center"/>
          </w:tcPr>
          <w:p w14:paraId="3CF1ED57">
            <w:pPr>
              <w:adjustRightInd w:val="0"/>
              <w:snapToGrid w:val="0"/>
              <w:jc w:val="center"/>
              <w:rPr>
                <w:rFonts w:ascii="华文宋体" w:hAnsi="华文宋体" w:eastAsia="华文宋体"/>
                <w:color w:val="auto"/>
                <w:sz w:val="24"/>
              </w:rPr>
            </w:pPr>
          </w:p>
        </w:tc>
        <w:tc>
          <w:tcPr>
            <w:tcW w:w="609" w:type="pct"/>
            <w:tcBorders>
              <w:left w:val="single" w:color="auto" w:sz="4" w:space="0"/>
              <w:right w:val="single" w:color="auto" w:sz="4" w:space="0"/>
            </w:tcBorders>
            <w:vAlign w:val="center"/>
          </w:tcPr>
          <w:p w14:paraId="37279045">
            <w:pPr>
              <w:adjustRightInd w:val="0"/>
              <w:snapToGrid w:val="0"/>
              <w:jc w:val="center"/>
              <w:rPr>
                <w:rFonts w:ascii="华文宋体" w:hAnsi="华文宋体" w:eastAsia="华文宋体"/>
                <w:color w:val="auto"/>
                <w:sz w:val="24"/>
              </w:rPr>
            </w:pPr>
          </w:p>
        </w:tc>
        <w:tc>
          <w:tcPr>
            <w:tcW w:w="497" w:type="pct"/>
            <w:tcBorders>
              <w:left w:val="single" w:color="auto" w:sz="4" w:space="0"/>
            </w:tcBorders>
            <w:vAlign w:val="center"/>
          </w:tcPr>
          <w:p w14:paraId="64EA8C67">
            <w:pPr>
              <w:adjustRightInd w:val="0"/>
              <w:snapToGrid w:val="0"/>
              <w:jc w:val="center"/>
              <w:rPr>
                <w:rFonts w:ascii="华文宋体" w:hAnsi="华文宋体" w:eastAsia="华文宋体"/>
                <w:color w:val="auto"/>
                <w:sz w:val="24"/>
              </w:rPr>
            </w:pPr>
          </w:p>
        </w:tc>
        <w:tc>
          <w:tcPr>
            <w:tcW w:w="403" w:type="pct"/>
            <w:tcBorders>
              <w:right w:val="single" w:color="auto" w:sz="4" w:space="0"/>
            </w:tcBorders>
            <w:vAlign w:val="center"/>
          </w:tcPr>
          <w:p w14:paraId="089A2039">
            <w:pPr>
              <w:adjustRightInd w:val="0"/>
              <w:snapToGrid w:val="0"/>
              <w:jc w:val="center"/>
              <w:rPr>
                <w:rFonts w:ascii="华文宋体" w:hAnsi="华文宋体" w:eastAsia="华文宋体"/>
                <w:color w:val="auto"/>
                <w:sz w:val="24"/>
              </w:rPr>
            </w:pPr>
          </w:p>
        </w:tc>
        <w:tc>
          <w:tcPr>
            <w:tcW w:w="589" w:type="pct"/>
            <w:tcBorders>
              <w:left w:val="single" w:color="auto" w:sz="4" w:space="0"/>
            </w:tcBorders>
            <w:vAlign w:val="center"/>
          </w:tcPr>
          <w:p w14:paraId="09E5ECDE">
            <w:pPr>
              <w:adjustRightInd w:val="0"/>
              <w:snapToGrid w:val="0"/>
              <w:jc w:val="center"/>
              <w:rPr>
                <w:rFonts w:ascii="华文宋体" w:hAnsi="华文宋体" w:eastAsia="华文宋体"/>
                <w:color w:val="auto"/>
                <w:sz w:val="24"/>
              </w:rPr>
            </w:pPr>
          </w:p>
        </w:tc>
        <w:tc>
          <w:tcPr>
            <w:tcW w:w="686" w:type="pct"/>
            <w:vAlign w:val="center"/>
          </w:tcPr>
          <w:p w14:paraId="692FCE43">
            <w:pPr>
              <w:adjustRightInd w:val="0"/>
              <w:snapToGrid w:val="0"/>
              <w:jc w:val="center"/>
              <w:rPr>
                <w:rFonts w:ascii="华文宋体" w:hAnsi="华文宋体" w:eastAsia="华文宋体"/>
                <w:color w:val="auto"/>
                <w:sz w:val="24"/>
              </w:rPr>
            </w:pPr>
          </w:p>
        </w:tc>
      </w:tr>
      <w:tr w14:paraId="00AFC50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28" w:type="dxa"/>
            <w:left w:w="57" w:type="dxa"/>
            <w:bottom w:w="28" w:type="dxa"/>
            <w:right w:w="57" w:type="dxa"/>
          </w:tblCellMar>
        </w:tblPrEx>
        <w:trPr>
          <w:trHeight w:val="567" w:hRule="atLeast"/>
          <w:jc w:val="center"/>
        </w:trPr>
        <w:tc>
          <w:tcPr>
            <w:tcW w:w="297" w:type="pct"/>
            <w:vAlign w:val="center"/>
          </w:tcPr>
          <w:p w14:paraId="173A0C5A">
            <w:pPr>
              <w:adjustRightInd w:val="0"/>
              <w:snapToGrid w:val="0"/>
              <w:jc w:val="center"/>
              <w:rPr>
                <w:rFonts w:ascii="华文宋体" w:hAnsi="华文宋体" w:eastAsia="华文宋体"/>
                <w:color w:val="auto"/>
                <w:sz w:val="24"/>
              </w:rPr>
            </w:pPr>
            <w:r>
              <w:rPr>
                <w:rFonts w:ascii="华文宋体" w:hAnsi="华文宋体" w:eastAsia="华文宋体"/>
                <w:color w:val="auto"/>
                <w:sz w:val="24"/>
              </w:rPr>
              <w:t>……</w:t>
            </w:r>
          </w:p>
        </w:tc>
        <w:tc>
          <w:tcPr>
            <w:tcW w:w="970" w:type="pct"/>
            <w:tcBorders>
              <w:right w:val="single" w:color="auto" w:sz="4" w:space="0"/>
            </w:tcBorders>
            <w:vAlign w:val="center"/>
          </w:tcPr>
          <w:p w14:paraId="76915EAD">
            <w:pPr>
              <w:adjustRightInd w:val="0"/>
              <w:snapToGrid w:val="0"/>
              <w:jc w:val="center"/>
              <w:rPr>
                <w:rFonts w:ascii="华文宋体" w:hAnsi="华文宋体" w:eastAsia="华文宋体"/>
                <w:color w:val="auto"/>
                <w:sz w:val="24"/>
              </w:rPr>
            </w:pPr>
          </w:p>
        </w:tc>
        <w:tc>
          <w:tcPr>
            <w:tcW w:w="946" w:type="pct"/>
            <w:tcBorders>
              <w:left w:val="single" w:color="auto" w:sz="4" w:space="0"/>
              <w:right w:val="single" w:color="auto" w:sz="4" w:space="0"/>
            </w:tcBorders>
            <w:vAlign w:val="center"/>
          </w:tcPr>
          <w:p w14:paraId="7724740C">
            <w:pPr>
              <w:adjustRightInd w:val="0"/>
              <w:snapToGrid w:val="0"/>
              <w:jc w:val="center"/>
              <w:rPr>
                <w:rFonts w:ascii="华文宋体" w:hAnsi="华文宋体" w:eastAsia="华文宋体"/>
                <w:color w:val="auto"/>
                <w:sz w:val="24"/>
              </w:rPr>
            </w:pPr>
          </w:p>
        </w:tc>
        <w:tc>
          <w:tcPr>
            <w:tcW w:w="609" w:type="pct"/>
            <w:tcBorders>
              <w:left w:val="single" w:color="auto" w:sz="4" w:space="0"/>
              <w:right w:val="single" w:color="auto" w:sz="4" w:space="0"/>
            </w:tcBorders>
            <w:vAlign w:val="center"/>
          </w:tcPr>
          <w:p w14:paraId="6EFAE1B6">
            <w:pPr>
              <w:adjustRightInd w:val="0"/>
              <w:snapToGrid w:val="0"/>
              <w:jc w:val="center"/>
              <w:rPr>
                <w:rFonts w:ascii="华文宋体" w:hAnsi="华文宋体" w:eastAsia="华文宋体"/>
                <w:color w:val="auto"/>
                <w:sz w:val="24"/>
              </w:rPr>
            </w:pPr>
          </w:p>
        </w:tc>
        <w:tc>
          <w:tcPr>
            <w:tcW w:w="497" w:type="pct"/>
            <w:tcBorders>
              <w:left w:val="single" w:color="auto" w:sz="4" w:space="0"/>
            </w:tcBorders>
            <w:vAlign w:val="center"/>
          </w:tcPr>
          <w:p w14:paraId="020279EA">
            <w:pPr>
              <w:adjustRightInd w:val="0"/>
              <w:snapToGrid w:val="0"/>
              <w:jc w:val="center"/>
              <w:rPr>
                <w:rFonts w:ascii="华文宋体" w:hAnsi="华文宋体" w:eastAsia="华文宋体"/>
                <w:color w:val="auto"/>
                <w:sz w:val="24"/>
              </w:rPr>
            </w:pPr>
          </w:p>
        </w:tc>
        <w:tc>
          <w:tcPr>
            <w:tcW w:w="403" w:type="pct"/>
            <w:tcBorders>
              <w:right w:val="single" w:color="auto" w:sz="4" w:space="0"/>
            </w:tcBorders>
            <w:vAlign w:val="center"/>
          </w:tcPr>
          <w:p w14:paraId="35072EAE">
            <w:pPr>
              <w:adjustRightInd w:val="0"/>
              <w:snapToGrid w:val="0"/>
              <w:jc w:val="center"/>
              <w:rPr>
                <w:rFonts w:ascii="华文宋体" w:hAnsi="华文宋体" w:eastAsia="华文宋体"/>
                <w:color w:val="auto"/>
                <w:sz w:val="24"/>
              </w:rPr>
            </w:pPr>
          </w:p>
        </w:tc>
        <w:tc>
          <w:tcPr>
            <w:tcW w:w="589" w:type="pct"/>
            <w:tcBorders>
              <w:left w:val="single" w:color="auto" w:sz="4" w:space="0"/>
            </w:tcBorders>
            <w:vAlign w:val="center"/>
          </w:tcPr>
          <w:p w14:paraId="678B3E51">
            <w:pPr>
              <w:adjustRightInd w:val="0"/>
              <w:snapToGrid w:val="0"/>
              <w:jc w:val="center"/>
              <w:rPr>
                <w:rFonts w:ascii="华文宋体" w:hAnsi="华文宋体" w:eastAsia="华文宋体"/>
                <w:color w:val="auto"/>
                <w:sz w:val="24"/>
              </w:rPr>
            </w:pPr>
          </w:p>
        </w:tc>
        <w:tc>
          <w:tcPr>
            <w:tcW w:w="686" w:type="pct"/>
            <w:vAlign w:val="center"/>
          </w:tcPr>
          <w:p w14:paraId="28972DA7">
            <w:pPr>
              <w:adjustRightInd w:val="0"/>
              <w:snapToGrid w:val="0"/>
              <w:jc w:val="center"/>
              <w:rPr>
                <w:rFonts w:ascii="华文宋体" w:hAnsi="华文宋体" w:eastAsia="华文宋体"/>
                <w:color w:val="auto"/>
                <w:sz w:val="24"/>
              </w:rPr>
            </w:pPr>
          </w:p>
        </w:tc>
      </w:tr>
      <w:tr w14:paraId="5B1F12D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28" w:type="dxa"/>
            <w:left w:w="57" w:type="dxa"/>
            <w:bottom w:w="28" w:type="dxa"/>
            <w:right w:w="57" w:type="dxa"/>
          </w:tblCellMar>
        </w:tblPrEx>
        <w:trPr>
          <w:trHeight w:val="567" w:hRule="atLeast"/>
          <w:jc w:val="center"/>
        </w:trPr>
        <w:tc>
          <w:tcPr>
            <w:tcW w:w="3321" w:type="pct"/>
            <w:gridSpan w:val="5"/>
            <w:vAlign w:val="center"/>
          </w:tcPr>
          <w:p w14:paraId="7EAE4678">
            <w:pPr>
              <w:adjustRightInd w:val="0"/>
              <w:snapToGrid w:val="0"/>
              <w:jc w:val="center"/>
              <w:rPr>
                <w:rFonts w:ascii="华文宋体" w:hAnsi="华文宋体" w:eastAsia="华文宋体"/>
                <w:color w:val="auto"/>
                <w:sz w:val="24"/>
              </w:rPr>
            </w:pPr>
            <w:r>
              <w:rPr>
                <w:rFonts w:hint="eastAsia" w:ascii="华文宋体" w:hAnsi="华文宋体" w:eastAsia="华文宋体"/>
                <w:color w:val="auto"/>
                <w:sz w:val="24"/>
              </w:rPr>
              <w:t>总计</w:t>
            </w:r>
          </w:p>
        </w:tc>
        <w:tc>
          <w:tcPr>
            <w:tcW w:w="1678" w:type="pct"/>
            <w:gridSpan w:val="3"/>
            <w:vAlign w:val="center"/>
          </w:tcPr>
          <w:p w14:paraId="65F2A2E5">
            <w:pPr>
              <w:adjustRightInd w:val="0"/>
              <w:snapToGrid w:val="0"/>
              <w:jc w:val="center"/>
              <w:rPr>
                <w:rFonts w:ascii="华文宋体" w:hAnsi="华文宋体" w:eastAsia="华文宋体"/>
                <w:color w:val="auto"/>
                <w:sz w:val="24"/>
              </w:rPr>
            </w:pPr>
          </w:p>
        </w:tc>
      </w:tr>
    </w:tbl>
    <w:p w14:paraId="0DAD9928">
      <w:pPr>
        <w:pStyle w:val="9"/>
        <w:adjustRightInd w:val="0"/>
        <w:snapToGrid w:val="0"/>
        <w:spacing w:beforeLines="35" w:line="300" w:lineRule="auto"/>
        <w:ind w:left="1081" w:hanging="1081" w:hangingChars="450"/>
        <w:jc w:val="left"/>
        <w:rPr>
          <w:rFonts w:ascii="华文宋体" w:hAnsi="华文宋体" w:eastAsia="华文宋体"/>
          <w:bCs/>
          <w:color w:val="auto"/>
          <w:sz w:val="24"/>
          <w:szCs w:val="24"/>
        </w:rPr>
      </w:pPr>
      <w:r>
        <w:rPr>
          <w:rFonts w:ascii="华文宋体" w:hAnsi="华文宋体" w:eastAsia="华文宋体"/>
          <w:b/>
          <w:bCs/>
          <w:color w:val="auto"/>
          <w:sz w:val="24"/>
          <w:szCs w:val="24"/>
        </w:rPr>
        <w:t>说明：</w:t>
      </w:r>
      <w:r>
        <w:rPr>
          <w:rFonts w:ascii="华文宋体" w:hAnsi="华文宋体" w:eastAsia="华文宋体"/>
          <w:bCs/>
          <w:color w:val="auto"/>
          <w:sz w:val="24"/>
          <w:szCs w:val="24"/>
        </w:rPr>
        <w:t>1</w:t>
      </w:r>
      <w:r>
        <w:rPr>
          <w:rFonts w:hint="eastAsia" w:ascii="华文宋体" w:hAnsi="华文宋体" w:eastAsia="华文宋体"/>
          <w:bCs/>
          <w:color w:val="auto"/>
          <w:sz w:val="24"/>
          <w:szCs w:val="24"/>
        </w:rPr>
        <w:t>、所有价格均用人民币表示，单位为元。</w:t>
      </w:r>
    </w:p>
    <w:p w14:paraId="0F4A0793">
      <w:pPr>
        <w:snapToGrid w:val="0"/>
        <w:spacing w:line="300" w:lineRule="auto"/>
        <w:ind w:left="765" w:leftChars="250" w:hanging="240" w:hangingChars="100"/>
        <w:rPr>
          <w:rFonts w:ascii="华文宋体" w:hAnsi="华文宋体" w:eastAsia="华文宋体"/>
          <w:color w:val="auto"/>
          <w:sz w:val="24"/>
        </w:rPr>
      </w:pPr>
      <w:r>
        <w:rPr>
          <w:rFonts w:hint="eastAsia" w:ascii="华文宋体" w:hAnsi="华文宋体" w:eastAsia="华文宋体"/>
          <w:color w:val="auto"/>
          <w:sz w:val="24"/>
        </w:rPr>
        <w:t>2、报价明细表总计应与《开标一览表》中的投标总报价一致</w:t>
      </w:r>
      <w:r>
        <w:rPr>
          <w:rFonts w:ascii="华文宋体" w:hAnsi="华文宋体" w:eastAsia="华文宋体"/>
          <w:color w:val="auto"/>
          <w:sz w:val="24"/>
        </w:rPr>
        <w:t>。</w:t>
      </w:r>
    </w:p>
    <w:p w14:paraId="11B17CCE">
      <w:pPr>
        <w:pageBreakBefore w:val="0"/>
        <w:kinsoku/>
        <w:wordWrap/>
        <w:overflowPunct w:val="0"/>
        <w:topLinePunct w:val="0"/>
        <w:bidi w:val="0"/>
        <w:spacing w:line="360" w:lineRule="auto"/>
        <w:ind w:firstLine="0" w:firstLineChars="0"/>
        <w:jc w:val="left"/>
        <w:textAlignment w:val="auto"/>
        <w:rPr>
          <w:rFonts w:hint="eastAsia" w:asciiTheme="minorEastAsia" w:hAnsiTheme="minorEastAsia" w:eastAsiaTheme="minorEastAsia" w:cstheme="minorEastAsia"/>
          <w:b w:val="0"/>
          <w:bCs/>
          <w:color w:val="auto"/>
          <w:sz w:val="21"/>
          <w:szCs w:val="21"/>
          <w:highlight w:val="none"/>
        </w:rPr>
      </w:pPr>
    </w:p>
    <w:p w14:paraId="0898CF49">
      <w:pPr>
        <w:ind w:firstLine="480"/>
        <w:rPr>
          <w:rFonts w:hint="eastAsia"/>
          <w:color w:val="auto"/>
          <w:lang w:bidi="ar"/>
        </w:rPr>
      </w:pPr>
    </w:p>
    <w:p w14:paraId="5FC31771">
      <w:pPr>
        <w:ind w:firstLine="480"/>
        <w:jc w:val="right"/>
        <w:rPr>
          <w:rFonts w:hint="eastAsia"/>
          <w:color w:val="auto"/>
          <w:u w:val="none"/>
          <w:lang w:val="en-US" w:eastAsia="zh-CN" w:bidi="ar"/>
        </w:rPr>
      </w:pPr>
      <w:r>
        <w:rPr>
          <w:rFonts w:hint="eastAsia"/>
          <w:color w:val="auto"/>
          <w:lang w:bidi="ar"/>
        </w:rPr>
        <w:t>法定代表人或被授权代表（签字或盖章）：</w:t>
      </w:r>
      <w:r>
        <w:rPr>
          <w:rFonts w:hint="eastAsia" w:hAnsi="宋体" w:cs="宋体"/>
          <w:color w:val="auto"/>
          <w:sz w:val="24"/>
          <w:szCs w:val="24"/>
          <w:u w:val="single"/>
        </w:rPr>
        <w:tab/>
      </w:r>
      <w:r>
        <w:rPr>
          <w:rFonts w:hint="eastAsia" w:hAnsi="宋体" w:cs="宋体"/>
          <w:color w:val="auto"/>
          <w:sz w:val="24"/>
          <w:szCs w:val="24"/>
          <w:u w:val="single"/>
        </w:rPr>
        <w:tab/>
      </w:r>
      <w:r>
        <w:rPr>
          <w:rFonts w:hint="eastAsia" w:hAnsi="宋体" w:cs="宋体"/>
          <w:color w:val="auto"/>
          <w:sz w:val="24"/>
          <w:szCs w:val="24"/>
          <w:u w:val="single"/>
        </w:rPr>
        <w:tab/>
      </w:r>
    </w:p>
    <w:p w14:paraId="4AB5C7FD">
      <w:pPr>
        <w:ind w:firstLine="480"/>
        <w:jc w:val="right"/>
        <w:rPr>
          <w:color w:val="auto"/>
        </w:rPr>
      </w:pPr>
      <w:r>
        <w:rPr>
          <w:rFonts w:hint="eastAsia"/>
          <w:color w:val="auto"/>
          <w:lang w:eastAsia="zh-CN" w:bidi="ar"/>
        </w:rPr>
        <w:t>投标人</w:t>
      </w:r>
      <w:r>
        <w:rPr>
          <w:rFonts w:hint="eastAsia"/>
          <w:color w:val="auto"/>
          <w:lang w:bidi="ar"/>
        </w:rPr>
        <w:t>名称（公章）：</w:t>
      </w:r>
      <w:r>
        <w:rPr>
          <w:rFonts w:hint="eastAsia" w:hAnsi="宋体" w:cs="宋体"/>
          <w:color w:val="auto"/>
          <w:sz w:val="24"/>
          <w:szCs w:val="24"/>
          <w:u w:val="single"/>
        </w:rPr>
        <w:tab/>
      </w:r>
      <w:r>
        <w:rPr>
          <w:rFonts w:hint="eastAsia" w:hAnsi="宋体" w:cs="宋体"/>
          <w:color w:val="auto"/>
          <w:sz w:val="24"/>
          <w:szCs w:val="24"/>
          <w:u w:val="single"/>
        </w:rPr>
        <w:tab/>
      </w:r>
      <w:r>
        <w:rPr>
          <w:rFonts w:hint="eastAsia" w:hAnsi="宋体" w:cs="宋体"/>
          <w:color w:val="auto"/>
          <w:sz w:val="24"/>
          <w:szCs w:val="24"/>
          <w:u w:val="single"/>
        </w:rPr>
        <w:tab/>
      </w:r>
    </w:p>
    <w:p w14:paraId="5B8B69F2">
      <w:pPr>
        <w:ind w:firstLine="480"/>
        <w:jc w:val="right"/>
        <w:rPr>
          <w:rFonts w:hint="eastAsia" w:eastAsia="宋体"/>
          <w:color w:val="auto"/>
          <w:lang w:eastAsia="zh-CN"/>
        </w:rPr>
      </w:pPr>
      <w:r>
        <w:rPr>
          <w:rFonts w:hint="eastAsia"/>
          <w:color w:val="auto"/>
          <w:lang w:bidi="ar"/>
        </w:rPr>
        <w:t>日期：</w:t>
      </w:r>
      <w:r>
        <w:rPr>
          <w:rFonts w:hint="eastAsia"/>
          <w:color w:val="auto"/>
          <w:u w:val="single"/>
          <w:lang w:val="en-US" w:eastAsia="zh-CN" w:bidi="ar"/>
        </w:rPr>
        <w:t xml:space="preserve">  </w:t>
      </w:r>
      <w:r>
        <w:rPr>
          <w:rFonts w:hint="eastAsia"/>
          <w:color w:val="auto"/>
          <w:lang w:eastAsia="zh-CN" w:bidi="ar"/>
        </w:rPr>
        <w:t>年</w:t>
      </w:r>
      <w:r>
        <w:rPr>
          <w:rFonts w:hint="eastAsia"/>
          <w:color w:val="auto"/>
          <w:u w:val="single"/>
          <w:lang w:val="en-US" w:eastAsia="zh-CN" w:bidi="ar"/>
        </w:rPr>
        <w:t xml:space="preserve">  </w:t>
      </w:r>
      <w:r>
        <w:rPr>
          <w:rFonts w:hint="eastAsia"/>
          <w:color w:val="auto"/>
          <w:lang w:eastAsia="zh-CN" w:bidi="ar"/>
        </w:rPr>
        <w:t>月</w:t>
      </w:r>
      <w:r>
        <w:rPr>
          <w:rFonts w:hint="eastAsia"/>
          <w:color w:val="auto"/>
          <w:u w:val="single"/>
          <w:lang w:val="en-US" w:eastAsia="zh-CN" w:bidi="ar"/>
        </w:rPr>
        <w:t xml:space="preserve">  </w:t>
      </w:r>
      <w:r>
        <w:rPr>
          <w:rFonts w:hint="eastAsia"/>
          <w:color w:val="auto"/>
          <w:lang w:eastAsia="zh-CN" w:bidi="ar"/>
        </w:rPr>
        <w:t>日</w:t>
      </w:r>
    </w:p>
    <w:p w14:paraId="0015FC6D">
      <w:pPr>
        <w:pageBreakBefore w:val="0"/>
        <w:kinsoku/>
        <w:wordWrap/>
        <w:overflowPunct w:val="0"/>
        <w:topLinePunct w:val="0"/>
        <w:bidi w:val="0"/>
        <w:spacing w:line="360" w:lineRule="auto"/>
        <w:ind w:firstLine="0" w:firstLineChars="0"/>
        <w:jc w:val="left"/>
        <w:textAlignment w:val="auto"/>
        <w:rPr>
          <w:rFonts w:hint="eastAsia" w:ascii="仿宋" w:hAnsi="仿宋" w:eastAsia="仿宋" w:cs="仿宋"/>
          <w:b/>
          <w:color w:val="auto"/>
          <w:highlight w:val="none"/>
        </w:rPr>
      </w:pPr>
    </w:p>
    <w:p w14:paraId="2F5480F0">
      <w:pPr>
        <w:pStyle w:val="3"/>
        <w:bidi w:val="0"/>
        <w:rPr>
          <w:color w:val="auto"/>
        </w:rPr>
      </w:pPr>
      <w:r>
        <w:rPr>
          <w:rFonts w:hint="eastAsia"/>
          <w:color w:val="auto"/>
          <w:lang w:bidi="ar"/>
        </w:rPr>
        <w:br w:type="page"/>
      </w:r>
      <w:r>
        <w:rPr>
          <w:rFonts w:hint="eastAsia"/>
          <w:color w:val="auto"/>
          <w:lang w:val="en-US" w:eastAsia="zh-CN"/>
        </w:rPr>
        <w:t>九</w:t>
      </w:r>
      <w:r>
        <w:rPr>
          <w:rFonts w:hint="eastAsia"/>
          <w:color w:val="auto"/>
        </w:rPr>
        <w:t>、技术部分响应情况</w:t>
      </w:r>
    </w:p>
    <w:p w14:paraId="798B3AE4">
      <w:pPr>
        <w:pStyle w:val="13"/>
        <w:ind w:firstLine="0" w:firstLineChars="0"/>
        <w:jc w:val="center"/>
        <w:rPr>
          <w:bCs/>
          <w:color w:val="auto"/>
        </w:rPr>
      </w:pPr>
      <w:r>
        <w:rPr>
          <w:rFonts w:hint="eastAsia" w:ascii="仿宋" w:hAnsi="仿宋" w:eastAsia="仿宋"/>
          <w:b/>
          <w:bCs/>
          <w:caps/>
          <w:color w:val="auto"/>
          <w:sz w:val="24"/>
          <w:szCs w:val="24"/>
          <w:lang w:bidi="ar"/>
        </w:rPr>
        <w:t>技术、商务要求响应、偏离说明表</w:t>
      </w:r>
    </w:p>
    <w:p w14:paraId="5FC4CB47">
      <w:pPr>
        <w:ind w:firstLine="480"/>
        <w:rPr>
          <w:rFonts w:hint="eastAsia"/>
          <w:color w:val="auto"/>
          <w:lang w:bidi="ar"/>
        </w:rPr>
      </w:pPr>
      <w:r>
        <w:rPr>
          <w:rFonts w:hint="eastAsia"/>
          <w:color w:val="auto"/>
          <w:lang w:bidi="ar"/>
        </w:rPr>
        <w:t>项目名称：</w:t>
      </w:r>
    </w:p>
    <w:p w14:paraId="6B9845C8">
      <w:pPr>
        <w:ind w:firstLine="480"/>
        <w:rPr>
          <w:color w:val="auto"/>
        </w:rPr>
      </w:pPr>
      <w:r>
        <w:rPr>
          <w:rFonts w:hint="eastAsia"/>
          <w:color w:val="auto"/>
          <w:lang w:bidi="ar"/>
        </w:rPr>
        <w:t>项目编号：</w:t>
      </w:r>
    </w:p>
    <w:tbl>
      <w:tblPr>
        <w:tblStyle w:val="15"/>
        <w:tblW w:w="901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04"/>
        <w:gridCol w:w="3362"/>
        <w:gridCol w:w="2693"/>
        <w:gridCol w:w="829"/>
        <w:gridCol w:w="1530"/>
      </w:tblGrid>
      <w:tr w14:paraId="5E379A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604" w:type="dxa"/>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58100D0E">
            <w:pPr>
              <w:ind w:firstLine="0" w:firstLineChars="0"/>
              <w:jc w:val="center"/>
              <w:rPr>
                <w:b/>
                <w:color w:val="auto"/>
              </w:rPr>
            </w:pPr>
            <w:r>
              <w:rPr>
                <w:rFonts w:hint="eastAsia"/>
                <w:b/>
                <w:color w:val="auto"/>
                <w:lang w:bidi="ar"/>
              </w:rPr>
              <w:t>序号</w:t>
            </w:r>
          </w:p>
        </w:tc>
        <w:tc>
          <w:tcPr>
            <w:tcW w:w="3362" w:type="dxa"/>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76AC894C">
            <w:pPr>
              <w:ind w:firstLine="0" w:firstLineChars="0"/>
              <w:jc w:val="center"/>
              <w:rPr>
                <w:b/>
                <w:color w:val="auto"/>
              </w:rPr>
            </w:pPr>
            <w:r>
              <w:rPr>
                <w:rFonts w:hint="eastAsia"/>
                <w:b/>
                <w:color w:val="auto"/>
                <w:lang w:bidi="ar"/>
              </w:rPr>
              <w:t>招标文件技术、商务要求条款</w:t>
            </w:r>
          </w:p>
        </w:tc>
        <w:tc>
          <w:tcPr>
            <w:tcW w:w="2693" w:type="dxa"/>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2B70EE8D">
            <w:pPr>
              <w:ind w:firstLine="0" w:firstLineChars="0"/>
              <w:jc w:val="center"/>
              <w:rPr>
                <w:b/>
                <w:color w:val="auto"/>
              </w:rPr>
            </w:pPr>
            <w:r>
              <w:rPr>
                <w:rFonts w:hint="eastAsia"/>
                <w:b/>
                <w:color w:val="auto"/>
                <w:lang w:bidi="ar"/>
              </w:rPr>
              <w:t>投标响应内容对应简述</w:t>
            </w:r>
          </w:p>
        </w:tc>
        <w:tc>
          <w:tcPr>
            <w:tcW w:w="829" w:type="dxa"/>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75685798">
            <w:pPr>
              <w:ind w:firstLine="0" w:firstLineChars="0"/>
              <w:jc w:val="center"/>
              <w:rPr>
                <w:b/>
                <w:color w:val="auto"/>
              </w:rPr>
            </w:pPr>
            <w:r>
              <w:rPr>
                <w:rFonts w:hint="eastAsia"/>
                <w:b/>
                <w:color w:val="auto"/>
                <w:lang w:bidi="ar"/>
              </w:rPr>
              <w:t>偏离说明</w:t>
            </w:r>
          </w:p>
        </w:tc>
        <w:tc>
          <w:tcPr>
            <w:tcW w:w="1530" w:type="dxa"/>
            <w:tcBorders>
              <w:top w:val="single" w:color="000000" w:sz="4" w:space="0"/>
              <w:left w:val="single" w:color="000000" w:sz="4" w:space="0"/>
              <w:bottom w:val="single" w:color="000000" w:sz="4" w:space="0"/>
              <w:right w:val="single" w:color="000000" w:sz="4" w:space="0"/>
            </w:tcBorders>
            <w:shd w:val="clear" w:color="auto" w:fill="D9D9D9"/>
            <w:noWrap w:val="0"/>
            <w:vAlign w:val="top"/>
          </w:tcPr>
          <w:p w14:paraId="307703CD">
            <w:pPr>
              <w:ind w:firstLine="0" w:firstLineChars="0"/>
              <w:jc w:val="center"/>
              <w:rPr>
                <w:b/>
                <w:color w:val="auto"/>
              </w:rPr>
            </w:pPr>
            <w:r>
              <w:rPr>
                <w:rFonts w:hint="eastAsia"/>
                <w:b/>
                <w:color w:val="auto"/>
                <w:lang w:bidi="ar"/>
              </w:rPr>
              <w:t>投标文件对应的页码</w:t>
            </w:r>
          </w:p>
        </w:tc>
      </w:tr>
      <w:tr w14:paraId="684271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52" w:hRule="atLeast"/>
          <w:jc w:val="center"/>
        </w:trPr>
        <w:tc>
          <w:tcPr>
            <w:tcW w:w="604" w:type="dxa"/>
            <w:tcBorders>
              <w:top w:val="single" w:color="000000" w:sz="4" w:space="0"/>
              <w:left w:val="single" w:color="000000" w:sz="4" w:space="0"/>
              <w:bottom w:val="single" w:color="000000" w:sz="4" w:space="0"/>
              <w:right w:val="single" w:color="000000" w:sz="4" w:space="0"/>
            </w:tcBorders>
            <w:noWrap w:val="0"/>
            <w:vAlign w:val="center"/>
          </w:tcPr>
          <w:p w14:paraId="0CF5C907">
            <w:pPr>
              <w:pStyle w:val="13"/>
              <w:spacing w:line="240" w:lineRule="auto"/>
              <w:ind w:firstLine="0" w:firstLineChars="0"/>
              <w:jc w:val="center"/>
              <w:rPr>
                <w:rFonts w:hint="eastAsia" w:ascii="宋体" w:hAnsi="宋体" w:eastAsia="仿宋" w:cs="宋体"/>
                <w:color w:val="auto"/>
              </w:rPr>
            </w:pPr>
            <w:r>
              <w:rPr>
                <w:rFonts w:hint="eastAsia" w:ascii="仿宋" w:hAnsi="仿宋" w:eastAsia="仿宋"/>
                <w:color w:val="auto"/>
                <w:sz w:val="24"/>
                <w:szCs w:val="24"/>
                <w:lang w:bidi="ar"/>
              </w:rPr>
              <w:t>1</w:t>
            </w:r>
          </w:p>
        </w:tc>
        <w:tc>
          <w:tcPr>
            <w:tcW w:w="3362" w:type="dxa"/>
            <w:tcBorders>
              <w:top w:val="single" w:color="000000" w:sz="4" w:space="0"/>
              <w:left w:val="single" w:color="000000" w:sz="4" w:space="0"/>
              <w:bottom w:val="single" w:color="000000" w:sz="4" w:space="0"/>
              <w:right w:val="single" w:color="000000" w:sz="4" w:space="0"/>
            </w:tcBorders>
            <w:noWrap w:val="0"/>
            <w:vAlign w:val="center"/>
          </w:tcPr>
          <w:p w14:paraId="0F0986C1">
            <w:pPr>
              <w:pStyle w:val="30"/>
              <w:rPr>
                <w:rFonts w:hint="eastAsia"/>
                <w:color w:val="auto"/>
              </w:rPr>
            </w:pPr>
          </w:p>
        </w:tc>
        <w:tc>
          <w:tcPr>
            <w:tcW w:w="2693" w:type="dxa"/>
            <w:tcBorders>
              <w:top w:val="single" w:color="000000" w:sz="4" w:space="0"/>
              <w:left w:val="single" w:color="000000" w:sz="4" w:space="0"/>
              <w:bottom w:val="single" w:color="000000" w:sz="4" w:space="0"/>
              <w:right w:val="single" w:color="000000" w:sz="4" w:space="0"/>
            </w:tcBorders>
            <w:noWrap w:val="0"/>
            <w:vAlign w:val="center"/>
          </w:tcPr>
          <w:p w14:paraId="095FFD90">
            <w:pPr>
              <w:ind w:firstLine="0" w:firstLineChars="0"/>
              <w:jc w:val="center"/>
              <w:rPr>
                <w:color w:val="auto"/>
              </w:rPr>
            </w:pPr>
          </w:p>
        </w:tc>
        <w:tc>
          <w:tcPr>
            <w:tcW w:w="829" w:type="dxa"/>
            <w:tcBorders>
              <w:top w:val="single" w:color="000000" w:sz="4" w:space="0"/>
              <w:left w:val="single" w:color="000000" w:sz="4" w:space="0"/>
              <w:bottom w:val="single" w:color="000000" w:sz="4" w:space="0"/>
              <w:right w:val="single" w:color="000000" w:sz="4" w:space="0"/>
            </w:tcBorders>
            <w:noWrap w:val="0"/>
            <w:vAlign w:val="center"/>
          </w:tcPr>
          <w:p w14:paraId="16AF3436">
            <w:pPr>
              <w:ind w:firstLine="0" w:firstLineChars="0"/>
              <w:jc w:val="center"/>
              <w:rPr>
                <w:color w:val="auto"/>
              </w:rPr>
            </w:pP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727E9898">
            <w:pPr>
              <w:ind w:firstLine="0" w:firstLineChars="0"/>
              <w:jc w:val="center"/>
              <w:rPr>
                <w:color w:val="auto"/>
              </w:rPr>
            </w:pPr>
          </w:p>
        </w:tc>
      </w:tr>
      <w:tr w14:paraId="17B825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52" w:hRule="atLeast"/>
          <w:jc w:val="center"/>
        </w:trPr>
        <w:tc>
          <w:tcPr>
            <w:tcW w:w="604" w:type="dxa"/>
            <w:tcBorders>
              <w:top w:val="single" w:color="000000" w:sz="4" w:space="0"/>
              <w:left w:val="single" w:color="000000" w:sz="4" w:space="0"/>
              <w:bottom w:val="single" w:color="000000" w:sz="4" w:space="0"/>
              <w:right w:val="single" w:color="000000" w:sz="4" w:space="0"/>
            </w:tcBorders>
            <w:noWrap w:val="0"/>
            <w:vAlign w:val="center"/>
          </w:tcPr>
          <w:p w14:paraId="30A62C06">
            <w:pPr>
              <w:pStyle w:val="13"/>
              <w:spacing w:line="240" w:lineRule="auto"/>
              <w:ind w:firstLine="0" w:firstLineChars="0"/>
              <w:jc w:val="center"/>
              <w:rPr>
                <w:rFonts w:hint="eastAsia" w:ascii="宋体" w:hAnsi="宋体" w:eastAsia="仿宋" w:cs="宋体"/>
                <w:color w:val="auto"/>
              </w:rPr>
            </w:pPr>
            <w:r>
              <w:rPr>
                <w:rFonts w:hint="eastAsia" w:ascii="仿宋" w:hAnsi="仿宋" w:eastAsia="仿宋"/>
                <w:color w:val="auto"/>
                <w:sz w:val="24"/>
                <w:szCs w:val="24"/>
                <w:lang w:bidi="ar"/>
              </w:rPr>
              <w:t>2</w:t>
            </w:r>
          </w:p>
        </w:tc>
        <w:tc>
          <w:tcPr>
            <w:tcW w:w="3362" w:type="dxa"/>
            <w:tcBorders>
              <w:top w:val="single" w:color="000000" w:sz="4" w:space="0"/>
              <w:left w:val="single" w:color="000000" w:sz="4" w:space="0"/>
              <w:bottom w:val="single" w:color="000000" w:sz="4" w:space="0"/>
              <w:right w:val="single" w:color="000000" w:sz="4" w:space="0"/>
            </w:tcBorders>
            <w:noWrap w:val="0"/>
            <w:vAlign w:val="center"/>
          </w:tcPr>
          <w:p w14:paraId="6D31ACA8">
            <w:pPr>
              <w:pStyle w:val="30"/>
              <w:rPr>
                <w:color w:val="auto"/>
              </w:rPr>
            </w:pPr>
          </w:p>
        </w:tc>
        <w:tc>
          <w:tcPr>
            <w:tcW w:w="2693" w:type="dxa"/>
            <w:tcBorders>
              <w:top w:val="single" w:color="000000" w:sz="4" w:space="0"/>
              <w:left w:val="single" w:color="000000" w:sz="4" w:space="0"/>
              <w:bottom w:val="single" w:color="000000" w:sz="4" w:space="0"/>
              <w:right w:val="single" w:color="000000" w:sz="4" w:space="0"/>
            </w:tcBorders>
            <w:noWrap w:val="0"/>
            <w:vAlign w:val="center"/>
          </w:tcPr>
          <w:p w14:paraId="73D827F4">
            <w:pPr>
              <w:ind w:firstLine="0" w:firstLineChars="0"/>
              <w:jc w:val="center"/>
              <w:rPr>
                <w:color w:val="auto"/>
              </w:rPr>
            </w:pPr>
          </w:p>
        </w:tc>
        <w:tc>
          <w:tcPr>
            <w:tcW w:w="829" w:type="dxa"/>
            <w:tcBorders>
              <w:top w:val="single" w:color="000000" w:sz="4" w:space="0"/>
              <w:left w:val="single" w:color="000000" w:sz="4" w:space="0"/>
              <w:bottom w:val="single" w:color="000000" w:sz="4" w:space="0"/>
              <w:right w:val="single" w:color="000000" w:sz="4" w:space="0"/>
            </w:tcBorders>
            <w:noWrap w:val="0"/>
            <w:vAlign w:val="center"/>
          </w:tcPr>
          <w:p w14:paraId="2A0DFB01">
            <w:pPr>
              <w:ind w:firstLine="0" w:firstLineChars="0"/>
              <w:jc w:val="center"/>
              <w:rPr>
                <w:color w:val="auto"/>
              </w:rPr>
            </w:pP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2759FAA3">
            <w:pPr>
              <w:ind w:firstLine="0" w:firstLineChars="0"/>
              <w:jc w:val="center"/>
              <w:rPr>
                <w:color w:val="auto"/>
              </w:rPr>
            </w:pPr>
          </w:p>
        </w:tc>
      </w:tr>
      <w:tr w14:paraId="3A4D94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52" w:hRule="atLeast"/>
          <w:jc w:val="center"/>
        </w:trPr>
        <w:tc>
          <w:tcPr>
            <w:tcW w:w="604" w:type="dxa"/>
            <w:tcBorders>
              <w:top w:val="single" w:color="000000" w:sz="4" w:space="0"/>
              <w:left w:val="single" w:color="000000" w:sz="4" w:space="0"/>
              <w:bottom w:val="single" w:color="000000" w:sz="4" w:space="0"/>
              <w:right w:val="single" w:color="000000" w:sz="4" w:space="0"/>
            </w:tcBorders>
            <w:noWrap w:val="0"/>
            <w:vAlign w:val="center"/>
          </w:tcPr>
          <w:p w14:paraId="01A9EA31">
            <w:pPr>
              <w:pStyle w:val="13"/>
              <w:spacing w:line="240" w:lineRule="auto"/>
              <w:ind w:firstLine="0" w:firstLineChars="0"/>
              <w:jc w:val="center"/>
              <w:rPr>
                <w:rFonts w:hint="eastAsia" w:ascii="宋体" w:hAnsi="宋体" w:eastAsia="仿宋" w:cs="宋体"/>
                <w:color w:val="auto"/>
              </w:rPr>
            </w:pPr>
            <w:r>
              <w:rPr>
                <w:rFonts w:hint="eastAsia" w:ascii="仿宋" w:hAnsi="仿宋" w:eastAsia="仿宋"/>
                <w:color w:val="auto"/>
                <w:sz w:val="24"/>
                <w:szCs w:val="24"/>
                <w:lang w:bidi="ar"/>
              </w:rPr>
              <w:t>3</w:t>
            </w:r>
          </w:p>
        </w:tc>
        <w:tc>
          <w:tcPr>
            <w:tcW w:w="3362" w:type="dxa"/>
            <w:tcBorders>
              <w:top w:val="single" w:color="000000" w:sz="4" w:space="0"/>
              <w:left w:val="single" w:color="000000" w:sz="4" w:space="0"/>
              <w:bottom w:val="single" w:color="000000" w:sz="4" w:space="0"/>
              <w:right w:val="single" w:color="000000" w:sz="4" w:space="0"/>
            </w:tcBorders>
            <w:noWrap w:val="0"/>
            <w:vAlign w:val="center"/>
          </w:tcPr>
          <w:p w14:paraId="34BB2496">
            <w:pPr>
              <w:pStyle w:val="30"/>
              <w:rPr>
                <w:color w:val="auto"/>
              </w:rPr>
            </w:pPr>
          </w:p>
        </w:tc>
        <w:tc>
          <w:tcPr>
            <w:tcW w:w="2693" w:type="dxa"/>
            <w:tcBorders>
              <w:top w:val="single" w:color="000000" w:sz="4" w:space="0"/>
              <w:left w:val="single" w:color="000000" w:sz="4" w:space="0"/>
              <w:bottom w:val="single" w:color="000000" w:sz="4" w:space="0"/>
              <w:right w:val="single" w:color="000000" w:sz="4" w:space="0"/>
            </w:tcBorders>
            <w:noWrap w:val="0"/>
            <w:vAlign w:val="center"/>
          </w:tcPr>
          <w:p w14:paraId="1C640A50">
            <w:pPr>
              <w:ind w:firstLine="0" w:firstLineChars="0"/>
              <w:jc w:val="center"/>
              <w:rPr>
                <w:color w:val="auto"/>
              </w:rPr>
            </w:pPr>
          </w:p>
        </w:tc>
        <w:tc>
          <w:tcPr>
            <w:tcW w:w="829" w:type="dxa"/>
            <w:tcBorders>
              <w:top w:val="single" w:color="000000" w:sz="4" w:space="0"/>
              <w:left w:val="single" w:color="000000" w:sz="4" w:space="0"/>
              <w:bottom w:val="single" w:color="000000" w:sz="4" w:space="0"/>
              <w:right w:val="single" w:color="000000" w:sz="4" w:space="0"/>
            </w:tcBorders>
            <w:noWrap w:val="0"/>
            <w:vAlign w:val="center"/>
          </w:tcPr>
          <w:p w14:paraId="2F3C4233">
            <w:pPr>
              <w:ind w:firstLine="0" w:firstLineChars="0"/>
              <w:jc w:val="center"/>
              <w:rPr>
                <w:color w:val="auto"/>
              </w:rPr>
            </w:pP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50404716">
            <w:pPr>
              <w:ind w:firstLine="0" w:firstLineChars="0"/>
              <w:jc w:val="center"/>
              <w:rPr>
                <w:color w:val="auto"/>
              </w:rPr>
            </w:pPr>
          </w:p>
        </w:tc>
      </w:tr>
      <w:tr w14:paraId="0D6403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52" w:hRule="atLeast"/>
          <w:jc w:val="center"/>
        </w:trPr>
        <w:tc>
          <w:tcPr>
            <w:tcW w:w="604" w:type="dxa"/>
            <w:tcBorders>
              <w:top w:val="single" w:color="000000" w:sz="4" w:space="0"/>
              <w:left w:val="single" w:color="000000" w:sz="4" w:space="0"/>
              <w:bottom w:val="single" w:color="000000" w:sz="4" w:space="0"/>
              <w:right w:val="single" w:color="000000" w:sz="4" w:space="0"/>
            </w:tcBorders>
            <w:noWrap w:val="0"/>
            <w:vAlign w:val="center"/>
          </w:tcPr>
          <w:p w14:paraId="3634BEB7">
            <w:pPr>
              <w:pStyle w:val="13"/>
              <w:spacing w:line="240" w:lineRule="auto"/>
              <w:ind w:firstLine="0" w:firstLineChars="0"/>
              <w:jc w:val="center"/>
              <w:rPr>
                <w:rFonts w:hint="eastAsia" w:ascii="宋体" w:hAnsi="宋体" w:eastAsia="仿宋" w:cs="宋体"/>
                <w:color w:val="auto"/>
              </w:rPr>
            </w:pPr>
            <w:r>
              <w:rPr>
                <w:rFonts w:hint="eastAsia" w:ascii="仿宋" w:hAnsi="仿宋" w:eastAsia="仿宋"/>
                <w:color w:val="auto"/>
                <w:sz w:val="24"/>
                <w:szCs w:val="24"/>
                <w:lang w:bidi="ar"/>
              </w:rPr>
              <w:t>4</w:t>
            </w:r>
          </w:p>
        </w:tc>
        <w:tc>
          <w:tcPr>
            <w:tcW w:w="3362" w:type="dxa"/>
            <w:tcBorders>
              <w:top w:val="single" w:color="000000" w:sz="4" w:space="0"/>
              <w:left w:val="single" w:color="000000" w:sz="4" w:space="0"/>
              <w:bottom w:val="single" w:color="000000" w:sz="4" w:space="0"/>
              <w:right w:val="single" w:color="000000" w:sz="4" w:space="0"/>
            </w:tcBorders>
            <w:noWrap w:val="0"/>
            <w:vAlign w:val="center"/>
          </w:tcPr>
          <w:p w14:paraId="68FBED37">
            <w:pPr>
              <w:pStyle w:val="30"/>
              <w:rPr>
                <w:color w:val="auto"/>
              </w:rPr>
            </w:pPr>
          </w:p>
        </w:tc>
        <w:tc>
          <w:tcPr>
            <w:tcW w:w="2693" w:type="dxa"/>
            <w:tcBorders>
              <w:top w:val="single" w:color="000000" w:sz="4" w:space="0"/>
              <w:left w:val="single" w:color="000000" w:sz="4" w:space="0"/>
              <w:bottom w:val="single" w:color="000000" w:sz="4" w:space="0"/>
              <w:right w:val="single" w:color="000000" w:sz="4" w:space="0"/>
            </w:tcBorders>
            <w:noWrap w:val="0"/>
            <w:vAlign w:val="center"/>
          </w:tcPr>
          <w:p w14:paraId="25BDEA93">
            <w:pPr>
              <w:ind w:firstLine="0" w:firstLineChars="0"/>
              <w:jc w:val="center"/>
              <w:rPr>
                <w:color w:val="auto"/>
              </w:rPr>
            </w:pPr>
          </w:p>
        </w:tc>
        <w:tc>
          <w:tcPr>
            <w:tcW w:w="829" w:type="dxa"/>
            <w:tcBorders>
              <w:top w:val="single" w:color="000000" w:sz="4" w:space="0"/>
              <w:left w:val="single" w:color="000000" w:sz="4" w:space="0"/>
              <w:bottom w:val="single" w:color="000000" w:sz="4" w:space="0"/>
              <w:right w:val="single" w:color="000000" w:sz="4" w:space="0"/>
            </w:tcBorders>
            <w:noWrap w:val="0"/>
            <w:vAlign w:val="center"/>
          </w:tcPr>
          <w:p w14:paraId="5E0F8AFA">
            <w:pPr>
              <w:ind w:firstLine="0" w:firstLineChars="0"/>
              <w:jc w:val="center"/>
              <w:rPr>
                <w:color w:val="auto"/>
              </w:rPr>
            </w:pP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5DF8E788">
            <w:pPr>
              <w:ind w:firstLine="0" w:firstLineChars="0"/>
              <w:jc w:val="center"/>
              <w:rPr>
                <w:color w:val="auto"/>
              </w:rPr>
            </w:pPr>
          </w:p>
        </w:tc>
      </w:tr>
      <w:tr w14:paraId="6236CF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52" w:hRule="atLeast"/>
          <w:jc w:val="center"/>
        </w:trPr>
        <w:tc>
          <w:tcPr>
            <w:tcW w:w="604" w:type="dxa"/>
            <w:tcBorders>
              <w:top w:val="single" w:color="000000" w:sz="4" w:space="0"/>
              <w:left w:val="single" w:color="000000" w:sz="4" w:space="0"/>
              <w:bottom w:val="single" w:color="000000" w:sz="4" w:space="0"/>
              <w:right w:val="single" w:color="000000" w:sz="4" w:space="0"/>
            </w:tcBorders>
            <w:noWrap w:val="0"/>
            <w:vAlign w:val="center"/>
          </w:tcPr>
          <w:p w14:paraId="696B79EA">
            <w:pPr>
              <w:pStyle w:val="13"/>
              <w:spacing w:line="240" w:lineRule="auto"/>
              <w:ind w:firstLine="0" w:firstLineChars="0"/>
              <w:jc w:val="center"/>
              <w:rPr>
                <w:rFonts w:hint="eastAsia" w:ascii="仿宋" w:hAnsi="仿宋" w:eastAsia="仿宋"/>
                <w:color w:val="auto"/>
                <w:sz w:val="24"/>
                <w:szCs w:val="24"/>
                <w:lang w:bidi="ar"/>
              </w:rPr>
            </w:pPr>
            <w:r>
              <w:rPr>
                <w:rFonts w:ascii="仿宋" w:hAnsi="仿宋" w:eastAsia="仿宋"/>
                <w:color w:val="auto"/>
                <w:sz w:val="24"/>
                <w:szCs w:val="24"/>
                <w:lang w:bidi="ar"/>
              </w:rPr>
              <w:t>…</w:t>
            </w:r>
          </w:p>
        </w:tc>
        <w:tc>
          <w:tcPr>
            <w:tcW w:w="3362" w:type="dxa"/>
            <w:tcBorders>
              <w:top w:val="single" w:color="000000" w:sz="4" w:space="0"/>
              <w:left w:val="single" w:color="000000" w:sz="4" w:space="0"/>
              <w:bottom w:val="single" w:color="000000" w:sz="4" w:space="0"/>
              <w:right w:val="single" w:color="000000" w:sz="4" w:space="0"/>
            </w:tcBorders>
            <w:noWrap w:val="0"/>
            <w:vAlign w:val="center"/>
          </w:tcPr>
          <w:p w14:paraId="1CBAC5A3">
            <w:pPr>
              <w:pStyle w:val="30"/>
              <w:rPr>
                <w:color w:val="auto"/>
              </w:rPr>
            </w:pPr>
          </w:p>
        </w:tc>
        <w:tc>
          <w:tcPr>
            <w:tcW w:w="2693" w:type="dxa"/>
            <w:tcBorders>
              <w:top w:val="single" w:color="000000" w:sz="4" w:space="0"/>
              <w:left w:val="single" w:color="000000" w:sz="4" w:space="0"/>
              <w:bottom w:val="single" w:color="000000" w:sz="4" w:space="0"/>
              <w:right w:val="single" w:color="000000" w:sz="4" w:space="0"/>
            </w:tcBorders>
            <w:noWrap w:val="0"/>
            <w:vAlign w:val="center"/>
          </w:tcPr>
          <w:p w14:paraId="43B8AC99">
            <w:pPr>
              <w:ind w:firstLine="0" w:firstLineChars="0"/>
              <w:jc w:val="center"/>
              <w:rPr>
                <w:color w:val="auto"/>
              </w:rPr>
            </w:pPr>
          </w:p>
        </w:tc>
        <w:tc>
          <w:tcPr>
            <w:tcW w:w="829" w:type="dxa"/>
            <w:tcBorders>
              <w:top w:val="single" w:color="000000" w:sz="4" w:space="0"/>
              <w:left w:val="single" w:color="000000" w:sz="4" w:space="0"/>
              <w:bottom w:val="single" w:color="000000" w:sz="4" w:space="0"/>
              <w:right w:val="single" w:color="000000" w:sz="4" w:space="0"/>
            </w:tcBorders>
            <w:noWrap w:val="0"/>
            <w:vAlign w:val="center"/>
          </w:tcPr>
          <w:p w14:paraId="1995ACF6">
            <w:pPr>
              <w:ind w:firstLine="0" w:firstLineChars="0"/>
              <w:jc w:val="center"/>
              <w:rPr>
                <w:color w:val="auto"/>
              </w:rPr>
            </w:pP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693EBC60">
            <w:pPr>
              <w:ind w:firstLine="0" w:firstLineChars="0"/>
              <w:jc w:val="center"/>
              <w:rPr>
                <w:color w:val="auto"/>
              </w:rPr>
            </w:pPr>
          </w:p>
        </w:tc>
      </w:tr>
    </w:tbl>
    <w:p w14:paraId="7813CF43">
      <w:pPr>
        <w:ind w:firstLine="480"/>
        <w:rPr>
          <w:color w:val="auto"/>
        </w:rPr>
      </w:pPr>
    </w:p>
    <w:p w14:paraId="6074EA60">
      <w:pPr>
        <w:ind w:firstLine="480"/>
        <w:rPr>
          <w:color w:val="auto"/>
        </w:rPr>
      </w:pPr>
      <w:r>
        <w:rPr>
          <w:rFonts w:hint="eastAsia"/>
          <w:color w:val="auto"/>
          <w:lang w:bidi="ar"/>
        </w:rPr>
        <w:t>说明：1.</w:t>
      </w:r>
      <w:r>
        <w:rPr>
          <w:rFonts w:hint="eastAsia"/>
          <w:color w:val="auto"/>
          <w:lang w:eastAsia="zh-CN" w:bidi="ar"/>
        </w:rPr>
        <w:t>投标人</w:t>
      </w:r>
      <w:r>
        <w:rPr>
          <w:rFonts w:hint="eastAsia"/>
          <w:color w:val="auto"/>
          <w:lang w:bidi="ar"/>
        </w:rPr>
        <w:t>应按招标文件第</w:t>
      </w:r>
      <w:r>
        <w:rPr>
          <w:rFonts w:hint="eastAsia"/>
          <w:color w:val="auto"/>
          <w:lang w:eastAsia="zh-CN" w:bidi="ar"/>
        </w:rPr>
        <w:t>三</w:t>
      </w:r>
      <w:r>
        <w:rPr>
          <w:rFonts w:hint="eastAsia"/>
          <w:color w:val="auto"/>
          <w:lang w:bidi="ar"/>
        </w:rPr>
        <w:t>章“采购需求及说明”中的技术、商务要求款逐项说明是否满足要求，如有偏离，</w:t>
      </w:r>
      <w:r>
        <w:rPr>
          <w:rFonts w:hint="eastAsia"/>
          <w:color w:val="auto"/>
          <w:lang w:eastAsia="zh-CN" w:bidi="ar"/>
        </w:rPr>
        <w:t>投标人</w:t>
      </w:r>
      <w:r>
        <w:rPr>
          <w:rFonts w:hint="eastAsia"/>
          <w:color w:val="auto"/>
          <w:lang w:bidi="ar"/>
        </w:rPr>
        <w:t>应详细说明。未按照要求填写此表或仅注明“符合”、“满足”的，导致的后果由</w:t>
      </w:r>
      <w:r>
        <w:rPr>
          <w:rFonts w:hint="eastAsia"/>
          <w:color w:val="auto"/>
          <w:lang w:eastAsia="zh-CN" w:bidi="ar"/>
        </w:rPr>
        <w:t>投标人</w:t>
      </w:r>
      <w:r>
        <w:rPr>
          <w:rFonts w:hint="eastAsia"/>
          <w:color w:val="auto"/>
          <w:lang w:bidi="ar"/>
        </w:rPr>
        <w:t>自行承担。</w:t>
      </w:r>
    </w:p>
    <w:p w14:paraId="032EC7C2">
      <w:pPr>
        <w:ind w:firstLine="480"/>
        <w:rPr>
          <w:color w:val="auto"/>
        </w:rPr>
      </w:pPr>
      <w:r>
        <w:rPr>
          <w:rFonts w:hint="eastAsia"/>
          <w:color w:val="auto"/>
          <w:lang w:bidi="ar"/>
        </w:rPr>
        <w:t>2.</w:t>
      </w:r>
      <w:r>
        <w:rPr>
          <w:rFonts w:hint="eastAsia"/>
          <w:color w:val="auto"/>
          <w:lang w:eastAsia="zh-CN" w:bidi="ar"/>
        </w:rPr>
        <w:t>投标人</w:t>
      </w:r>
      <w:r>
        <w:rPr>
          <w:rFonts w:hint="eastAsia"/>
          <w:color w:val="auto"/>
          <w:lang w:bidi="ar"/>
        </w:rPr>
        <w:t>提供的相关证明文件对应的页码填写到上表“投标文件对应的页码”中。如未提供页码或内容页码完全不一致的，导致的后果由</w:t>
      </w:r>
      <w:r>
        <w:rPr>
          <w:rFonts w:hint="eastAsia"/>
          <w:color w:val="auto"/>
          <w:lang w:eastAsia="zh-CN" w:bidi="ar"/>
        </w:rPr>
        <w:t>投标人</w:t>
      </w:r>
      <w:r>
        <w:rPr>
          <w:rFonts w:hint="eastAsia"/>
          <w:color w:val="auto"/>
          <w:lang w:bidi="ar"/>
        </w:rPr>
        <w:t>自行承担。</w:t>
      </w:r>
    </w:p>
    <w:p w14:paraId="3A2CA979">
      <w:pPr>
        <w:ind w:firstLine="480"/>
        <w:rPr>
          <w:color w:val="auto"/>
        </w:rPr>
      </w:pPr>
    </w:p>
    <w:p w14:paraId="271EA8AD">
      <w:pPr>
        <w:ind w:firstLine="480"/>
        <w:rPr>
          <w:rFonts w:hint="eastAsia"/>
          <w:color w:val="auto"/>
          <w:lang w:bidi="ar"/>
        </w:rPr>
      </w:pPr>
    </w:p>
    <w:p w14:paraId="32FD28F1">
      <w:pPr>
        <w:ind w:firstLine="480"/>
        <w:jc w:val="right"/>
        <w:rPr>
          <w:rFonts w:hint="eastAsia"/>
          <w:color w:val="auto"/>
          <w:u w:val="none"/>
          <w:lang w:val="en-US" w:eastAsia="zh-CN" w:bidi="ar"/>
        </w:rPr>
      </w:pPr>
      <w:r>
        <w:rPr>
          <w:rFonts w:hint="eastAsia"/>
          <w:color w:val="auto"/>
          <w:lang w:bidi="ar"/>
        </w:rPr>
        <w:t>法定代表人或被授权代表（签字或盖章）：</w:t>
      </w:r>
      <w:r>
        <w:rPr>
          <w:rFonts w:hint="eastAsia" w:hAnsi="宋体" w:cs="宋体"/>
          <w:color w:val="auto"/>
          <w:sz w:val="24"/>
          <w:szCs w:val="24"/>
          <w:u w:val="single"/>
        </w:rPr>
        <w:tab/>
      </w:r>
      <w:r>
        <w:rPr>
          <w:rFonts w:hint="eastAsia" w:hAnsi="宋体" w:cs="宋体"/>
          <w:color w:val="auto"/>
          <w:sz w:val="24"/>
          <w:szCs w:val="24"/>
          <w:u w:val="single"/>
        </w:rPr>
        <w:tab/>
      </w:r>
      <w:r>
        <w:rPr>
          <w:rFonts w:hint="eastAsia" w:hAnsi="宋体" w:cs="宋体"/>
          <w:color w:val="auto"/>
          <w:sz w:val="24"/>
          <w:szCs w:val="24"/>
          <w:u w:val="single"/>
        </w:rPr>
        <w:tab/>
      </w:r>
    </w:p>
    <w:p w14:paraId="077A63C1">
      <w:pPr>
        <w:ind w:firstLine="480"/>
        <w:jc w:val="right"/>
        <w:rPr>
          <w:color w:val="auto"/>
        </w:rPr>
      </w:pPr>
      <w:r>
        <w:rPr>
          <w:rFonts w:hint="eastAsia"/>
          <w:color w:val="auto"/>
          <w:lang w:eastAsia="zh-CN" w:bidi="ar"/>
        </w:rPr>
        <w:t>投标人</w:t>
      </w:r>
      <w:r>
        <w:rPr>
          <w:rFonts w:hint="eastAsia"/>
          <w:color w:val="auto"/>
          <w:lang w:bidi="ar"/>
        </w:rPr>
        <w:t>名称（公章）：</w:t>
      </w:r>
      <w:r>
        <w:rPr>
          <w:rFonts w:hint="eastAsia" w:hAnsi="宋体" w:cs="宋体"/>
          <w:color w:val="auto"/>
          <w:sz w:val="24"/>
          <w:szCs w:val="24"/>
          <w:u w:val="single"/>
        </w:rPr>
        <w:tab/>
      </w:r>
      <w:r>
        <w:rPr>
          <w:rFonts w:hint="eastAsia" w:hAnsi="宋体" w:cs="宋体"/>
          <w:color w:val="auto"/>
          <w:sz w:val="24"/>
          <w:szCs w:val="24"/>
          <w:u w:val="single"/>
        </w:rPr>
        <w:tab/>
      </w:r>
      <w:r>
        <w:rPr>
          <w:rFonts w:hint="eastAsia" w:hAnsi="宋体" w:cs="宋体"/>
          <w:color w:val="auto"/>
          <w:sz w:val="24"/>
          <w:szCs w:val="24"/>
          <w:u w:val="single"/>
        </w:rPr>
        <w:tab/>
      </w:r>
    </w:p>
    <w:p w14:paraId="4EE24843">
      <w:pPr>
        <w:ind w:firstLine="480"/>
        <w:jc w:val="right"/>
        <w:rPr>
          <w:rFonts w:hint="eastAsia" w:eastAsia="宋体"/>
          <w:color w:val="auto"/>
          <w:lang w:eastAsia="zh-CN"/>
        </w:rPr>
      </w:pPr>
      <w:r>
        <w:rPr>
          <w:rFonts w:hint="eastAsia"/>
          <w:color w:val="auto"/>
          <w:lang w:bidi="ar"/>
        </w:rPr>
        <w:t>日期：</w:t>
      </w:r>
      <w:r>
        <w:rPr>
          <w:rFonts w:hint="eastAsia"/>
          <w:color w:val="auto"/>
          <w:u w:val="single"/>
          <w:lang w:val="en-US" w:eastAsia="zh-CN" w:bidi="ar"/>
        </w:rPr>
        <w:t xml:space="preserve">  </w:t>
      </w:r>
      <w:r>
        <w:rPr>
          <w:rFonts w:hint="eastAsia"/>
          <w:color w:val="auto"/>
          <w:lang w:eastAsia="zh-CN" w:bidi="ar"/>
        </w:rPr>
        <w:t>年</w:t>
      </w:r>
      <w:r>
        <w:rPr>
          <w:rFonts w:hint="eastAsia"/>
          <w:color w:val="auto"/>
          <w:u w:val="single"/>
          <w:lang w:val="en-US" w:eastAsia="zh-CN" w:bidi="ar"/>
        </w:rPr>
        <w:t xml:space="preserve">  </w:t>
      </w:r>
      <w:r>
        <w:rPr>
          <w:rFonts w:hint="eastAsia"/>
          <w:color w:val="auto"/>
          <w:lang w:eastAsia="zh-CN" w:bidi="ar"/>
        </w:rPr>
        <w:t>月</w:t>
      </w:r>
      <w:r>
        <w:rPr>
          <w:rFonts w:hint="eastAsia"/>
          <w:color w:val="auto"/>
          <w:u w:val="single"/>
          <w:lang w:val="en-US" w:eastAsia="zh-CN" w:bidi="ar"/>
        </w:rPr>
        <w:t xml:space="preserve">  </w:t>
      </w:r>
      <w:r>
        <w:rPr>
          <w:rFonts w:hint="eastAsia"/>
          <w:color w:val="auto"/>
          <w:lang w:eastAsia="zh-CN" w:bidi="ar"/>
        </w:rPr>
        <w:t>日</w:t>
      </w:r>
    </w:p>
    <w:p w14:paraId="34C3DEEB">
      <w:pPr>
        <w:ind w:firstLine="480"/>
        <w:rPr>
          <w:color w:val="auto"/>
        </w:rPr>
      </w:pPr>
    </w:p>
    <w:p w14:paraId="798E08EA">
      <w:pPr>
        <w:ind w:firstLine="480"/>
        <w:rPr>
          <w:color w:val="auto"/>
        </w:rPr>
      </w:pPr>
    </w:p>
    <w:p w14:paraId="1DFDED86">
      <w:pPr>
        <w:pStyle w:val="3"/>
        <w:bidi w:val="0"/>
        <w:rPr>
          <w:color w:val="auto"/>
        </w:rPr>
      </w:pPr>
      <w:r>
        <w:rPr>
          <w:rFonts w:hint="eastAsia"/>
          <w:color w:val="auto"/>
          <w:lang w:val="en-US" w:eastAsia="zh-CN"/>
        </w:rPr>
        <w:t>十、</w:t>
      </w:r>
      <w:r>
        <w:rPr>
          <w:rFonts w:hint="eastAsia"/>
          <w:color w:val="auto"/>
        </w:rPr>
        <w:t>其他技术部分要求的证明或承诺（如有）</w:t>
      </w:r>
    </w:p>
    <w:p w14:paraId="6DD975E3">
      <w:pPr>
        <w:ind w:firstLine="0" w:firstLineChars="0"/>
        <w:jc w:val="center"/>
        <w:rPr>
          <w:color w:val="auto"/>
        </w:rPr>
      </w:pPr>
      <w:r>
        <w:rPr>
          <w:rFonts w:hint="eastAsia"/>
          <w:color w:val="auto"/>
          <w:lang w:bidi="ar"/>
        </w:rPr>
        <w:t>（格式自拟，根据第四章要求提供技术、服务方案等内容）</w:t>
      </w:r>
    </w:p>
    <w:bookmarkEnd w:id="71"/>
    <w:bookmarkEnd w:id="72"/>
    <w:bookmarkEnd w:id="73"/>
    <w:p w14:paraId="25216AFB">
      <w:pPr>
        <w:spacing w:line="540" w:lineRule="exact"/>
        <w:jc w:val="center"/>
        <w:outlineLvl w:val="0"/>
        <w:rPr>
          <w:rFonts w:hint="eastAsia" w:asciiTheme="majorEastAsia" w:hAnsiTheme="majorEastAsia" w:eastAsiaTheme="majorEastAsia" w:cstheme="majorEastAsia"/>
          <w:bCs/>
          <w:color w:val="auto"/>
          <w:sz w:val="21"/>
          <w:szCs w:val="21"/>
          <w:lang w:val="en-US" w:eastAsia="zh-CN"/>
        </w:rPr>
      </w:pPr>
      <w:bookmarkStart w:id="75" w:name="_Toc22229"/>
    </w:p>
    <w:p w14:paraId="6764C48F">
      <w:pPr>
        <w:pStyle w:val="3"/>
        <w:bidi w:val="0"/>
        <w:rPr>
          <w:rFonts w:hint="eastAsia"/>
          <w:color w:val="auto"/>
          <w:lang w:val="en-US" w:eastAsia="zh-CN"/>
        </w:rPr>
      </w:pPr>
      <w:r>
        <w:rPr>
          <w:rFonts w:hint="eastAsia"/>
          <w:color w:val="auto"/>
          <w:lang w:val="en-US" w:eastAsia="zh-CN"/>
        </w:rPr>
        <w:t>十一、投标人认为需提供的相关资料</w:t>
      </w:r>
      <w:bookmarkEnd w:id="75"/>
    </w:p>
    <w:p w14:paraId="574A27CB">
      <w:pPr>
        <w:pStyle w:val="3"/>
        <w:rPr>
          <w:rFonts w:hint="eastAsia"/>
          <w:color w:val="auto"/>
        </w:rPr>
      </w:pPr>
    </w:p>
    <w:p w14:paraId="55F7AEFD">
      <w:pPr>
        <w:keepNext w:val="0"/>
        <w:keepLines w:val="0"/>
        <w:pageBreakBefore w:val="0"/>
        <w:widowControl/>
        <w:kinsoku/>
        <w:wordWrap/>
        <w:overflowPunct/>
        <w:topLinePunct w:val="0"/>
        <w:autoSpaceDE/>
        <w:autoSpaceDN/>
        <w:bidi w:val="0"/>
        <w:adjustRightInd/>
        <w:snapToGrid/>
        <w:spacing w:after="156" w:afterLines="50" w:line="480" w:lineRule="exact"/>
        <w:jc w:val="both"/>
        <w:textAlignment w:val="auto"/>
        <w:rPr>
          <w:rFonts w:hint="eastAsia" w:asciiTheme="minorEastAsia" w:hAnsiTheme="minorEastAsia" w:eastAsiaTheme="minorEastAsia" w:cstheme="minorEastAsia"/>
          <w:b/>
          <w:bCs/>
          <w:color w:val="auto"/>
          <w:sz w:val="32"/>
          <w:szCs w:val="32"/>
          <w:lang w:val="en-US" w:eastAsia="zh-CN"/>
        </w:rPr>
      </w:pPr>
    </w:p>
    <w:bookmarkEnd w:id="7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3"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auto"/>
    <w:pitch w:val="default"/>
    <w:sig w:usb0="800002BF" w:usb1="38CF7CFA" w:usb2="00000016" w:usb3="00000000" w:csb0="00040001" w:csb1="00000000"/>
  </w:font>
  <w:font w:name="华文宋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93082">
    <w:pPr>
      <w:pStyle w:val="1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04AFCA">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504AFCA">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56CA40">
    <w:pPr>
      <w:pStyle w:val="10"/>
      <w:ind w:firstLine="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13F6195">
                          <w:pPr>
                            <w:pStyle w:val="10"/>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013F6195">
                    <w:pPr>
                      <w:pStyle w:val="10"/>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052BCE">
    <w:pPr>
      <w:pStyle w:val="10"/>
      <w:ind w:left="0" w:leftChars="0" w:firstLine="0" w:firstLineChars="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D97867">
                          <w:pPr>
                            <w:pStyle w:val="1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9D97867">
                    <w:pPr>
                      <w:pStyle w:val="10"/>
                    </w:pPr>
                    <w:r>
                      <w:fldChar w:fldCharType="begin"/>
                    </w:r>
                    <w:r>
                      <w:instrText xml:space="preserve"> PAGE  \* MERGEFORMAT </w:instrText>
                    </w:r>
                    <w:r>
                      <w:fldChar w:fldCharType="separate"/>
                    </w:r>
                    <w:r>
                      <w:t>2</w:t>
                    </w:r>
                    <w:r>
                      <w:fldChar w:fldCharType="end"/>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5B8A9D">
                          <w:pPr>
                            <w:pStyle w:val="10"/>
                            <w:rPr>
                              <w:rFonts w:hint="eastAsia" w:eastAsia="宋体"/>
                              <w:lang w:val="en-US"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3C5B8A9D">
                    <w:pPr>
                      <w:pStyle w:val="10"/>
                      <w:rPr>
                        <w:rFonts w:hint="eastAsia" w:eastAsia="宋体"/>
                        <w:lang w:val="en-US" w:eastAsia="zh-CN"/>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D6B3D0">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8E889D"/>
    <w:multiLevelType w:val="singleLevel"/>
    <w:tmpl w:val="188E889D"/>
    <w:lvl w:ilvl="0" w:tentative="0">
      <w:start w:val="8"/>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ED7DC3"/>
    <w:rsid w:val="0AF618DB"/>
    <w:rsid w:val="0AF87123"/>
    <w:rsid w:val="0B04538B"/>
    <w:rsid w:val="0C203BAA"/>
    <w:rsid w:val="1A3870DB"/>
    <w:rsid w:val="1D4D000A"/>
    <w:rsid w:val="1DD50EE3"/>
    <w:rsid w:val="1E0E2B0B"/>
    <w:rsid w:val="22682C67"/>
    <w:rsid w:val="2482357B"/>
    <w:rsid w:val="259F2E44"/>
    <w:rsid w:val="2BF11F1F"/>
    <w:rsid w:val="417B0792"/>
    <w:rsid w:val="434952B1"/>
    <w:rsid w:val="44962685"/>
    <w:rsid w:val="499354CF"/>
    <w:rsid w:val="4F3859BE"/>
    <w:rsid w:val="54BC28B8"/>
    <w:rsid w:val="56DB7A46"/>
    <w:rsid w:val="60202CDA"/>
    <w:rsid w:val="61EA7636"/>
    <w:rsid w:val="628C5E17"/>
    <w:rsid w:val="67B5650F"/>
    <w:rsid w:val="6D844956"/>
    <w:rsid w:val="7A737A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0"/>
    <w:pPr>
      <w:tabs>
        <w:tab w:val="left" w:pos="0"/>
      </w:tabs>
      <w:spacing w:line="480" w:lineRule="auto"/>
      <w:jc w:val="center"/>
      <w:outlineLvl w:val="0"/>
    </w:pPr>
    <w:rPr>
      <w:rFonts w:asciiTheme="minorEastAsia" w:hAnsiTheme="minorEastAsia" w:eastAsiaTheme="minorEastAsia" w:cstheme="minorEastAsia"/>
      <w:b/>
      <w:sz w:val="32"/>
      <w:szCs w:val="32"/>
    </w:rPr>
  </w:style>
  <w:style w:type="paragraph" w:styleId="3">
    <w:name w:val="heading 2"/>
    <w:basedOn w:val="1"/>
    <w:next w:val="1"/>
    <w:qFormat/>
    <w:uiPriority w:val="0"/>
    <w:pPr>
      <w:spacing w:line="360" w:lineRule="auto"/>
      <w:jc w:val="center"/>
      <w:outlineLvl w:val="1"/>
    </w:pPr>
    <w:rPr>
      <w:b/>
      <w:bCs/>
      <w:sz w:val="28"/>
      <w:szCs w:val="28"/>
    </w:rPr>
  </w:style>
  <w:style w:type="paragraph" w:styleId="4">
    <w:name w:val="heading 3"/>
    <w:basedOn w:val="1"/>
    <w:next w:val="1"/>
    <w:link w:val="24"/>
    <w:qFormat/>
    <w:uiPriority w:val="9"/>
    <w:pPr>
      <w:spacing w:before="50" w:beforeLines="50" w:line="480" w:lineRule="auto"/>
      <w:ind w:firstLine="422" w:firstLineChars="200"/>
      <w:jc w:val="center"/>
      <w:outlineLvl w:val="2"/>
    </w:pPr>
    <w:rPr>
      <w:rFonts w:ascii="宋体" w:hAnsi="宋体" w:eastAsia="宋体" w:cs="宋体"/>
      <w:b/>
      <w:szCs w:val="21"/>
    </w:rPr>
  </w:style>
  <w:style w:type="paragraph" w:styleId="5">
    <w:name w:val="heading 4"/>
    <w:basedOn w:val="4"/>
    <w:next w:val="1"/>
    <w:link w:val="21"/>
    <w:qFormat/>
    <w:uiPriority w:val="0"/>
    <w:pPr>
      <w:spacing w:line="360" w:lineRule="auto"/>
      <w:jc w:val="left"/>
      <w:outlineLvl w:val="3"/>
    </w:p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6">
    <w:name w:val="toc 7"/>
    <w:basedOn w:val="1"/>
    <w:next w:val="1"/>
    <w:qFormat/>
    <w:uiPriority w:val="0"/>
    <w:pPr>
      <w:ind w:left="1680"/>
      <w:jc w:val="left"/>
    </w:pPr>
    <w:rPr>
      <w:rFonts w:ascii="Calibri" w:hAnsi="Calibri"/>
      <w:sz w:val="18"/>
      <w:szCs w:val="18"/>
    </w:rPr>
  </w:style>
  <w:style w:type="paragraph" w:styleId="7">
    <w:name w:val="Body Text Indent"/>
    <w:basedOn w:val="1"/>
    <w:next w:val="8"/>
    <w:unhideWhenUsed/>
    <w:qFormat/>
    <w:uiPriority w:val="0"/>
    <w:pPr>
      <w:spacing w:line="360" w:lineRule="auto"/>
      <w:ind w:firstLine="560" w:firstLineChars="200"/>
    </w:pPr>
  </w:style>
  <w:style w:type="paragraph" w:customStyle="1" w:styleId="8">
    <w:name w:val="正文缩进2"/>
    <w:next w:val="1"/>
    <w:qFormat/>
    <w:uiPriority w:val="0"/>
    <w:pPr>
      <w:wordWrap w:val="0"/>
      <w:ind w:left="3400"/>
      <w:jc w:val="both"/>
    </w:pPr>
    <w:rPr>
      <w:rFonts w:ascii="Calibri" w:hAnsi="Calibri" w:eastAsia="宋体" w:cs="Times New Roman"/>
      <w:sz w:val="21"/>
      <w:lang w:val="en-US" w:eastAsia="zh-CN" w:bidi="ar-SA"/>
    </w:rPr>
  </w:style>
  <w:style w:type="paragraph" w:styleId="9">
    <w:name w:val="Plain Text"/>
    <w:basedOn w:val="1"/>
    <w:unhideWhenUsed/>
    <w:qFormat/>
    <w:uiPriority w:val="99"/>
    <w:rPr>
      <w:rFonts w:ascii="宋体" w:hAnsi="Courier New" w:cs="Courier New"/>
      <w:kern w:val="0"/>
      <w:sz w:val="20"/>
      <w:szCs w:val="21"/>
    </w:rPr>
  </w:style>
  <w:style w:type="paragraph" w:styleId="10">
    <w:name w:val="footer"/>
    <w:basedOn w:val="1"/>
    <w:unhideWhenUsed/>
    <w:qFormat/>
    <w:uiPriority w:val="99"/>
    <w:pPr>
      <w:widowControl/>
      <w:tabs>
        <w:tab w:val="center" w:pos="4153"/>
        <w:tab w:val="right" w:pos="8306"/>
      </w:tabs>
      <w:snapToGrid w:val="0"/>
      <w:ind w:firstLine="360"/>
      <w:jc w:val="left"/>
    </w:pPr>
    <w:rPr>
      <w:kern w:val="0"/>
      <w:sz w:val="18"/>
      <w:szCs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toc 1"/>
    <w:basedOn w:val="1"/>
    <w:next w:val="1"/>
    <w:qFormat/>
    <w:uiPriority w:val="0"/>
  </w:style>
  <w:style w:type="paragraph" w:styleId="13">
    <w:name w:val="Normal (Web)"/>
    <w:basedOn w:val="1"/>
    <w:qFormat/>
    <w:uiPriority w:val="0"/>
    <w:pPr>
      <w:widowControl/>
      <w:spacing w:before="100" w:beforeAutospacing="1" w:after="100" w:afterAutospacing="1"/>
      <w:ind w:firstLine="360"/>
      <w:jc w:val="left"/>
    </w:pPr>
    <w:rPr>
      <w:rFonts w:ascii="宋体" w:hAnsi="宋体" w:cs="宋体"/>
      <w:kern w:val="0"/>
      <w:sz w:val="24"/>
    </w:rPr>
  </w:style>
  <w:style w:type="paragraph" w:styleId="14">
    <w:name w:val="Title"/>
    <w:basedOn w:val="1"/>
    <w:next w:val="1"/>
    <w:qFormat/>
    <w:uiPriority w:val="10"/>
    <w:pPr>
      <w:spacing w:before="240" w:after="60"/>
      <w:jc w:val="center"/>
      <w:outlineLvl w:val="0"/>
    </w:pPr>
    <w:rPr>
      <w:rFonts w:ascii="Cambria" w:hAnsi="Cambria"/>
      <w:b/>
      <w:bCs/>
      <w:kern w:val="0"/>
      <w:sz w:val="32"/>
      <w:szCs w:val="32"/>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
    <w:name w:val="段"/>
    <w:basedOn w:val="19"/>
    <w:next w:val="20"/>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19">
    <w:name w:val="Normal_2"/>
    <w:qFormat/>
    <w:uiPriority w:val="0"/>
    <w:pPr>
      <w:widowControl w:val="0"/>
      <w:spacing w:line="360" w:lineRule="auto"/>
      <w:jc w:val="both"/>
    </w:pPr>
    <w:rPr>
      <w:rFonts w:ascii="Times New Roman" w:hAnsi="Times New Roman" w:eastAsia="宋体" w:cs="Times New Roman"/>
      <w:szCs w:val="24"/>
      <w:lang w:val="en-US" w:eastAsia="zh-CN" w:bidi="ar-SA"/>
    </w:rPr>
  </w:style>
  <w:style w:type="paragraph" w:customStyle="1" w:styleId="20">
    <w:name w:val="Normal_1_0"/>
    <w:qFormat/>
    <w:uiPriority w:val="0"/>
    <w:pPr>
      <w:widowControl w:val="0"/>
      <w:jc w:val="both"/>
    </w:pPr>
    <w:rPr>
      <w:rFonts w:ascii="Calibri" w:hAnsi="Calibri" w:eastAsia="Times New Roman" w:cs="Times New Roman"/>
      <w:sz w:val="21"/>
      <w:szCs w:val="24"/>
      <w:lang w:val="en-US" w:eastAsia="zh-CN" w:bidi="ar-SA"/>
    </w:rPr>
  </w:style>
  <w:style w:type="character" w:customStyle="1" w:styleId="21">
    <w:name w:val="标题 4 Char"/>
    <w:link w:val="5"/>
    <w:qFormat/>
    <w:uiPriority w:val="0"/>
  </w:style>
  <w:style w:type="paragraph" w:customStyle="1" w:styleId="2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3">
    <w:name w:val="正文文本首行缩进 2"/>
    <w:basedOn w:val="7"/>
    <w:next w:val="1"/>
    <w:unhideWhenUsed/>
    <w:qFormat/>
    <w:uiPriority w:val="99"/>
    <w:pPr>
      <w:spacing w:after="120" w:line="240" w:lineRule="auto"/>
      <w:ind w:left="420" w:leftChars="200" w:firstLine="420"/>
    </w:pPr>
  </w:style>
  <w:style w:type="character" w:customStyle="1" w:styleId="24">
    <w:name w:val="标题 3 Char"/>
    <w:link w:val="4"/>
    <w:semiHidden/>
    <w:qFormat/>
    <w:uiPriority w:val="9"/>
    <w:rPr>
      <w:rFonts w:ascii="宋体" w:hAnsi="宋体" w:eastAsia="宋体" w:cs="宋体"/>
      <w:b/>
      <w:szCs w:val="21"/>
    </w:rPr>
  </w:style>
  <w:style w:type="paragraph" w:customStyle="1" w:styleId="25">
    <w:name w:val="表格图文"/>
    <w:basedOn w:val="1"/>
    <w:qFormat/>
    <w:uiPriority w:val="0"/>
    <w:pPr>
      <w:jc w:val="left"/>
    </w:pPr>
    <w:rPr>
      <w:rFonts w:ascii="仿宋" w:hAnsi="仿宋" w:eastAsia="仿宋"/>
      <w:kern w:val="0"/>
      <w:sz w:val="24"/>
      <w:szCs w:val="20"/>
    </w:rPr>
  </w:style>
  <w:style w:type="table" w:customStyle="1" w:styleId="26">
    <w:name w:val="Table Normal"/>
    <w:semiHidden/>
    <w:unhideWhenUsed/>
    <w:qFormat/>
    <w:uiPriority w:val="0"/>
    <w:tblPr>
      <w:tblCellMar>
        <w:top w:w="0" w:type="dxa"/>
        <w:left w:w="0" w:type="dxa"/>
        <w:bottom w:w="0" w:type="dxa"/>
        <w:right w:w="0" w:type="dxa"/>
      </w:tblCellMar>
    </w:tblPr>
  </w:style>
  <w:style w:type="paragraph" w:customStyle="1" w:styleId="27">
    <w:name w:val="Table Text"/>
    <w:basedOn w:val="1"/>
    <w:semiHidden/>
    <w:qFormat/>
    <w:uiPriority w:val="0"/>
    <w:rPr>
      <w:rFonts w:ascii="宋体" w:hAnsi="宋体" w:eastAsia="宋体" w:cs="宋体"/>
      <w:sz w:val="22"/>
      <w:szCs w:val="22"/>
      <w:lang w:val="en-US" w:eastAsia="en-US" w:bidi="ar-SA"/>
    </w:rPr>
  </w:style>
  <w:style w:type="paragraph" w:styleId="28">
    <w:name w:val="No Spacing"/>
    <w:basedOn w:val="1"/>
    <w:qFormat/>
    <w:uiPriority w:val="1"/>
    <w:pPr>
      <w:widowControl/>
      <w:jc w:val="left"/>
    </w:pPr>
    <w:rPr>
      <w:kern w:val="0"/>
      <w:sz w:val="22"/>
      <w:szCs w:val="20"/>
    </w:rPr>
  </w:style>
  <w:style w:type="paragraph" w:customStyle="1" w:styleId="29">
    <w:name w:val="正文（缩进）"/>
    <w:basedOn w:val="1"/>
    <w:qFormat/>
    <w:uiPriority w:val="0"/>
    <w:pPr>
      <w:spacing w:before="156" w:after="156"/>
    </w:pPr>
  </w:style>
  <w:style w:type="paragraph" w:customStyle="1" w:styleId="30">
    <w:name w:val="表格文字"/>
    <w:basedOn w:val="1"/>
    <w:qFormat/>
    <w:uiPriority w:val="0"/>
    <w:pPr>
      <w:spacing w:line="240" w:lineRule="auto"/>
      <w:ind w:firstLine="0" w:firstLineChars="0"/>
    </w:pPr>
    <w:rPr>
      <w:rFonts w:ascii="仿宋" w:hAnsi="仿宋" w:eastAsia="仿宋" w:cs="Times New Roman"/>
      <w:kern w:val="0"/>
      <w:szCs w:val="20"/>
    </w:rPr>
  </w:style>
  <w:style w:type="paragraph" w:styleId="3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43</Pages>
  <Words>20334</Words>
  <Characters>21533</Characters>
  <Lines>0</Lines>
  <Paragraphs>0</Paragraphs>
  <TotalTime>25</TotalTime>
  <ScaleCrop>false</ScaleCrop>
  <LinksUpToDate>false</LinksUpToDate>
  <CharactersWithSpaces>23384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2026-02-25T06:24:00Z</dcterms:created>
  <dc:creator>Administrator</dc:creator>
  <cp:lastModifiedBy>石一鸣</cp:lastModifiedBy>
  <cp:lastPrinted>2026-02-25T23:53:00Z</cp:lastPrinted>
  <dcterms:modified xsi:type="dcterms:W3CDTF">2026-02-26T01:29:59Z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eyJoZGlkIjoiNGQyNjcwZTEzZWZkM2MwNzM3ZTkxMDU5ZWExZjVhNmYiLCJ1c2VySWQiOiI2MDY5OTQyMDAifQ==</vt:lpwstr>
  </property>
  <property fmtid="{D5CDD505-2E9C-101B-9397-08002B2CF9AE}" pid="4" name="ICV">
    <vt:lpwstr>86705C1B72F54F1188D9AAC9040A4276_12</vt:lpwstr>
  </property>
</Properties>
</file>