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kern w:val="0"/>
          <w:sz w:val="40"/>
          <w:szCs w:val="40"/>
          <w:highlight w:val="none"/>
          <w:lang w:eastAsia="zh-CN"/>
        </w:rPr>
      </w:pPr>
    </w:p>
    <w:p>
      <w:pPr>
        <w:jc w:val="center"/>
        <w:rPr>
          <w:rFonts w:hint="eastAsia" w:ascii="仿宋" w:hAnsi="仿宋" w:eastAsia="仿宋" w:cs="仿宋"/>
          <w:sz w:val="36"/>
          <w:szCs w:val="36"/>
          <w:highlight w:val="none"/>
          <w:lang w:eastAsia="zh-CN"/>
        </w:rPr>
      </w:pPr>
      <w:r>
        <w:rPr>
          <w:rFonts w:hint="eastAsia" w:ascii="仿宋" w:hAnsi="仿宋" w:eastAsia="仿宋" w:cs="仿宋"/>
          <w:b/>
          <w:bCs/>
          <w:kern w:val="0"/>
          <w:sz w:val="36"/>
          <w:szCs w:val="36"/>
          <w:highlight w:val="none"/>
          <w:lang w:eastAsia="zh-CN"/>
        </w:rPr>
        <w:t>陈贵镇养老服务综合体</w:t>
      </w:r>
    </w:p>
    <w:p>
      <w:pPr>
        <w:spacing w:line="360" w:lineRule="auto"/>
        <w:jc w:val="center"/>
        <w:rPr>
          <w:rFonts w:ascii="仿宋" w:hAnsi="仿宋" w:eastAsia="仿宋" w:cs="仿宋"/>
          <w:b/>
          <w:sz w:val="30"/>
          <w:szCs w:val="30"/>
          <w:highlight w:val="none"/>
          <w:u w:val="single"/>
        </w:rPr>
      </w:pPr>
    </w:p>
    <w:p>
      <w:pPr>
        <w:spacing w:line="492" w:lineRule="exact"/>
        <w:jc w:val="center"/>
        <w:rPr>
          <w:rFonts w:ascii="仿宋" w:hAnsi="仿宋" w:eastAsia="仿宋" w:cs="仿宋"/>
          <w:sz w:val="44"/>
          <w:szCs w:val="44"/>
          <w:highlight w:val="none"/>
        </w:rPr>
      </w:pPr>
    </w:p>
    <w:p>
      <w:pPr>
        <w:pStyle w:val="21"/>
        <w:rPr>
          <w:highlight w:val="none"/>
        </w:rPr>
      </w:pPr>
    </w:p>
    <w:p>
      <w:pPr>
        <w:pStyle w:val="21"/>
        <w:rPr>
          <w:highlight w:val="none"/>
        </w:rPr>
      </w:pPr>
    </w:p>
    <w:p>
      <w:pPr>
        <w:pStyle w:val="21"/>
        <w:jc w:val="center"/>
        <w:rPr>
          <w:rFonts w:ascii="仿宋" w:hAnsi="仿宋" w:eastAsia="仿宋" w:cs="仿宋"/>
          <w:highlight w:val="none"/>
        </w:rPr>
      </w:pPr>
    </w:p>
    <w:p>
      <w:pPr>
        <w:spacing w:line="492" w:lineRule="exact"/>
        <w:jc w:val="center"/>
        <w:rPr>
          <w:rFonts w:ascii="仿宋" w:hAnsi="仿宋" w:eastAsia="仿宋" w:cs="仿宋"/>
          <w:sz w:val="44"/>
          <w:szCs w:val="44"/>
          <w:highlight w:val="none"/>
        </w:rPr>
      </w:pPr>
    </w:p>
    <w:p>
      <w:pPr>
        <w:spacing w:before="50" w:after="50" w:line="360" w:lineRule="auto"/>
        <w:jc w:val="center"/>
        <w:rPr>
          <w:rFonts w:ascii="仿宋" w:hAnsi="仿宋" w:eastAsia="仿宋" w:cs="仿宋"/>
          <w:b/>
          <w:bCs/>
          <w:sz w:val="112"/>
          <w:szCs w:val="112"/>
          <w:highlight w:val="none"/>
        </w:rPr>
      </w:pPr>
      <w:r>
        <w:rPr>
          <w:rFonts w:hint="eastAsia" w:ascii="仿宋" w:hAnsi="仿宋" w:eastAsia="仿宋" w:cs="仿宋"/>
          <w:b/>
          <w:bCs/>
          <w:sz w:val="96"/>
          <w:szCs w:val="96"/>
          <w:highlight w:val="none"/>
        </w:rPr>
        <w:t>招 标 文 件</w:t>
      </w:r>
    </w:p>
    <w:p>
      <w:pPr>
        <w:spacing w:before="50" w:after="50" w:line="360" w:lineRule="auto"/>
        <w:jc w:val="center"/>
        <w:rPr>
          <w:rFonts w:ascii="仿宋" w:hAnsi="仿宋" w:eastAsia="仿宋" w:cs="仿宋"/>
          <w:b/>
          <w:bCs/>
          <w:sz w:val="36"/>
          <w:szCs w:val="36"/>
          <w:highlight w:val="none"/>
        </w:rPr>
      </w:pPr>
    </w:p>
    <w:p>
      <w:pPr>
        <w:pStyle w:val="19"/>
        <w:rPr>
          <w:rFonts w:ascii="仿宋" w:hAnsi="仿宋" w:eastAsia="仿宋" w:cs="仿宋"/>
          <w:b/>
          <w:bCs/>
          <w:sz w:val="36"/>
          <w:szCs w:val="36"/>
          <w:highlight w:val="none"/>
        </w:rPr>
      </w:pPr>
    </w:p>
    <w:p>
      <w:pPr>
        <w:pStyle w:val="21"/>
      </w:pPr>
    </w:p>
    <w:p>
      <w:pPr>
        <w:pStyle w:val="21"/>
        <w:rPr>
          <w:rFonts w:ascii="仿宋" w:hAnsi="仿宋" w:eastAsia="仿宋" w:cs="仿宋"/>
          <w:b/>
          <w:bCs/>
          <w:sz w:val="36"/>
          <w:szCs w:val="36"/>
          <w:highlight w:val="none"/>
        </w:rPr>
      </w:pPr>
    </w:p>
    <w:p>
      <w:pPr>
        <w:pStyle w:val="21"/>
        <w:rPr>
          <w:rFonts w:ascii="仿宋" w:hAnsi="仿宋" w:eastAsia="仿宋" w:cs="仿宋"/>
          <w:b/>
          <w:bCs/>
          <w:sz w:val="36"/>
          <w:szCs w:val="36"/>
          <w:highlight w:val="none"/>
        </w:rPr>
      </w:pPr>
    </w:p>
    <w:p>
      <w:pPr>
        <w:spacing w:before="480" w:after="480" w:line="360" w:lineRule="auto"/>
        <w:ind w:firstLine="964" w:firstLineChars="300"/>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项目</w:t>
      </w:r>
      <w:r>
        <w:rPr>
          <w:rFonts w:hint="eastAsia" w:ascii="仿宋" w:hAnsi="仿宋" w:eastAsia="仿宋" w:cs="仿宋"/>
          <w:b/>
          <w:bCs/>
          <w:sz w:val="32"/>
          <w:szCs w:val="32"/>
          <w:highlight w:val="none"/>
        </w:rPr>
        <w:t>编号</w:t>
      </w:r>
      <w:r>
        <w:rPr>
          <w:rFonts w:hint="eastAsia" w:ascii="仿宋" w:hAnsi="仿宋" w:eastAsia="仿宋" w:cs="仿宋"/>
          <w:b/>
          <w:bCs/>
          <w:sz w:val="32"/>
          <w:szCs w:val="32"/>
          <w:highlight w:val="none"/>
          <w:lang w:eastAsia="zh-CN"/>
        </w:rPr>
        <w:t>：冶农招【2025】</w:t>
      </w:r>
      <w:r>
        <w:rPr>
          <w:rFonts w:hint="eastAsia" w:ascii="仿宋" w:hAnsi="仿宋" w:eastAsia="仿宋" w:cs="仿宋"/>
          <w:b/>
          <w:bCs/>
          <w:sz w:val="32"/>
          <w:szCs w:val="32"/>
          <w:highlight w:val="none"/>
          <w:lang w:val="en-US" w:eastAsia="zh-CN"/>
        </w:rPr>
        <w:t>103</w:t>
      </w:r>
      <w:r>
        <w:rPr>
          <w:rFonts w:hint="eastAsia" w:ascii="仿宋" w:hAnsi="仿宋" w:eastAsia="仿宋" w:cs="仿宋"/>
          <w:b/>
          <w:bCs/>
          <w:sz w:val="32"/>
          <w:szCs w:val="32"/>
          <w:highlight w:val="none"/>
          <w:lang w:eastAsia="zh-CN"/>
        </w:rPr>
        <w:t>号</w:t>
      </w:r>
    </w:p>
    <w:p>
      <w:pPr>
        <w:spacing w:before="480" w:after="480" w:line="360" w:lineRule="auto"/>
        <w:ind w:firstLine="964" w:firstLineChars="3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招 标 人：</w:t>
      </w:r>
      <w:r>
        <w:rPr>
          <w:rFonts w:hint="eastAsia" w:ascii="仿宋" w:hAnsi="仿宋" w:eastAsia="仿宋" w:cs="仿宋"/>
          <w:b/>
          <w:bCs/>
          <w:sz w:val="32"/>
          <w:szCs w:val="32"/>
          <w:highlight w:val="none"/>
          <w:lang w:eastAsia="zh-CN"/>
        </w:rPr>
        <w:t>大冶市陈贵镇</w:t>
      </w:r>
      <w:r>
        <w:rPr>
          <w:rFonts w:hint="eastAsia" w:ascii="仿宋" w:hAnsi="仿宋" w:eastAsia="仿宋" w:cs="仿宋"/>
          <w:b/>
          <w:bCs/>
          <w:sz w:val="32"/>
          <w:szCs w:val="32"/>
          <w:highlight w:val="none"/>
          <w:lang w:val="en-US" w:eastAsia="zh-CN"/>
        </w:rPr>
        <w:t>刘家畈村村民委员会</w:t>
      </w:r>
    </w:p>
    <w:p>
      <w:pPr>
        <w:spacing w:before="480" w:after="480" w:line="360" w:lineRule="auto"/>
        <w:ind w:firstLine="964" w:firstLineChars="3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代理机构：</w:t>
      </w:r>
      <w:r>
        <w:rPr>
          <w:rFonts w:hint="eastAsia" w:ascii="仿宋" w:hAnsi="仿宋" w:eastAsia="仿宋" w:cs="仿宋"/>
          <w:b/>
          <w:bCs/>
          <w:sz w:val="32"/>
          <w:szCs w:val="32"/>
          <w:highlight w:val="none"/>
          <w:lang w:eastAsia="zh-CN"/>
        </w:rPr>
        <w:t>湖北众力建设工程管理有限公司</w:t>
      </w:r>
    </w:p>
    <w:p>
      <w:pPr>
        <w:spacing w:before="480" w:after="480" w:line="360" w:lineRule="auto"/>
        <w:ind w:firstLine="964" w:firstLineChars="300"/>
        <w:jc w:val="both"/>
        <w:rPr>
          <w:rFonts w:ascii="仿宋" w:hAnsi="仿宋" w:eastAsia="仿宋" w:cs="仿宋"/>
          <w:highlight w:val="none"/>
          <w:lang w:val="en-US"/>
        </w:rPr>
        <w:sectPr>
          <w:headerReference r:id="rId3" w:type="default"/>
          <w:footerReference r:id="rId4" w:type="default"/>
          <w:footerReference r:id="rId5" w:type="even"/>
          <w:pgSz w:w="11905" w:h="16838"/>
          <w:pgMar w:top="1276" w:right="1417" w:bottom="1134" w:left="1531" w:header="851" w:footer="624" w:gutter="0"/>
          <w:pgNumType w:start="1"/>
          <w:cols w:space="0" w:num="1"/>
          <w:titlePg/>
          <w:docGrid w:type="lines" w:linePitch="312" w:charSpace="0"/>
        </w:sectPr>
      </w:pPr>
      <w:r>
        <w:rPr>
          <w:rFonts w:hint="eastAsia" w:ascii="仿宋" w:hAnsi="仿宋" w:eastAsia="仿宋" w:cs="仿宋"/>
          <w:b/>
          <w:bCs/>
          <w:sz w:val="32"/>
          <w:szCs w:val="32"/>
          <w:highlight w:val="none"/>
        </w:rPr>
        <w:t>日    期：202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12</w:t>
      </w:r>
      <w:r>
        <w:rPr>
          <w:rFonts w:hint="eastAsia" w:ascii="仿宋" w:hAnsi="仿宋" w:eastAsia="仿宋" w:cs="仿宋"/>
          <w:b/>
          <w:bCs/>
          <w:sz w:val="32"/>
          <w:szCs w:val="32"/>
          <w:highlight w:val="none"/>
        </w:rPr>
        <w:t>月</w:t>
      </w:r>
    </w:p>
    <w:p>
      <w:pPr>
        <w:pStyle w:val="2"/>
        <w:jc w:val="both"/>
        <w:rPr>
          <w:rFonts w:ascii="仿宋" w:hAnsi="仿宋" w:eastAsia="仿宋" w:cs="仿宋"/>
          <w:b/>
          <w:bCs/>
          <w:sz w:val="44"/>
          <w:szCs w:val="44"/>
          <w:highlight w:val="none"/>
          <w:lang w:val="en-US"/>
        </w:rPr>
      </w:pPr>
    </w:p>
    <w:p>
      <w:pPr>
        <w:pStyle w:val="2"/>
        <w:rPr>
          <w:rFonts w:ascii="仿宋" w:hAnsi="仿宋" w:eastAsia="仿宋" w:cs="仿宋"/>
          <w:b/>
          <w:bCs/>
          <w:sz w:val="44"/>
          <w:szCs w:val="44"/>
          <w:highlight w:val="none"/>
          <w:lang w:val="en-US"/>
        </w:rPr>
      </w:pPr>
      <w:r>
        <w:rPr>
          <w:rFonts w:hint="eastAsia" w:ascii="仿宋" w:hAnsi="仿宋" w:eastAsia="仿宋" w:cs="仿宋"/>
          <w:b/>
          <w:bCs/>
          <w:sz w:val="44"/>
          <w:szCs w:val="44"/>
          <w:highlight w:val="none"/>
          <w:lang w:val="en-US"/>
        </w:rPr>
        <w:t>目 录</w:t>
      </w:r>
    </w:p>
    <w:p>
      <w:pPr>
        <w:pStyle w:val="2"/>
        <w:rPr>
          <w:rFonts w:ascii="仿宋" w:hAnsi="仿宋" w:eastAsia="仿宋" w:cs="仿宋"/>
          <w:sz w:val="21"/>
          <w:szCs w:val="22"/>
          <w:highlight w:val="none"/>
          <w:lang w:val="en-US"/>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TOC \o "1-3" \h \z \u </w:instrText>
      </w:r>
      <w:r>
        <w:rPr>
          <w:rFonts w:hint="eastAsia" w:ascii="仿宋" w:hAnsi="仿宋" w:eastAsia="仿宋" w:cs="仿宋"/>
          <w:sz w:val="24"/>
          <w:szCs w:val="24"/>
          <w:highlight w:val="none"/>
        </w:rPr>
        <w:fldChar w:fldCharType="separate"/>
      </w:r>
      <w:r>
        <w:rPr>
          <w:highlight w:val="none"/>
        </w:rPr>
        <w:fldChar w:fldCharType="begin"/>
      </w:r>
      <w:r>
        <w:rPr>
          <w:highlight w:val="none"/>
        </w:rPr>
        <w:instrText xml:space="preserve"> HYPERLINK \l "_Toc499378946" </w:instrText>
      </w:r>
      <w:r>
        <w:rPr>
          <w:highlight w:val="none"/>
        </w:rPr>
        <w:fldChar w:fldCharType="separate"/>
      </w:r>
      <w:r>
        <w:rPr>
          <w:rStyle w:val="18"/>
          <w:rFonts w:hint="eastAsia" w:ascii="仿宋" w:hAnsi="仿宋" w:eastAsia="仿宋" w:cs="仿宋"/>
          <w:color w:val="auto"/>
          <w:highlight w:val="none"/>
        </w:rPr>
        <w:t>第一章</w:t>
      </w:r>
      <w:r>
        <w:rPr>
          <w:rStyle w:val="18"/>
          <w:rFonts w:hint="eastAsia" w:ascii="仿宋" w:hAnsi="仿宋" w:eastAsia="仿宋" w:cs="仿宋"/>
          <w:color w:val="auto"/>
          <w:highlight w:val="none"/>
          <w:lang w:val="en-US"/>
        </w:rPr>
        <w:t xml:space="preserve"> </w:t>
      </w:r>
      <w:r>
        <w:rPr>
          <w:rStyle w:val="18"/>
          <w:rFonts w:hint="eastAsia" w:ascii="仿宋" w:hAnsi="仿宋" w:eastAsia="仿宋" w:cs="仿宋"/>
          <w:color w:val="auto"/>
          <w:highlight w:val="none"/>
        </w:rPr>
        <w:t>招标公告</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p>
    <w:p>
      <w:pPr>
        <w:pStyle w:val="2"/>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"_Toc499378954" </w:instrText>
      </w:r>
      <w:r>
        <w:rPr>
          <w:highlight w:val="none"/>
        </w:rPr>
        <w:fldChar w:fldCharType="separate"/>
      </w:r>
      <w:r>
        <w:rPr>
          <w:rStyle w:val="18"/>
          <w:rFonts w:hint="eastAsia" w:ascii="仿宋" w:hAnsi="仿宋" w:eastAsia="仿宋" w:cs="仿宋"/>
          <w:color w:val="auto"/>
          <w:highlight w:val="none"/>
        </w:rPr>
        <w:t>第二章</w:t>
      </w:r>
      <w:r>
        <w:rPr>
          <w:rStyle w:val="18"/>
          <w:rFonts w:hint="eastAsia" w:ascii="仿宋" w:hAnsi="仿宋" w:eastAsia="仿宋" w:cs="仿宋"/>
          <w:color w:val="auto"/>
          <w:highlight w:val="none"/>
          <w:lang w:val="en-US"/>
        </w:rPr>
        <w:t xml:space="preserve"> </w:t>
      </w:r>
      <w:r>
        <w:rPr>
          <w:rStyle w:val="18"/>
          <w:rFonts w:hint="eastAsia" w:ascii="仿宋" w:hAnsi="仿宋" w:eastAsia="仿宋" w:cs="仿宋"/>
          <w:color w:val="auto"/>
          <w:highlight w:val="none"/>
        </w:rPr>
        <w:t>投标人须知</w:t>
      </w:r>
      <w:r>
        <w:rPr>
          <w:rFonts w:hint="eastAsia" w:ascii="仿宋" w:hAnsi="仿宋" w:eastAsia="仿宋" w:cs="仿宋"/>
          <w:highlight w:val="none"/>
        </w:rPr>
        <w:tab/>
      </w:r>
      <w:r>
        <w:rPr>
          <w:rFonts w:hint="eastAsia" w:ascii="仿宋" w:hAnsi="仿宋" w:eastAsia="仿宋" w:cs="仿宋"/>
          <w:highlight w:val="none"/>
          <w:lang w:val="en-US"/>
        </w:rPr>
        <w:t>6</w:t>
      </w:r>
      <w:r>
        <w:rPr>
          <w:rFonts w:hint="eastAsia" w:ascii="仿宋" w:hAnsi="仿宋" w:eastAsia="仿宋" w:cs="仿宋"/>
          <w:highlight w:val="none"/>
          <w:lang w:val="en-US"/>
        </w:rPr>
        <w:fldChar w:fldCharType="end"/>
      </w:r>
    </w:p>
    <w:p>
      <w:pPr>
        <w:pStyle w:val="2"/>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"_Toc499379018" </w:instrText>
      </w:r>
      <w:r>
        <w:rPr>
          <w:highlight w:val="none"/>
        </w:rPr>
        <w:fldChar w:fldCharType="separate"/>
      </w:r>
      <w:r>
        <w:rPr>
          <w:rStyle w:val="18"/>
          <w:rFonts w:hint="eastAsia" w:ascii="仿宋" w:hAnsi="仿宋" w:eastAsia="仿宋" w:cs="仿宋"/>
          <w:color w:val="auto"/>
          <w:highlight w:val="none"/>
        </w:rPr>
        <w:t>第三章</w:t>
      </w:r>
      <w:r>
        <w:rPr>
          <w:rStyle w:val="18"/>
          <w:rFonts w:hint="eastAsia" w:ascii="仿宋" w:hAnsi="仿宋" w:eastAsia="仿宋" w:cs="仿宋"/>
          <w:color w:val="auto"/>
          <w:highlight w:val="none"/>
          <w:lang w:val="en-US"/>
        </w:rPr>
        <w:t xml:space="preserve"> </w:t>
      </w:r>
      <w:r>
        <w:rPr>
          <w:rStyle w:val="18"/>
          <w:rFonts w:hint="eastAsia" w:ascii="仿宋" w:hAnsi="仿宋" w:eastAsia="仿宋" w:cs="仿宋"/>
          <w:color w:val="auto"/>
          <w:highlight w:val="none"/>
        </w:rPr>
        <w:t>评标办法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_Toc499379018 \h </w:instrText>
      </w:r>
      <w:r>
        <w:rPr>
          <w:rFonts w:hint="eastAsia" w:ascii="仿宋" w:hAnsi="仿宋" w:eastAsia="仿宋" w:cs="仿宋"/>
          <w:highlight w:val="none"/>
        </w:rPr>
        <w:fldChar w:fldCharType="separate"/>
      </w:r>
      <w:r>
        <w:rPr>
          <w:rFonts w:hint="eastAsia" w:ascii="仿宋" w:hAnsi="仿宋" w:eastAsia="仿宋" w:cs="仿宋"/>
          <w:highlight w:val="none"/>
        </w:rPr>
        <w:t>24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2"/>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"_Toc499379023" </w:instrText>
      </w:r>
      <w:r>
        <w:rPr>
          <w:highlight w:val="none"/>
        </w:rPr>
        <w:fldChar w:fldCharType="separate"/>
      </w:r>
      <w:r>
        <w:rPr>
          <w:rStyle w:val="18"/>
          <w:rFonts w:hint="eastAsia" w:ascii="仿宋" w:hAnsi="仿宋" w:eastAsia="仿宋" w:cs="仿宋"/>
          <w:color w:val="auto"/>
          <w:highlight w:val="none"/>
        </w:rPr>
        <w:t>第四章</w:t>
      </w:r>
      <w:r>
        <w:rPr>
          <w:rStyle w:val="18"/>
          <w:rFonts w:hint="eastAsia" w:ascii="仿宋" w:hAnsi="仿宋" w:eastAsia="仿宋" w:cs="仿宋"/>
          <w:color w:val="auto"/>
          <w:highlight w:val="none"/>
          <w:lang w:val="en-US"/>
        </w:rPr>
        <w:t xml:space="preserve"> </w:t>
      </w:r>
      <w:r>
        <w:rPr>
          <w:rStyle w:val="18"/>
          <w:rFonts w:hint="eastAsia" w:ascii="仿宋" w:hAnsi="仿宋" w:eastAsia="仿宋" w:cs="仿宋"/>
          <w:color w:val="auto"/>
          <w:highlight w:val="none"/>
        </w:rPr>
        <w:t>合同条款及格式</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r>
        <w:rPr>
          <w:rFonts w:hint="eastAsia" w:ascii="仿宋" w:hAnsi="仿宋" w:eastAsia="仿宋" w:cs="仿宋"/>
          <w:highlight w:val="none"/>
          <w:lang w:val="en-US"/>
        </w:rPr>
        <w:t>0</w:t>
      </w:r>
    </w:p>
    <w:p>
      <w:pPr>
        <w:pStyle w:val="2"/>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"_Toc499379026" </w:instrText>
      </w:r>
      <w:r>
        <w:rPr>
          <w:highlight w:val="none"/>
        </w:rPr>
        <w:fldChar w:fldCharType="separate"/>
      </w:r>
      <w:r>
        <w:rPr>
          <w:rStyle w:val="18"/>
          <w:rFonts w:hint="eastAsia" w:ascii="仿宋" w:hAnsi="仿宋" w:eastAsia="仿宋" w:cs="仿宋"/>
          <w:color w:val="auto"/>
          <w:highlight w:val="none"/>
        </w:rPr>
        <w:t>第五章</w:t>
      </w:r>
      <w:r>
        <w:rPr>
          <w:rStyle w:val="18"/>
          <w:rFonts w:hint="eastAsia" w:ascii="仿宋" w:hAnsi="仿宋" w:eastAsia="仿宋" w:cs="仿宋"/>
          <w:color w:val="auto"/>
          <w:highlight w:val="none"/>
          <w:lang w:val="en-US"/>
        </w:rPr>
        <w:t xml:space="preserve"> </w:t>
      </w:r>
      <w:r>
        <w:rPr>
          <w:rStyle w:val="18"/>
          <w:rFonts w:hint="eastAsia" w:ascii="仿宋" w:hAnsi="仿宋" w:eastAsia="仿宋" w:cs="仿宋"/>
          <w:color w:val="auto"/>
          <w:highlight w:val="none"/>
        </w:rPr>
        <w:t>工程量清单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_Toc499379026 \h </w:instrText>
      </w:r>
      <w:r>
        <w:rPr>
          <w:rFonts w:hint="eastAsia" w:ascii="仿宋" w:hAnsi="仿宋" w:eastAsia="仿宋" w:cs="仿宋"/>
          <w:highlight w:val="none"/>
        </w:rPr>
        <w:fldChar w:fldCharType="separate"/>
      </w:r>
      <w:r>
        <w:rPr>
          <w:rFonts w:hint="eastAsia" w:ascii="仿宋" w:hAnsi="仿宋" w:eastAsia="仿宋" w:cs="仿宋"/>
          <w:highlight w:val="none"/>
        </w:rPr>
        <w:t>45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2"/>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"_Toc499379030" </w:instrText>
      </w:r>
      <w:r>
        <w:rPr>
          <w:highlight w:val="none"/>
        </w:rPr>
        <w:fldChar w:fldCharType="separate"/>
      </w:r>
      <w:r>
        <w:rPr>
          <w:rStyle w:val="18"/>
          <w:rFonts w:hint="eastAsia" w:ascii="仿宋" w:hAnsi="仿宋" w:eastAsia="仿宋" w:cs="仿宋"/>
          <w:color w:val="auto"/>
          <w:highlight w:val="none"/>
        </w:rPr>
        <w:t>第六章</w:t>
      </w:r>
      <w:r>
        <w:rPr>
          <w:rStyle w:val="18"/>
          <w:rFonts w:hint="eastAsia" w:ascii="仿宋" w:hAnsi="仿宋" w:eastAsia="仿宋" w:cs="仿宋"/>
          <w:color w:val="auto"/>
          <w:highlight w:val="none"/>
          <w:lang w:val="en-US"/>
        </w:rPr>
        <w:t xml:space="preserve"> </w:t>
      </w:r>
      <w:r>
        <w:rPr>
          <w:rStyle w:val="18"/>
          <w:rFonts w:hint="eastAsia" w:ascii="仿宋" w:hAnsi="仿宋" w:eastAsia="仿宋" w:cs="仿宋"/>
          <w:color w:val="auto"/>
          <w:highlight w:val="none"/>
        </w:rPr>
        <w:t>图纸</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_Toc499379030 \h </w:instrText>
      </w:r>
      <w:r>
        <w:rPr>
          <w:rFonts w:hint="eastAsia" w:ascii="仿宋" w:hAnsi="仿宋" w:eastAsia="仿宋" w:cs="仿宋"/>
          <w:highlight w:val="none"/>
        </w:rPr>
        <w:fldChar w:fldCharType="separate"/>
      </w:r>
      <w:r>
        <w:rPr>
          <w:rFonts w:hint="eastAsia" w:ascii="仿宋" w:hAnsi="仿宋" w:eastAsia="仿宋" w:cs="仿宋"/>
          <w:highlight w:val="none"/>
        </w:rPr>
        <w:t>45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2"/>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"_Toc499379031" </w:instrText>
      </w:r>
      <w:r>
        <w:rPr>
          <w:highlight w:val="none"/>
        </w:rPr>
        <w:fldChar w:fldCharType="separate"/>
      </w:r>
      <w:r>
        <w:rPr>
          <w:rStyle w:val="18"/>
          <w:rFonts w:hint="eastAsia" w:ascii="仿宋" w:hAnsi="仿宋" w:eastAsia="仿宋" w:cs="仿宋"/>
          <w:color w:val="auto"/>
          <w:highlight w:val="none"/>
        </w:rPr>
        <w:t>第七章</w:t>
      </w:r>
      <w:r>
        <w:rPr>
          <w:rStyle w:val="18"/>
          <w:rFonts w:hint="eastAsia" w:ascii="仿宋" w:hAnsi="仿宋" w:eastAsia="仿宋" w:cs="仿宋"/>
          <w:color w:val="auto"/>
          <w:highlight w:val="none"/>
          <w:lang w:val="en-US"/>
        </w:rPr>
        <w:t xml:space="preserve"> </w:t>
      </w:r>
      <w:r>
        <w:rPr>
          <w:rStyle w:val="18"/>
          <w:rFonts w:hint="eastAsia" w:ascii="仿宋" w:hAnsi="仿宋" w:eastAsia="仿宋" w:cs="仿宋"/>
          <w:color w:val="auto"/>
          <w:highlight w:val="none"/>
        </w:rPr>
        <w:t>技术标准</w:t>
      </w:r>
      <w:r>
        <w:rPr>
          <w:rFonts w:hint="eastAsia" w:ascii="仿宋" w:hAnsi="仿宋" w:eastAsia="仿宋" w:cs="仿宋"/>
          <w:highlight w:val="none"/>
        </w:rPr>
        <w:tab/>
      </w:r>
      <w:r>
        <w:rPr>
          <w:rFonts w:hint="eastAsia" w:ascii="仿宋" w:hAnsi="仿宋" w:eastAsia="仿宋" w:cs="仿宋"/>
          <w:highlight w:val="none"/>
          <w:lang w:val="en-US"/>
        </w:rPr>
        <w:t>4</w:t>
      </w:r>
      <w:r>
        <w:rPr>
          <w:rFonts w:hint="eastAsia" w:ascii="仿宋" w:hAnsi="仿宋" w:eastAsia="仿宋" w:cs="仿宋"/>
          <w:highlight w:val="none"/>
          <w:lang w:val="en-US"/>
        </w:rPr>
        <w:fldChar w:fldCharType="end"/>
      </w:r>
      <w:r>
        <w:rPr>
          <w:rFonts w:hint="eastAsia" w:ascii="仿宋" w:hAnsi="仿宋" w:eastAsia="仿宋" w:cs="仿宋"/>
          <w:highlight w:val="none"/>
          <w:lang w:val="en-US"/>
        </w:rPr>
        <w:t>8</w:t>
      </w:r>
    </w:p>
    <w:p>
      <w:pPr>
        <w:pStyle w:val="2"/>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"_Toc499379032" </w:instrText>
      </w:r>
      <w:r>
        <w:rPr>
          <w:highlight w:val="none"/>
        </w:rPr>
        <w:fldChar w:fldCharType="separate"/>
      </w:r>
      <w:r>
        <w:rPr>
          <w:rStyle w:val="18"/>
          <w:rFonts w:hint="eastAsia" w:ascii="仿宋" w:hAnsi="仿宋" w:eastAsia="仿宋" w:cs="仿宋"/>
          <w:color w:val="auto"/>
          <w:highlight w:val="none"/>
        </w:rPr>
        <w:t>第八章</w:t>
      </w:r>
      <w:r>
        <w:rPr>
          <w:rStyle w:val="18"/>
          <w:rFonts w:hint="eastAsia" w:ascii="仿宋" w:hAnsi="仿宋" w:eastAsia="仿宋" w:cs="仿宋"/>
          <w:color w:val="auto"/>
          <w:highlight w:val="none"/>
          <w:lang w:val="en-US"/>
        </w:rPr>
        <w:t xml:space="preserve"> </w:t>
      </w:r>
      <w:r>
        <w:rPr>
          <w:rStyle w:val="18"/>
          <w:rFonts w:hint="eastAsia" w:ascii="仿宋" w:hAnsi="仿宋" w:eastAsia="仿宋" w:cs="仿宋"/>
          <w:color w:val="auto"/>
          <w:highlight w:val="none"/>
        </w:rPr>
        <w:t>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_Toc499379032 \h </w:instrText>
      </w:r>
      <w:r>
        <w:rPr>
          <w:rFonts w:hint="eastAsia" w:ascii="仿宋" w:hAnsi="仿宋" w:eastAsia="仿宋" w:cs="仿宋"/>
          <w:highlight w:val="none"/>
        </w:rPr>
        <w:fldChar w:fldCharType="separate"/>
      </w:r>
      <w:r>
        <w:rPr>
          <w:rFonts w:hint="eastAsia" w:ascii="仿宋" w:hAnsi="仿宋" w:eastAsia="仿宋" w:cs="仿宋"/>
          <w:highlight w:val="none"/>
        </w:rPr>
        <w:t>47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9"/>
        <w:tabs>
          <w:tab w:val="right" w:leader="dot" w:pos="8789"/>
          <w:tab w:val="right" w:leader="dot" w:pos="8948"/>
        </w:tabs>
        <w:snapToGrid w:val="0"/>
        <w:spacing w:after="0" w:line="240" w:lineRule="auto"/>
        <w:contextualSpacing/>
        <w:rPr>
          <w:rFonts w:ascii="仿宋" w:hAnsi="仿宋" w:eastAsia="仿宋" w:cs="仿宋"/>
          <w:highlight w:val="none"/>
        </w:rPr>
      </w:pPr>
      <w:r>
        <w:rPr>
          <w:rFonts w:hint="eastAsia" w:ascii="仿宋" w:hAnsi="仿宋" w:eastAsia="仿宋" w:cs="仿宋"/>
          <w:sz w:val="24"/>
          <w:szCs w:val="24"/>
          <w:highlight w:val="none"/>
        </w:rPr>
        <w:fldChar w:fldCharType="end"/>
      </w:r>
    </w:p>
    <w:p>
      <w:pPr>
        <w:pStyle w:val="3"/>
        <w:rPr>
          <w:rFonts w:ascii="仿宋" w:hAnsi="仿宋" w:eastAsia="仿宋" w:cs="仿宋"/>
          <w:sz w:val="32"/>
          <w:szCs w:val="32"/>
          <w:highlight w:val="none"/>
        </w:rPr>
      </w:pPr>
    </w:p>
    <w:p>
      <w:pPr>
        <w:tabs>
          <w:tab w:val="left" w:pos="6234"/>
        </w:tabs>
        <w:jc w:val="left"/>
        <w:rPr>
          <w:rFonts w:ascii="仿宋" w:hAnsi="仿宋" w:eastAsia="仿宋" w:cs="仿宋"/>
          <w:highlight w:val="none"/>
        </w:rPr>
        <w:sectPr>
          <w:footerReference r:id="rId7" w:type="first"/>
          <w:footerReference r:id="rId6" w:type="default"/>
          <w:pgSz w:w="11905" w:h="16838"/>
          <w:pgMar w:top="1276" w:right="1417" w:bottom="1134" w:left="1531" w:header="851" w:footer="380" w:gutter="0"/>
          <w:pgNumType w:fmt="decimal" w:start="1"/>
          <w:cols w:space="0" w:num="1"/>
          <w:titlePg/>
          <w:docGrid w:type="lines" w:linePitch="312" w:charSpace="0"/>
        </w:sectPr>
      </w:pPr>
      <w:r>
        <w:rPr>
          <w:rFonts w:hint="eastAsia" w:ascii="仿宋" w:hAnsi="仿宋" w:eastAsia="仿宋" w:cs="仿宋"/>
          <w:highlight w:val="none"/>
        </w:rPr>
        <w:tab/>
      </w:r>
    </w:p>
    <w:p>
      <w:pPr>
        <w:pStyle w:val="3"/>
        <w:numPr>
          <w:ilvl w:val="0"/>
          <w:numId w:val="2"/>
        </w:numPr>
        <w:spacing w:before="0" w:after="0" w:line="480" w:lineRule="exact"/>
        <w:jc w:val="center"/>
        <w:rPr>
          <w:rFonts w:ascii="仿宋" w:hAnsi="仿宋" w:eastAsia="仿宋" w:cs="仿宋"/>
          <w:sz w:val="40"/>
          <w:szCs w:val="40"/>
          <w:highlight w:val="none"/>
        </w:rPr>
      </w:pPr>
      <w:bookmarkStart w:id="0" w:name="_Toc499378946"/>
      <w:bookmarkStart w:id="1" w:name="OLE_LINK17"/>
      <w:bookmarkStart w:id="2" w:name="OLE_LINK19"/>
      <w:bookmarkStart w:id="3" w:name="OLE_LINK18"/>
      <w:bookmarkStart w:id="4" w:name="OLE_LINK31"/>
      <w:bookmarkStart w:id="5" w:name="OLE_LINK32"/>
      <w:bookmarkStart w:id="6" w:name="OLE_LINK30"/>
      <w:r>
        <w:rPr>
          <w:rFonts w:hint="eastAsia" w:ascii="仿宋" w:hAnsi="仿宋" w:eastAsia="仿宋" w:cs="仿宋"/>
          <w:sz w:val="40"/>
          <w:szCs w:val="40"/>
          <w:highlight w:val="none"/>
        </w:rPr>
        <w:t xml:space="preserve"> 招标公告</w:t>
      </w:r>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sz w:val="24"/>
          <w:szCs w:val="24"/>
          <w:highlight w:val="none"/>
        </w:rPr>
      </w:pPr>
      <w:r>
        <w:rPr>
          <w:rFonts w:hint="eastAsia" w:ascii="仿宋" w:hAnsi="仿宋" w:eastAsia="仿宋" w:cs="仿宋"/>
          <w:b/>
          <w:bCs/>
          <w:sz w:val="32"/>
          <w:szCs w:val="32"/>
          <w:highlight w:val="none"/>
          <w:lang w:eastAsia="zh-CN"/>
        </w:rPr>
        <w:t>陈贵镇养老服务综合体</w:t>
      </w:r>
      <w:r>
        <w:rPr>
          <w:rFonts w:hint="eastAsia" w:ascii="仿宋" w:hAnsi="仿宋" w:eastAsia="仿宋" w:cs="仿宋"/>
          <w:b/>
          <w:bCs/>
          <w:sz w:val="32"/>
          <w:szCs w:val="32"/>
          <w:highlight w:val="none"/>
        </w:rPr>
        <w:t>招标</w:t>
      </w:r>
      <w:r>
        <w:rPr>
          <w:rFonts w:hint="eastAsia" w:ascii="仿宋" w:hAnsi="仿宋" w:eastAsia="仿宋" w:cs="仿宋"/>
          <w:b/>
          <w:bCs/>
          <w:sz w:val="32"/>
          <w:szCs w:val="32"/>
          <w:highlight w:val="none"/>
          <w:lang w:eastAsia="zh-CN"/>
        </w:rPr>
        <w:t>公告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招标编号：冶农招【2025】</w:t>
      </w:r>
      <w:r>
        <w:rPr>
          <w:rFonts w:hint="eastAsia" w:ascii="仿宋" w:hAnsi="仿宋" w:eastAsia="仿宋" w:cs="仿宋"/>
          <w:b/>
          <w:bCs/>
          <w:sz w:val="32"/>
          <w:szCs w:val="32"/>
          <w:highlight w:val="none"/>
          <w:lang w:val="en-US" w:eastAsia="zh-CN"/>
        </w:rPr>
        <w:t>103</w:t>
      </w:r>
      <w:r>
        <w:rPr>
          <w:rFonts w:hint="eastAsia" w:ascii="仿宋" w:hAnsi="仿宋" w:eastAsia="仿宋" w:cs="仿宋"/>
          <w:b/>
          <w:bCs/>
          <w:sz w:val="32"/>
          <w:szCs w:val="32"/>
          <w:highlight w:val="none"/>
          <w:lang w:eastAsia="zh-CN"/>
        </w:rPr>
        <w:t>号</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auto"/>
        <w:rPr>
          <w:rFonts w:ascii="仿宋" w:hAnsi="仿宋" w:eastAsia="仿宋" w:cs="仿宋"/>
          <w:sz w:val="28"/>
          <w:szCs w:val="32"/>
          <w:highlight w:val="none"/>
        </w:rPr>
      </w:pPr>
      <w:bookmarkStart w:id="7" w:name="_Toc144974480"/>
      <w:bookmarkStart w:id="8" w:name="_Toc499378825"/>
      <w:bookmarkStart w:id="9" w:name="_Toc152045512"/>
      <w:bookmarkStart w:id="10" w:name="_Toc499378947"/>
      <w:bookmarkStart w:id="11" w:name="_Toc336091258"/>
      <w:bookmarkStart w:id="12" w:name="_Toc152042288"/>
      <w:bookmarkStart w:id="13" w:name="_Toc179632528"/>
      <w:bookmarkStart w:id="14" w:name="_Toc313604916"/>
      <w:r>
        <w:rPr>
          <w:rFonts w:hint="eastAsia" w:ascii="仿宋" w:hAnsi="仿宋" w:eastAsia="仿宋" w:cs="仿宋"/>
          <w:b/>
          <w:bCs/>
          <w:sz w:val="28"/>
          <w:szCs w:val="32"/>
          <w:highlight w:val="none"/>
        </w:rPr>
        <w:t>招标条件</w:t>
      </w:r>
      <w:bookmarkEnd w:id="7"/>
      <w:bookmarkEnd w:id="8"/>
      <w:bookmarkEnd w:id="9"/>
      <w:bookmarkEnd w:id="10"/>
      <w:bookmarkEnd w:id="11"/>
      <w:bookmarkEnd w:id="12"/>
      <w:bookmarkEnd w:id="13"/>
      <w:bookmarkEnd w:id="14"/>
      <w:bookmarkStart w:id="15" w:name="_Toc152042289"/>
      <w:bookmarkStart w:id="16" w:name="_Toc152045513"/>
      <w:bookmarkStart w:id="17" w:name="_Toc336091259"/>
      <w:bookmarkStart w:id="18" w:name="_Toc313604917"/>
      <w:bookmarkStart w:id="19" w:name="_Toc144974481"/>
      <w:bookmarkStart w:id="20" w:name="_Toc179632529"/>
    </w:p>
    <w:p>
      <w:pPr>
        <w:keepNext w:val="0"/>
        <w:keepLines w:val="0"/>
        <w:pageBreakBefore w:val="0"/>
        <w:widowControl w:val="0"/>
        <w:shd w:val="clear"/>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本招标项目：</w:t>
      </w:r>
      <w:r>
        <w:rPr>
          <w:rFonts w:hint="eastAsia" w:ascii="仿宋" w:hAnsi="仿宋" w:eastAsia="仿宋" w:cs="仿宋"/>
          <w:sz w:val="28"/>
          <w:szCs w:val="32"/>
          <w:highlight w:val="none"/>
          <w:u w:val="single"/>
          <w:lang w:eastAsia="zh-CN"/>
        </w:rPr>
        <w:t>陈贵镇养老服务综合体</w:t>
      </w:r>
      <w:r>
        <w:rPr>
          <w:rFonts w:hint="eastAsia" w:ascii="仿宋" w:hAnsi="仿宋" w:eastAsia="仿宋" w:cs="仿宋"/>
          <w:sz w:val="28"/>
          <w:szCs w:val="32"/>
          <w:highlight w:val="none"/>
        </w:rPr>
        <w:t>，项目业主为</w:t>
      </w:r>
      <w:r>
        <w:rPr>
          <w:rFonts w:hint="eastAsia" w:ascii="仿宋" w:hAnsi="仿宋" w:eastAsia="仿宋" w:cs="仿宋"/>
          <w:sz w:val="28"/>
          <w:szCs w:val="32"/>
          <w:highlight w:val="none"/>
          <w:u w:val="single"/>
          <w:lang w:eastAsia="zh-CN"/>
        </w:rPr>
        <w:t>大冶市陈贵镇</w:t>
      </w:r>
      <w:r>
        <w:rPr>
          <w:rFonts w:hint="eastAsia" w:ascii="仿宋" w:hAnsi="仿宋" w:eastAsia="仿宋" w:cs="仿宋"/>
          <w:sz w:val="28"/>
          <w:szCs w:val="32"/>
          <w:highlight w:val="none"/>
          <w:u w:val="single"/>
          <w:lang w:val="en-US" w:eastAsia="zh-CN"/>
        </w:rPr>
        <w:t>刘家畈村村民委员会</w:t>
      </w:r>
      <w:r>
        <w:rPr>
          <w:rFonts w:hint="eastAsia" w:ascii="仿宋" w:hAnsi="仿宋" w:eastAsia="仿宋" w:cs="仿宋"/>
          <w:sz w:val="28"/>
          <w:szCs w:val="32"/>
          <w:highlight w:val="none"/>
        </w:rPr>
        <w:t>，建设资金</w:t>
      </w:r>
      <w:r>
        <w:rPr>
          <w:rFonts w:hint="eastAsia" w:ascii="仿宋" w:hAnsi="仿宋" w:eastAsia="仿宋" w:cs="仿宋"/>
          <w:color w:val="000000" w:themeColor="text1"/>
          <w:sz w:val="28"/>
          <w:szCs w:val="32"/>
          <w:highlight w:val="none"/>
          <w14:textFill>
            <w14:solidFill>
              <w14:schemeClr w14:val="tx1"/>
            </w14:solidFill>
          </w14:textFill>
        </w:rPr>
        <w:t>来</w:t>
      </w:r>
      <w:r>
        <w:rPr>
          <w:rFonts w:hint="eastAsia" w:ascii="仿宋" w:hAnsi="仿宋" w:eastAsia="仿宋" w:cs="仿宋"/>
          <w:color w:val="auto"/>
          <w:sz w:val="28"/>
          <w:szCs w:val="32"/>
          <w:highlight w:val="none"/>
        </w:rPr>
        <w:t>自</w:t>
      </w:r>
      <w:r>
        <w:rPr>
          <w:rFonts w:hint="eastAsia" w:ascii="仿宋" w:hAnsi="仿宋" w:eastAsia="仿宋" w:cs="仿宋"/>
          <w:color w:val="auto"/>
          <w:sz w:val="28"/>
          <w:szCs w:val="32"/>
          <w:highlight w:val="none"/>
          <w:u w:val="single"/>
          <w:lang w:val="en-US" w:eastAsia="zh-CN"/>
        </w:rPr>
        <w:t>上级补助</w:t>
      </w:r>
      <w:r>
        <w:rPr>
          <w:rFonts w:hint="eastAsia" w:ascii="仿宋" w:hAnsi="仿宋" w:eastAsia="仿宋" w:cs="仿宋"/>
          <w:sz w:val="28"/>
          <w:szCs w:val="32"/>
          <w:highlight w:val="none"/>
        </w:rPr>
        <w:t>，招标人为</w:t>
      </w:r>
      <w:r>
        <w:rPr>
          <w:rFonts w:hint="eastAsia" w:ascii="仿宋" w:hAnsi="仿宋" w:eastAsia="仿宋" w:cs="仿宋"/>
          <w:sz w:val="28"/>
          <w:szCs w:val="32"/>
          <w:highlight w:val="none"/>
          <w:u w:val="single"/>
          <w:lang w:eastAsia="zh-CN"/>
        </w:rPr>
        <w:t>大冶市陈贵镇</w:t>
      </w:r>
      <w:r>
        <w:rPr>
          <w:rFonts w:hint="eastAsia" w:ascii="仿宋" w:hAnsi="仿宋" w:eastAsia="仿宋" w:cs="仿宋"/>
          <w:sz w:val="28"/>
          <w:szCs w:val="32"/>
          <w:highlight w:val="none"/>
          <w:u w:val="single"/>
          <w:lang w:val="en-US" w:eastAsia="zh-CN"/>
        </w:rPr>
        <w:t>刘家畈村村民委员会</w:t>
      </w:r>
      <w:r>
        <w:rPr>
          <w:rFonts w:hint="eastAsia" w:ascii="仿宋" w:hAnsi="仿宋" w:eastAsia="仿宋" w:cs="仿宋"/>
          <w:sz w:val="28"/>
          <w:szCs w:val="32"/>
          <w:highlight w:val="none"/>
        </w:rPr>
        <w:t>，招标代理机构为</w:t>
      </w:r>
      <w:r>
        <w:rPr>
          <w:rFonts w:hint="eastAsia" w:ascii="仿宋" w:hAnsi="仿宋" w:eastAsia="仿宋" w:cs="仿宋"/>
          <w:kern w:val="0"/>
          <w:sz w:val="28"/>
          <w:szCs w:val="28"/>
          <w:highlight w:val="none"/>
          <w:u w:val="single"/>
          <w:lang w:eastAsia="zh-CN"/>
        </w:rPr>
        <w:t>湖北众力建设工程管理有限公司</w:t>
      </w:r>
      <w:r>
        <w:rPr>
          <w:rFonts w:hint="eastAsia" w:ascii="仿宋" w:hAnsi="仿宋" w:eastAsia="仿宋" w:cs="仿宋"/>
          <w:sz w:val="28"/>
          <w:szCs w:val="32"/>
          <w:highlight w:val="none"/>
        </w:rPr>
        <w:t>。项目已具备招标条件，现对该项目的施工进行公开招标。</w:t>
      </w:r>
    </w:p>
    <w:p>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21" w:name="_Toc499378826"/>
      <w:bookmarkStart w:id="22" w:name="_Toc499378948"/>
      <w:r>
        <w:rPr>
          <w:rFonts w:hint="eastAsia" w:ascii="仿宋" w:hAnsi="仿宋" w:eastAsia="仿宋" w:cs="仿宋"/>
          <w:b/>
          <w:bCs/>
          <w:sz w:val="28"/>
          <w:szCs w:val="32"/>
          <w:highlight w:val="none"/>
        </w:rPr>
        <w:t>2. 项目概况与招标范围</w:t>
      </w:r>
      <w:bookmarkEnd w:id="15"/>
      <w:bookmarkEnd w:id="16"/>
      <w:bookmarkEnd w:id="17"/>
      <w:bookmarkEnd w:id="18"/>
      <w:bookmarkEnd w:id="19"/>
      <w:bookmarkEnd w:id="20"/>
      <w:bookmarkEnd w:id="21"/>
      <w:bookmarkEnd w:id="22"/>
    </w:p>
    <w:p>
      <w:pPr>
        <w:keepNext w:val="0"/>
        <w:keepLines w:val="0"/>
        <w:pageBreakBefore w:val="0"/>
        <w:widowControl w:val="0"/>
        <w:shd w:val="clea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2.1 建设地点：</w:t>
      </w:r>
      <w:r>
        <w:rPr>
          <w:rFonts w:hint="eastAsia" w:ascii="仿宋" w:hAnsi="仿宋" w:eastAsia="仿宋" w:cs="仿宋"/>
          <w:sz w:val="28"/>
          <w:szCs w:val="32"/>
          <w:highlight w:val="none"/>
          <w:u w:val="single"/>
          <w:lang w:eastAsia="zh-CN"/>
        </w:rPr>
        <w:t>大冶市陈贵镇</w:t>
      </w:r>
      <w:r>
        <w:rPr>
          <w:rFonts w:hint="eastAsia" w:ascii="仿宋" w:hAnsi="仿宋" w:eastAsia="仿宋" w:cs="仿宋"/>
          <w:sz w:val="28"/>
          <w:szCs w:val="32"/>
          <w:highlight w:val="none"/>
          <w:u w:val="single"/>
          <w:lang w:val="en-US" w:eastAsia="zh-CN"/>
        </w:rPr>
        <w:t>刘家畈村</w:t>
      </w:r>
      <w:r>
        <w:rPr>
          <w:rFonts w:hint="eastAsia" w:ascii="仿宋" w:hAnsi="仿宋" w:eastAsia="仿宋" w:cs="仿宋"/>
          <w:sz w:val="28"/>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32"/>
          <w:highlight w:val="none"/>
          <w:lang w:val="en-US" w:eastAsia="zh-CN"/>
        </w:rPr>
      </w:pPr>
      <w:r>
        <w:rPr>
          <w:rFonts w:hint="eastAsia" w:ascii="仿宋" w:hAnsi="仿宋" w:eastAsia="仿宋" w:cs="仿宋"/>
          <w:sz w:val="28"/>
          <w:szCs w:val="32"/>
          <w:highlight w:val="none"/>
        </w:rPr>
        <w:t>2.2 建设规模：具体施工内容详见施工设计图纸及工程量清单。</w:t>
      </w:r>
    </w:p>
    <w:p>
      <w:pPr>
        <w:keepNext w:val="0"/>
        <w:keepLines w:val="0"/>
        <w:pageBreakBefore w:val="0"/>
        <w:widowControl w:val="0"/>
        <w:shd w:val="clear"/>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lang w:val="en-US" w:eastAsia="zh-CN"/>
        </w:rPr>
        <w:t>2.3</w:t>
      </w:r>
      <w:r>
        <w:rPr>
          <w:rFonts w:hint="eastAsia" w:ascii="仿宋" w:hAnsi="仿宋" w:eastAsia="仿宋" w:cs="仿宋"/>
          <w:sz w:val="28"/>
          <w:szCs w:val="32"/>
          <w:highlight w:val="none"/>
        </w:rPr>
        <w:t>项目的最高限制价（人民币）:</w:t>
      </w:r>
      <w:r>
        <w:rPr>
          <w:rFonts w:hint="eastAsia" w:ascii="仿宋" w:hAnsi="仿宋" w:eastAsia="仿宋" w:cs="仿宋"/>
          <w:sz w:val="28"/>
          <w:szCs w:val="32"/>
          <w:highlight w:val="none"/>
          <w:lang w:val="en-US" w:eastAsia="zh-CN"/>
        </w:rPr>
        <w:t>壹佰肆拾捌万伍仟捌佰肆拾捌元整</w:t>
      </w:r>
      <w:r>
        <w:rPr>
          <w:rFonts w:hint="eastAsia" w:ascii="仿宋" w:hAnsi="仿宋" w:eastAsia="仿宋" w:cs="仿宋"/>
          <w:sz w:val="28"/>
          <w:szCs w:val="32"/>
          <w:highlight w:val="none"/>
        </w:rPr>
        <w:t>（￥</w:t>
      </w:r>
      <w:r>
        <w:rPr>
          <w:rFonts w:hint="eastAsia" w:ascii="仿宋" w:hAnsi="仿宋" w:eastAsia="仿宋" w:cs="仿宋"/>
          <w:sz w:val="28"/>
          <w:szCs w:val="32"/>
          <w:highlight w:val="none"/>
          <w:lang w:val="en-US" w:eastAsia="zh-CN"/>
        </w:rPr>
        <w:t>1485848.00</w:t>
      </w:r>
      <w:r>
        <w:rPr>
          <w:rFonts w:hint="eastAsia" w:ascii="仿宋" w:hAnsi="仿宋" w:eastAsia="仿宋" w:cs="仿宋"/>
          <w:sz w:val="28"/>
          <w:szCs w:val="32"/>
          <w:highlight w:val="none"/>
        </w:rPr>
        <w:t>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yellow"/>
        </w:rPr>
      </w:pPr>
      <w:r>
        <w:rPr>
          <w:rFonts w:hint="eastAsia" w:ascii="仿宋" w:hAnsi="仿宋" w:eastAsia="仿宋" w:cs="仿宋"/>
          <w:sz w:val="28"/>
          <w:szCs w:val="32"/>
          <w:highlight w:val="none"/>
        </w:rPr>
        <w:t>2.</w:t>
      </w:r>
      <w:r>
        <w:rPr>
          <w:rFonts w:hint="eastAsia" w:ascii="仿宋" w:hAnsi="仿宋" w:eastAsia="仿宋" w:cs="仿宋"/>
          <w:sz w:val="28"/>
          <w:szCs w:val="32"/>
          <w:highlight w:val="none"/>
          <w:lang w:val="en-US" w:eastAsia="zh-CN"/>
        </w:rPr>
        <w:t>4</w:t>
      </w:r>
      <w:r>
        <w:rPr>
          <w:rFonts w:hint="eastAsia" w:ascii="仿宋" w:hAnsi="仿宋" w:eastAsia="仿宋" w:cs="仿宋"/>
          <w:sz w:val="28"/>
          <w:szCs w:val="32"/>
          <w:highlight w:val="none"/>
        </w:rPr>
        <w:t>计划工期：</w:t>
      </w:r>
      <w:r>
        <w:rPr>
          <w:rFonts w:hint="eastAsia" w:ascii="仿宋" w:hAnsi="仿宋" w:eastAsia="仿宋" w:cs="仿宋"/>
          <w:color w:val="auto"/>
          <w:sz w:val="28"/>
          <w:szCs w:val="32"/>
          <w:highlight w:val="none"/>
          <w:lang w:val="en-US" w:eastAsia="zh-CN"/>
        </w:rPr>
        <w:t>45日历天</w:t>
      </w:r>
      <w:r>
        <w:rPr>
          <w:rFonts w:hint="eastAsia" w:ascii="仿宋" w:hAnsi="仿宋" w:eastAsia="仿宋" w:cs="仿宋"/>
          <w:sz w:val="28"/>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w:t>
      </w:r>
      <w:r>
        <w:rPr>
          <w:rFonts w:hint="eastAsia" w:ascii="仿宋" w:hAnsi="仿宋" w:eastAsia="仿宋" w:cs="仿宋"/>
          <w:sz w:val="28"/>
          <w:szCs w:val="32"/>
          <w:highlight w:val="none"/>
          <w:lang w:val="en-US" w:eastAsia="zh-CN"/>
        </w:rPr>
        <w:t>5</w:t>
      </w:r>
      <w:r>
        <w:rPr>
          <w:rFonts w:hint="eastAsia" w:ascii="仿宋" w:hAnsi="仿宋" w:eastAsia="仿宋" w:cs="仿宋"/>
          <w:sz w:val="28"/>
          <w:szCs w:val="32"/>
          <w:highlight w:val="none"/>
        </w:rPr>
        <w:t>招标范围：施工设计图纸和工程量清单范围内全部内容。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w:t>
      </w:r>
      <w:r>
        <w:rPr>
          <w:rFonts w:hint="eastAsia" w:ascii="仿宋" w:hAnsi="仿宋" w:eastAsia="仿宋" w:cs="仿宋"/>
          <w:sz w:val="28"/>
          <w:szCs w:val="32"/>
          <w:highlight w:val="none"/>
          <w:lang w:val="en-US" w:eastAsia="zh-CN"/>
        </w:rPr>
        <w:t>6</w:t>
      </w:r>
      <w:r>
        <w:rPr>
          <w:rFonts w:hint="eastAsia" w:ascii="仿宋" w:hAnsi="仿宋" w:eastAsia="仿宋" w:cs="仿宋"/>
          <w:sz w:val="28"/>
          <w:szCs w:val="32"/>
          <w:highlight w:val="none"/>
        </w:rPr>
        <w:t>质量要求：符合设计要求，达到国家现行验收规范合格标准。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w:t>
      </w:r>
      <w:r>
        <w:rPr>
          <w:rFonts w:hint="eastAsia" w:ascii="仿宋" w:hAnsi="仿宋" w:eastAsia="仿宋" w:cs="仿宋"/>
          <w:sz w:val="28"/>
          <w:szCs w:val="32"/>
          <w:highlight w:val="none"/>
          <w:lang w:val="en-US" w:eastAsia="zh-CN"/>
        </w:rPr>
        <w:t>7</w:t>
      </w:r>
      <w:r>
        <w:rPr>
          <w:rFonts w:hint="eastAsia" w:ascii="仿宋" w:hAnsi="仿宋" w:eastAsia="仿宋" w:cs="仿宋"/>
          <w:sz w:val="28"/>
          <w:szCs w:val="32"/>
          <w:highlight w:val="none"/>
        </w:rPr>
        <w:t>标段划分：本项目划分为1个标段。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23" w:name="_Toc313604918"/>
      <w:bookmarkStart w:id="24" w:name="_Toc152045514"/>
      <w:bookmarkStart w:id="25" w:name="_Toc336091260"/>
      <w:bookmarkStart w:id="26" w:name="_Toc152042290"/>
      <w:bookmarkStart w:id="27" w:name="_Toc144974482"/>
      <w:bookmarkStart w:id="28" w:name="_Toc499378949"/>
      <w:bookmarkStart w:id="29" w:name="_Toc179632530"/>
      <w:bookmarkStart w:id="30" w:name="_Toc499378827"/>
      <w:r>
        <w:rPr>
          <w:rFonts w:hint="eastAsia" w:ascii="仿宋" w:hAnsi="仿宋" w:eastAsia="仿宋" w:cs="仿宋"/>
          <w:b/>
          <w:bCs/>
          <w:sz w:val="28"/>
          <w:szCs w:val="32"/>
          <w:highlight w:val="none"/>
        </w:rPr>
        <w:t>3. 投标人资格要求</w:t>
      </w:r>
      <w:bookmarkEnd w:id="23"/>
      <w:bookmarkEnd w:id="24"/>
      <w:bookmarkEnd w:id="25"/>
      <w:bookmarkEnd w:id="26"/>
      <w:bookmarkEnd w:id="27"/>
      <w:bookmarkEnd w:id="28"/>
      <w:bookmarkEnd w:id="29"/>
      <w:bookmarkEnd w:id="30"/>
    </w:p>
    <w:p>
      <w:pPr>
        <w:keepNext w:val="0"/>
        <w:keepLines w:val="0"/>
        <w:pageBreakBefore w:val="0"/>
        <w:widowControl w:val="0"/>
        <w:tabs>
          <w:tab w:val="center" w:pos="4478"/>
        </w:tabs>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bookmarkStart w:id="31" w:name="_Toc313604919"/>
      <w:bookmarkStart w:id="32" w:name="_Toc152045515"/>
      <w:bookmarkStart w:id="33" w:name="_Toc152042291"/>
      <w:bookmarkStart w:id="34" w:name="_Toc144974483"/>
      <w:bookmarkStart w:id="35" w:name="_Toc179632531"/>
      <w:r>
        <w:rPr>
          <w:rFonts w:hint="eastAsia" w:ascii="仿宋" w:hAnsi="仿宋" w:eastAsia="仿宋" w:cs="仿宋"/>
          <w:sz w:val="28"/>
          <w:szCs w:val="32"/>
          <w:highlight w:val="none"/>
        </w:rPr>
        <w:t>3.1投标人具有独立承担民事责任的能力；</w:t>
      </w:r>
      <w:r>
        <w:rPr>
          <w:rFonts w:hint="eastAsia" w:ascii="仿宋" w:hAnsi="仿宋" w:eastAsia="仿宋" w:cs="仿宋"/>
          <w:sz w:val="28"/>
          <w:szCs w:val="32"/>
          <w:highlight w:val="none"/>
        </w:rPr>
        <w:tab/>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3.2具备建设行政主管部门核发的</w:t>
      </w:r>
      <w:r>
        <w:rPr>
          <w:rFonts w:hint="eastAsia" w:ascii="仿宋" w:hAnsi="仿宋" w:eastAsia="仿宋" w:cs="仿宋"/>
          <w:sz w:val="28"/>
          <w:szCs w:val="32"/>
          <w:highlight w:val="none"/>
          <w:lang w:eastAsia="zh-CN"/>
        </w:rPr>
        <w:t>建筑工程施工总承包叁级（含）以上资质</w:t>
      </w:r>
      <w:r>
        <w:rPr>
          <w:rFonts w:hint="eastAsia" w:ascii="仿宋" w:hAnsi="仿宋" w:eastAsia="仿宋" w:cs="仿宋"/>
          <w:sz w:val="28"/>
          <w:szCs w:val="32"/>
          <w:highlight w:val="none"/>
        </w:rPr>
        <w:t>，取得有效的安全生产许可证，并在人员、设备等方面具有相应的施工能力。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32"/>
          <w:highlight w:val="none"/>
          <w:lang w:eastAsia="zh-CN"/>
        </w:rPr>
      </w:pPr>
      <w:r>
        <w:rPr>
          <w:rFonts w:hint="eastAsia" w:ascii="仿宋" w:hAnsi="仿宋" w:eastAsia="仿宋" w:cs="仿宋"/>
          <w:sz w:val="28"/>
          <w:szCs w:val="32"/>
          <w:highlight w:val="none"/>
        </w:rPr>
        <w:t>3.2.1拟派的项目经理须具备</w:t>
      </w:r>
      <w:r>
        <w:rPr>
          <w:rFonts w:hint="eastAsia" w:ascii="仿宋" w:hAnsi="仿宋" w:eastAsia="仿宋" w:cs="仿宋"/>
          <w:color w:val="auto"/>
          <w:sz w:val="28"/>
          <w:szCs w:val="32"/>
          <w:highlight w:val="none"/>
        </w:rPr>
        <w:t>建设行</w:t>
      </w:r>
      <w:r>
        <w:rPr>
          <w:rFonts w:hint="eastAsia" w:ascii="仿宋" w:hAnsi="仿宋" w:eastAsia="仿宋" w:cs="仿宋"/>
          <w:sz w:val="28"/>
          <w:szCs w:val="32"/>
          <w:highlight w:val="none"/>
        </w:rPr>
        <w:t>政主管部门核发的</w:t>
      </w:r>
      <w:r>
        <w:rPr>
          <w:rFonts w:hint="eastAsia" w:ascii="仿宋" w:hAnsi="仿宋" w:eastAsia="仿宋" w:cs="仿宋"/>
          <w:sz w:val="28"/>
          <w:szCs w:val="32"/>
          <w:highlight w:val="none"/>
          <w:lang w:eastAsia="zh-CN"/>
        </w:rPr>
        <w:t>建筑工程专业贰级（含）以上注册建造师资格</w:t>
      </w:r>
      <w:r>
        <w:rPr>
          <w:rFonts w:hint="eastAsia" w:ascii="仿宋" w:hAnsi="仿宋" w:eastAsia="仿宋" w:cs="仿宋"/>
          <w:sz w:val="28"/>
          <w:szCs w:val="32"/>
          <w:highlight w:val="none"/>
        </w:rPr>
        <w:t>（不含临时证），具备有效的安全考核合格证书（B证）</w:t>
      </w:r>
      <w:r>
        <w:rPr>
          <w:rFonts w:hint="eastAsia" w:ascii="仿宋" w:hAnsi="仿宋" w:eastAsia="仿宋" w:cs="仿宋"/>
          <w:color w:val="auto"/>
          <w:sz w:val="28"/>
          <w:szCs w:val="32"/>
          <w:highlight w:val="none"/>
        </w:rPr>
        <w:t>，且未担任其它在建工程的项目经理（提供承诺书，详见</w:t>
      </w:r>
      <w:r>
        <w:rPr>
          <w:rFonts w:hint="eastAsia" w:ascii="仿宋" w:hAnsi="仿宋" w:eastAsia="仿宋" w:cs="仿宋"/>
          <w:sz w:val="28"/>
          <w:szCs w:val="32"/>
          <w:highlight w:val="none"/>
        </w:rPr>
        <w:t>附件1）；</w:t>
      </w:r>
      <w:r>
        <w:rPr>
          <w:rFonts w:hint="eastAsia" w:ascii="仿宋" w:hAnsi="仿宋" w:eastAsia="仿宋" w:cs="仿宋"/>
          <w:sz w:val="28"/>
          <w:szCs w:val="32"/>
          <w:highlight w:val="none"/>
          <w:lang w:eastAsia="zh-CN"/>
        </w:rPr>
        <w:t>拟派的技术负责人具有建筑工程专业中级（含）以上职称</w:t>
      </w:r>
      <w:r>
        <w:rPr>
          <w:rFonts w:hint="eastAsia" w:ascii="仿宋" w:hAnsi="仿宋" w:eastAsia="仿宋" w:cs="仿宋"/>
          <w:sz w:val="28"/>
          <w:szCs w:val="32"/>
          <w:highlight w:val="none"/>
        </w:rPr>
        <w:t>；拟投入本项目相关专业的施工员、质检（量）员、材料员、资料员须具备有效的培训证或岗位证，安全员须具有有效的安全生产考核合格证书（C证）。以上拟派的所有人</w:t>
      </w:r>
      <w:r>
        <w:rPr>
          <w:rFonts w:hint="eastAsia" w:ascii="仿宋" w:hAnsi="仿宋" w:eastAsia="仿宋" w:cs="仿宋"/>
          <w:color w:val="auto"/>
          <w:sz w:val="28"/>
          <w:szCs w:val="32"/>
          <w:highlight w:val="none"/>
        </w:rPr>
        <w:t>员均不得相互兼职。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lang w:val="en-US" w:eastAsia="zh-CN"/>
        </w:rPr>
        <w:t>3.3</w:t>
      </w:r>
      <w:r>
        <w:rPr>
          <w:rFonts w:hint="eastAsia" w:ascii="仿宋" w:hAnsi="仿宋" w:eastAsia="仿宋" w:cs="仿宋"/>
          <w:sz w:val="28"/>
          <w:szCs w:val="32"/>
          <w:highlight w:val="none"/>
          <w:lang w:eastAsia="zh-CN"/>
        </w:rPr>
        <w:t>投标人需提供</w:t>
      </w:r>
      <w:r>
        <w:rPr>
          <w:rFonts w:hint="eastAsia" w:ascii="仿宋" w:hAnsi="仿宋" w:eastAsia="仿宋" w:cs="仿宋"/>
          <w:color w:val="auto"/>
          <w:sz w:val="28"/>
          <w:szCs w:val="32"/>
          <w:highlight w:val="none"/>
          <w:lang w:eastAsia="zh-CN"/>
        </w:rPr>
        <w:t>2023</w:t>
      </w:r>
      <w:r>
        <w:rPr>
          <w:rFonts w:hint="eastAsia" w:ascii="仿宋" w:hAnsi="仿宋" w:eastAsia="仿宋" w:cs="仿宋"/>
          <w:color w:val="auto"/>
          <w:sz w:val="28"/>
          <w:szCs w:val="32"/>
          <w:highlight w:val="none"/>
          <w:lang w:val="en-US" w:eastAsia="zh-CN"/>
        </w:rPr>
        <w:t>或2024</w:t>
      </w:r>
      <w:r>
        <w:rPr>
          <w:rFonts w:hint="eastAsia" w:ascii="仿宋" w:hAnsi="仿宋" w:eastAsia="仿宋" w:cs="仿宋"/>
          <w:color w:val="auto"/>
          <w:sz w:val="28"/>
          <w:szCs w:val="32"/>
          <w:highlight w:val="none"/>
          <w:lang w:eastAsia="zh-CN"/>
        </w:rPr>
        <w:t>年度的财务审计报告</w:t>
      </w:r>
      <w:r>
        <w:rPr>
          <w:rFonts w:hint="eastAsia" w:ascii="仿宋" w:hAnsi="仿宋" w:eastAsia="仿宋" w:cs="仿宋"/>
          <w:sz w:val="28"/>
          <w:szCs w:val="32"/>
          <w:highlight w:val="none"/>
        </w:rPr>
        <w:t>（如成立不足1年的公司无需提供）。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3.4本次招标不接受联合体投标。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color w:val="auto"/>
          <w:sz w:val="28"/>
          <w:szCs w:val="32"/>
          <w:highlight w:val="none"/>
        </w:rPr>
        <w:t>3.5</w:t>
      </w:r>
      <w:r>
        <w:rPr>
          <w:rFonts w:hint="eastAsia" w:ascii="仿宋" w:hAnsi="仿宋" w:eastAsia="仿宋" w:cs="仿宋"/>
          <w:color w:val="auto"/>
          <w:sz w:val="28"/>
          <w:szCs w:val="32"/>
        </w:rPr>
        <w:t>踏勘现场：</w:t>
      </w:r>
      <w:r>
        <w:rPr>
          <w:rFonts w:hint="eastAsia" w:ascii="仿宋" w:hAnsi="仿宋" w:eastAsia="仿宋" w:cs="仿宋"/>
          <w:sz w:val="28"/>
          <w:szCs w:val="32"/>
        </w:rPr>
        <w:t>在开标前各投标人自行前往现场踏勘，并将施工现场踏勘标志性图片附到投标文件中，未按要求提供踏勘图片（彩色）的供应商作无效投标处理。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3.6本次招标采取资格后审方式（合格制），资格审查的具体要求见招标文件，资格审查不合格的投标人投标文件将被否决。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3.7信誉要求：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3.7.1没有被责令停业；没有被暂停或取消投标资格；财产没有被接管或冻结；在最近三年内没有骗取中标或严重违约或重大工程质量问题（投标人提供信誉声明）。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3.7.2投标人未被列入“信用中国”网站（www.creditchina.gov.cn）失信被执行人、</w:t>
      </w:r>
      <w:r>
        <w:rPr>
          <w:rFonts w:hint="eastAsia" w:ascii="仿宋" w:hAnsi="仿宋" w:eastAsia="仿宋" w:cs="仿宋"/>
          <w:sz w:val="28"/>
          <w:szCs w:val="32"/>
          <w:highlight w:val="none"/>
          <w:lang w:val="zh-CN" w:eastAsia="zh-CN"/>
        </w:rPr>
        <w:t>重大税收违法失信主体、</w:t>
      </w:r>
      <w:r>
        <w:rPr>
          <w:rFonts w:hint="eastAsia" w:ascii="仿宋" w:hAnsi="仿宋" w:eastAsia="仿宋" w:cs="仿宋"/>
          <w:sz w:val="28"/>
          <w:szCs w:val="32"/>
          <w:highlight w:val="none"/>
        </w:rPr>
        <w:t>政府采购严重违法失信行为记录</w:t>
      </w:r>
      <w:r>
        <w:rPr>
          <w:rFonts w:hint="eastAsia" w:ascii="仿宋" w:hAnsi="仿宋" w:eastAsia="仿宋" w:cs="仿宋"/>
          <w:color w:val="auto"/>
          <w:sz w:val="28"/>
          <w:szCs w:val="32"/>
          <w:highlight w:val="none"/>
        </w:rPr>
        <w:t>名单的网页截图；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36" w:name="_Toc499378950"/>
      <w:bookmarkStart w:id="37" w:name="_Toc499378828"/>
      <w:r>
        <w:rPr>
          <w:rFonts w:hint="eastAsia" w:ascii="仿宋" w:hAnsi="仿宋" w:eastAsia="仿宋" w:cs="仿宋"/>
          <w:b/>
          <w:bCs/>
          <w:sz w:val="28"/>
          <w:szCs w:val="32"/>
          <w:highlight w:val="none"/>
        </w:rPr>
        <w:t>4.</w:t>
      </w:r>
      <w:bookmarkEnd w:id="31"/>
      <w:bookmarkStart w:id="38" w:name="_Toc313604920"/>
      <w:r>
        <w:rPr>
          <w:rFonts w:hint="eastAsia" w:ascii="仿宋" w:hAnsi="仿宋" w:eastAsia="仿宋" w:cs="仿宋"/>
          <w:b/>
          <w:bCs/>
          <w:sz w:val="28"/>
          <w:szCs w:val="32"/>
          <w:highlight w:val="none"/>
        </w:rPr>
        <w:t>招标文件的获取</w:t>
      </w:r>
      <w:bookmarkEnd w:id="32"/>
      <w:bookmarkEnd w:id="33"/>
      <w:bookmarkEnd w:id="34"/>
      <w:bookmarkEnd w:id="35"/>
      <w:bookmarkEnd w:id="36"/>
      <w:bookmarkEnd w:id="37"/>
      <w:bookmarkEnd w:id="38"/>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bookmarkStart w:id="39" w:name="_Toc313604921"/>
      <w:bookmarkStart w:id="40" w:name="_Toc179632532"/>
      <w:bookmarkStart w:id="41" w:name="_Toc152042292"/>
      <w:bookmarkStart w:id="42" w:name="_Toc152045516"/>
      <w:bookmarkStart w:id="43" w:name="_Toc336091261"/>
      <w:bookmarkStart w:id="44" w:name="_Toc144974484"/>
      <w:r>
        <w:rPr>
          <w:rFonts w:hint="eastAsia" w:ascii="仿宋" w:hAnsi="仿宋" w:eastAsia="仿宋" w:cs="仿宋"/>
          <w:sz w:val="28"/>
          <w:szCs w:val="32"/>
          <w:highlight w:val="none"/>
        </w:rPr>
        <w:t>4.1凡有意参加投标者，请</w:t>
      </w:r>
      <w:r>
        <w:rPr>
          <w:rFonts w:hint="eastAsia" w:ascii="仿宋" w:hAnsi="仿宋" w:eastAsia="仿宋" w:cs="仿宋"/>
          <w:sz w:val="28"/>
          <w:szCs w:val="32"/>
          <w:highlight w:val="none"/>
          <w:u w:val="single"/>
          <w:lang w:val="en-US" w:eastAsia="zh-CN"/>
        </w:rPr>
        <w:t xml:space="preserve"> </w:t>
      </w:r>
      <w:r>
        <w:rPr>
          <w:rFonts w:hint="eastAsia" w:ascii="仿宋" w:hAnsi="仿宋" w:eastAsia="仿宋" w:cs="仿宋"/>
          <w:color w:val="000000" w:themeColor="text1"/>
          <w:sz w:val="28"/>
          <w:szCs w:val="32"/>
          <w:highlight w:val="none"/>
          <w:u w:val="single"/>
          <w14:textFill>
            <w14:solidFill>
              <w14:schemeClr w14:val="tx1"/>
            </w14:solidFill>
          </w14:textFill>
        </w:rPr>
        <w:t>202</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 xml:space="preserve">5 </w:t>
      </w:r>
      <w:r>
        <w:rPr>
          <w:rFonts w:hint="eastAsia" w:ascii="仿宋" w:hAnsi="仿宋" w:eastAsia="仿宋" w:cs="仿宋"/>
          <w:color w:val="000000" w:themeColor="text1"/>
          <w:sz w:val="28"/>
          <w:szCs w:val="32"/>
          <w:highlight w:val="none"/>
          <w:u w:val="single"/>
          <w14:textFill>
            <w14:solidFill>
              <w14:schemeClr w14:val="tx1"/>
            </w14:solidFill>
          </w14:textFill>
        </w:rPr>
        <w:t>年</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12</w:t>
      </w:r>
      <w:r>
        <w:rPr>
          <w:rFonts w:hint="eastAsia" w:ascii="仿宋" w:hAnsi="仿宋" w:eastAsia="仿宋" w:cs="仿宋"/>
          <w:color w:val="000000" w:themeColor="text1"/>
          <w:sz w:val="28"/>
          <w:szCs w:val="32"/>
          <w:highlight w:val="none"/>
          <w:u w:val="single"/>
          <w14:textFill>
            <w14:solidFill>
              <w14:schemeClr w14:val="tx1"/>
            </w14:solidFill>
          </w14:textFill>
        </w:rPr>
        <w:t>月</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szCs w:val="32"/>
          <w:highlight w:val="none"/>
          <w:u w:val="single"/>
          <w14:textFill>
            <w14:solidFill>
              <w14:schemeClr w14:val="tx1"/>
            </w14:solidFill>
          </w14:textFill>
        </w:rPr>
        <w:t>日至</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32"/>
          <w:highlight w:val="none"/>
          <w:u w:val="single"/>
          <w14:textFill>
            <w14:solidFill>
              <w14:schemeClr w14:val="tx1"/>
            </w14:solidFill>
          </w14:textFill>
        </w:rPr>
        <w:t>202</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 xml:space="preserve">5 </w:t>
      </w:r>
      <w:r>
        <w:rPr>
          <w:rFonts w:hint="eastAsia" w:ascii="仿宋" w:hAnsi="仿宋" w:eastAsia="仿宋" w:cs="仿宋"/>
          <w:color w:val="000000" w:themeColor="text1"/>
          <w:sz w:val="28"/>
          <w:szCs w:val="32"/>
          <w:highlight w:val="none"/>
          <w:u w:val="single"/>
          <w14:textFill>
            <w14:solidFill>
              <w14:schemeClr w14:val="tx1"/>
            </w14:solidFill>
          </w14:textFill>
        </w:rPr>
        <w:t>年</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 xml:space="preserve">12 </w:t>
      </w:r>
      <w:r>
        <w:rPr>
          <w:rFonts w:hint="eastAsia" w:ascii="仿宋" w:hAnsi="仿宋" w:eastAsia="仿宋" w:cs="仿宋"/>
          <w:color w:val="000000" w:themeColor="text1"/>
          <w:sz w:val="28"/>
          <w:szCs w:val="32"/>
          <w:highlight w:val="none"/>
          <w:u w:val="single"/>
          <w14:textFill>
            <w14:solidFill>
              <w14:schemeClr w14:val="tx1"/>
            </w14:solidFill>
          </w14:textFill>
        </w:rPr>
        <w:t>月</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8</w:t>
      </w:r>
      <w:r>
        <w:rPr>
          <w:rFonts w:hint="eastAsia" w:ascii="仿宋" w:hAnsi="仿宋" w:eastAsia="仿宋" w:cs="仿宋"/>
          <w:sz w:val="28"/>
          <w:szCs w:val="32"/>
          <w:highlight w:val="none"/>
          <w:u w:val="single"/>
        </w:rPr>
        <w:t>日</w:t>
      </w:r>
      <w:r>
        <w:rPr>
          <w:rFonts w:hint="eastAsia" w:ascii="仿宋" w:hAnsi="仿宋" w:eastAsia="仿宋" w:cs="仿宋"/>
          <w:sz w:val="28"/>
          <w:szCs w:val="32"/>
          <w:highlight w:val="none"/>
        </w:rPr>
        <w:t>通过互联网使用登录云上大冶-聚焦三农板块（http://dayeyun.cjyun.org/z/133229/），下载招标文件（含图纸、工程量清单）。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45" w:name="_Toc499378829"/>
      <w:bookmarkStart w:id="46" w:name="_Toc499378951"/>
      <w:r>
        <w:rPr>
          <w:rFonts w:hint="eastAsia" w:ascii="仿宋" w:hAnsi="仿宋" w:eastAsia="仿宋" w:cs="仿宋"/>
          <w:b/>
          <w:bCs/>
          <w:sz w:val="28"/>
          <w:szCs w:val="32"/>
          <w:highlight w:val="none"/>
        </w:rPr>
        <w:t>5. 投标文件的递交</w:t>
      </w:r>
      <w:bookmarkEnd w:id="45"/>
      <w:bookmarkEnd w:id="46"/>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5.1递交投标文件的截止时间为</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2025</w:t>
      </w:r>
      <w:r>
        <w:rPr>
          <w:rFonts w:hint="eastAsia" w:ascii="仿宋" w:hAnsi="仿宋" w:eastAsia="仿宋" w:cs="仿宋"/>
          <w:color w:val="000000" w:themeColor="text1"/>
          <w:sz w:val="28"/>
          <w:szCs w:val="32"/>
          <w:highlight w:val="none"/>
          <w:u w:val="single"/>
          <w14:textFill>
            <w14:solidFill>
              <w14:schemeClr w14:val="tx1"/>
            </w14:solidFill>
          </w14:textFill>
        </w:rPr>
        <w:t>年</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12</w:t>
      </w:r>
      <w:r>
        <w:rPr>
          <w:rFonts w:hint="eastAsia" w:ascii="仿宋" w:hAnsi="仿宋" w:eastAsia="仿宋" w:cs="仿宋"/>
          <w:color w:val="000000" w:themeColor="text1"/>
          <w:sz w:val="28"/>
          <w:szCs w:val="32"/>
          <w:highlight w:val="none"/>
          <w:u w:val="single"/>
          <w14:textFill>
            <w14:solidFill>
              <w14:schemeClr w14:val="tx1"/>
            </w14:solidFill>
          </w14:textFill>
        </w:rPr>
        <w:t>月</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22</w:t>
      </w:r>
      <w:r>
        <w:rPr>
          <w:rFonts w:hint="eastAsia" w:ascii="仿宋" w:hAnsi="仿宋" w:eastAsia="仿宋" w:cs="仿宋"/>
          <w:color w:val="000000" w:themeColor="text1"/>
          <w:sz w:val="28"/>
          <w:szCs w:val="32"/>
          <w:highlight w:val="none"/>
          <w:u w:val="single"/>
          <w14:textFill>
            <w14:solidFill>
              <w14:schemeClr w14:val="tx1"/>
            </w14:solidFill>
          </w14:textFill>
        </w:rPr>
        <w:t>日</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09</w:t>
      </w:r>
      <w:r>
        <w:rPr>
          <w:rFonts w:hint="eastAsia" w:ascii="仿宋" w:hAnsi="仿宋" w:eastAsia="仿宋" w:cs="仿宋"/>
          <w:color w:val="000000" w:themeColor="text1"/>
          <w:sz w:val="28"/>
          <w:szCs w:val="32"/>
          <w:highlight w:val="none"/>
          <w:u w:val="single"/>
          <w14:textFill>
            <w14:solidFill>
              <w14:schemeClr w14:val="tx1"/>
            </w14:solidFill>
          </w14:textFill>
        </w:rPr>
        <w:t>时</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30</w:t>
      </w:r>
      <w:r>
        <w:rPr>
          <w:rFonts w:hint="eastAsia" w:ascii="仿宋" w:hAnsi="仿宋" w:eastAsia="仿宋" w:cs="仿宋"/>
          <w:color w:val="000000" w:themeColor="text1"/>
          <w:sz w:val="28"/>
          <w:szCs w:val="32"/>
          <w:highlight w:val="none"/>
          <w:u w:val="single"/>
          <w14:textFill>
            <w14:solidFill>
              <w14:schemeClr w14:val="tx1"/>
            </w14:solidFill>
          </w14:textFill>
        </w:rPr>
        <w:t>分</w:t>
      </w:r>
      <w:r>
        <w:rPr>
          <w:rFonts w:hint="eastAsia" w:ascii="仿宋" w:hAnsi="仿宋" w:eastAsia="仿宋" w:cs="仿宋"/>
          <w:sz w:val="28"/>
          <w:szCs w:val="32"/>
          <w:highlight w:val="none"/>
        </w:rPr>
        <w:t>，投标文件现场递交地点为大冶市农村综合产权交易中心（湖北省大冶市七里界国际金融中心二楼）开标室。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5.2逾期送达或者未按招标文件要求密封的投标文件，招标人将予以拒收。投标截止时间前未递交投标文件的，视为撤回投标文件。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color w:val="0000FF"/>
          <w:sz w:val="28"/>
          <w:szCs w:val="28"/>
          <w:highlight w:val="none"/>
        </w:rPr>
      </w:pPr>
      <w:r>
        <w:rPr>
          <w:rFonts w:hint="eastAsia" w:ascii="仿宋" w:hAnsi="仿宋" w:eastAsia="仿宋" w:cs="仿宋"/>
          <w:sz w:val="28"/>
          <w:szCs w:val="28"/>
          <w:highlight w:val="none"/>
        </w:rPr>
        <w:t>5.3递交投标文件以及参加开标会的投标人代表，必须为投标人法定代表人或委托代理人，法定代表人须携带本人身份证原件，委托代理人须携带身份证原件、法定代表人授权委托书。</w:t>
      </w:r>
      <w:r>
        <w:rPr>
          <w:rFonts w:hint="eastAsia" w:ascii="仿宋" w:hAnsi="仿宋" w:eastAsia="仿宋" w:cs="仿宋"/>
          <w:color w:val="auto"/>
          <w:sz w:val="28"/>
          <w:szCs w:val="28"/>
          <w:highlight w:val="none"/>
        </w:rPr>
        <w:t>委托代理人必须为本公司正式员工，同时需提供所在公司缴纳的近三个月以上的社保证明及劳动合同。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5.4</w:t>
      </w:r>
      <w:bookmarkEnd w:id="39"/>
      <w:bookmarkEnd w:id="40"/>
      <w:bookmarkEnd w:id="41"/>
      <w:bookmarkEnd w:id="42"/>
      <w:bookmarkEnd w:id="43"/>
      <w:bookmarkEnd w:id="44"/>
      <w:r>
        <w:rPr>
          <w:rFonts w:hint="eastAsia" w:ascii="仿宋" w:hAnsi="仿宋" w:eastAsia="仿宋" w:cs="仿宋"/>
          <w:sz w:val="28"/>
          <w:szCs w:val="32"/>
          <w:highlight w:val="none"/>
        </w:rPr>
        <w:t>投标人在唱标一览表中的报价、商务标中的报价和电子版中的报价必须一致，否则作无效投标处理。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5.5潜在投标人必须使用本单位品茗造价软件锁制作商务标并生成评标格式文件（大冶三农格式*.SNTB），U盘存储且不得设置密码。如未按规定格式和要求制作提交，导致不能导入清标系统清标评审的，一切后果由投标人自行承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47" w:name="_Toc313604922"/>
      <w:bookmarkStart w:id="48" w:name="_Toc499378952"/>
      <w:bookmarkStart w:id="49" w:name="_Toc499378830"/>
      <w:bookmarkStart w:id="50" w:name="_Toc157499355"/>
      <w:bookmarkStart w:id="51" w:name="_Toc179632533"/>
      <w:bookmarkStart w:id="52" w:name="_Toc336091262"/>
      <w:r>
        <w:rPr>
          <w:rFonts w:hint="eastAsia" w:ascii="仿宋" w:hAnsi="仿宋" w:eastAsia="仿宋" w:cs="仿宋"/>
          <w:b/>
          <w:bCs/>
          <w:sz w:val="28"/>
          <w:szCs w:val="32"/>
          <w:highlight w:val="none"/>
        </w:rPr>
        <w:t>6. 发布公告的媒介</w:t>
      </w:r>
      <w:bookmarkEnd w:id="47"/>
      <w:bookmarkEnd w:id="48"/>
      <w:bookmarkEnd w:id="49"/>
      <w:bookmarkEnd w:id="50"/>
      <w:bookmarkEnd w:id="51"/>
      <w:bookmarkEnd w:id="52"/>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 w:val="28"/>
          <w:szCs w:val="32"/>
          <w:highlight w:val="none"/>
        </w:rPr>
      </w:pPr>
      <w:bookmarkStart w:id="53" w:name="_Toc144974485"/>
      <w:bookmarkStart w:id="54" w:name="_Toc179632534"/>
      <w:bookmarkStart w:id="55" w:name="_Toc313604923"/>
      <w:bookmarkStart w:id="56" w:name="_Toc336091263"/>
      <w:bookmarkStart w:id="57" w:name="_Toc152045517"/>
      <w:bookmarkStart w:id="58" w:name="_Toc152042293"/>
      <w:r>
        <w:rPr>
          <w:rFonts w:hint="eastAsia" w:ascii="仿宋" w:hAnsi="仿宋" w:eastAsia="仿宋" w:cs="仿宋"/>
          <w:sz w:val="28"/>
          <w:szCs w:val="32"/>
          <w:highlight w:val="none"/>
        </w:rPr>
        <w:t>本次招标公告在云上大冶聚焦三农模块发布。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59" w:name="_Toc499378831"/>
      <w:bookmarkStart w:id="60" w:name="_Toc499378953"/>
      <w:r>
        <w:rPr>
          <w:rFonts w:hint="eastAsia" w:ascii="仿宋" w:hAnsi="仿宋" w:eastAsia="仿宋" w:cs="仿宋"/>
          <w:b/>
          <w:bCs/>
          <w:sz w:val="28"/>
          <w:szCs w:val="32"/>
          <w:highlight w:val="none"/>
        </w:rPr>
        <w:t>7. 联系方式</w:t>
      </w:r>
      <w:bookmarkEnd w:id="53"/>
      <w:bookmarkEnd w:id="54"/>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28"/>
          <w:szCs w:val="32"/>
          <w:highlight w:val="none"/>
          <w:lang w:val="en-US" w:eastAsia="zh-CN"/>
        </w:rPr>
      </w:pPr>
      <w:r>
        <w:rPr>
          <w:rFonts w:hint="eastAsia" w:ascii="仿宋" w:hAnsi="仿宋" w:eastAsia="仿宋" w:cs="仿宋"/>
          <w:sz w:val="28"/>
          <w:szCs w:val="32"/>
          <w:highlight w:val="none"/>
        </w:rPr>
        <w:t>招标人：</w:t>
      </w:r>
      <w:r>
        <w:rPr>
          <w:rFonts w:hint="eastAsia" w:ascii="仿宋" w:hAnsi="仿宋" w:eastAsia="仿宋" w:cs="仿宋"/>
          <w:sz w:val="28"/>
          <w:szCs w:val="32"/>
          <w:highlight w:val="none"/>
          <w:lang w:eastAsia="zh-CN"/>
        </w:rPr>
        <w:t>大冶市陈贵镇</w:t>
      </w:r>
      <w:r>
        <w:rPr>
          <w:rFonts w:hint="eastAsia" w:ascii="仿宋" w:hAnsi="仿宋" w:eastAsia="仿宋" w:cs="仿宋"/>
          <w:sz w:val="28"/>
          <w:szCs w:val="32"/>
          <w:highlight w:val="none"/>
          <w:lang w:val="en-US" w:eastAsia="zh-CN"/>
        </w:rPr>
        <w:t>刘家畈村村民委员会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地</w:t>
      </w:r>
      <w:r>
        <w:rPr>
          <w:rFonts w:hint="eastAsia" w:ascii="仿宋" w:hAnsi="仿宋" w:eastAsia="仿宋" w:cs="仿宋"/>
          <w:sz w:val="28"/>
          <w:szCs w:val="32"/>
          <w:highlight w:val="none"/>
          <w:lang w:val="en-US" w:eastAsia="zh-CN"/>
        </w:rPr>
        <w:t xml:space="preserve">  </w:t>
      </w:r>
      <w:r>
        <w:rPr>
          <w:rFonts w:hint="eastAsia" w:ascii="仿宋" w:hAnsi="仿宋" w:eastAsia="仿宋" w:cs="仿宋"/>
          <w:sz w:val="28"/>
          <w:szCs w:val="32"/>
          <w:highlight w:val="none"/>
        </w:rPr>
        <w:t>址：</w:t>
      </w:r>
      <w:r>
        <w:rPr>
          <w:rFonts w:hint="eastAsia" w:ascii="仿宋" w:hAnsi="仿宋" w:eastAsia="仿宋" w:cs="仿宋"/>
          <w:sz w:val="28"/>
          <w:szCs w:val="32"/>
          <w:highlight w:val="none"/>
          <w:lang w:eastAsia="zh-CN"/>
        </w:rPr>
        <w:t>大冶市陈贵镇刘家畈村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rPr>
        <w:t>联系人：</w:t>
      </w:r>
      <w:r>
        <w:rPr>
          <w:rFonts w:hint="eastAsia" w:ascii="仿宋" w:hAnsi="仿宋" w:eastAsia="仿宋" w:cs="仿宋"/>
          <w:sz w:val="28"/>
          <w:szCs w:val="32"/>
          <w:highlight w:val="none"/>
          <w:lang w:val="en-US" w:eastAsia="zh-CN"/>
        </w:rPr>
        <w:t>陈春林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28"/>
          <w:szCs w:val="32"/>
          <w:highlight w:val="none"/>
          <w:lang w:val="en-US" w:eastAsia="zh-CN"/>
        </w:rPr>
      </w:pPr>
      <w:r>
        <w:rPr>
          <w:rFonts w:hint="eastAsia" w:ascii="仿宋" w:hAnsi="仿宋" w:eastAsia="仿宋" w:cs="仿宋"/>
          <w:sz w:val="28"/>
          <w:szCs w:val="32"/>
          <w:highlight w:val="none"/>
        </w:rPr>
        <w:t>电</w:t>
      </w:r>
      <w:r>
        <w:rPr>
          <w:rFonts w:hint="eastAsia" w:ascii="仿宋" w:hAnsi="仿宋" w:eastAsia="仿宋" w:cs="仿宋"/>
          <w:sz w:val="28"/>
          <w:szCs w:val="32"/>
          <w:highlight w:val="none"/>
          <w:lang w:val="en-US" w:eastAsia="zh-CN"/>
        </w:rPr>
        <w:t xml:space="preserve">  </w:t>
      </w:r>
      <w:r>
        <w:rPr>
          <w:rFonts w:hint="eastAsia" w:ascii="仿宋" w:hAnsi="仿宋" w:eastAsia="仿宋" w:cs="仿宋"/>
          <w:sz w:val="28"/>
          <w:szCs w:val="32"/>
          <w:highlight w:val="none"/>
        </w:rPr>
        <w:t>话：</w:t>
      </w:r>
      <w:r>
        <w:rPr>
          <w:rFonts w:hint="eastAsia" w:ascii="仿宋" w:hAnsi="仿宋" w:eastAsia="仿宋" w:cs="仿宋"/>
          <w:sz w:val="28"/>
          <w:szCs w:val="32"/>
          <w:highlight w:val="none"/>
          <w:lang w:val="en-US" w:eastAsia="zh-CN"/>
        </w:rPr>
        <w:t>13597656709</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招标代理机构：</w:t>
      </w:r>
      <w:r>
        <w:rPr>
          <w:rFonts w:hint="eastAsia" w:ascii="仿宋" w:hAnsi="仿宋" w:eastAsia="仿宋" w:cs="仿宋"/>
          <w:sz w:val="28"/>
          <w:szCs w:val="32"/>
          <w:highlight w:val="none"/>
          <w:lang w:eastAsia="zh-CN"/>
        </w:rPr>
        <w:t>湖北众力建设工程管理有限公司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rPr>
        <w:t>地址：</w:t>
      </w:r>
      <w:r>
        <w:rPr>
          <w:rFonts w:hint="eastAsia" w:ascii="仿宋" w:hAnsi="仿宋" w:eastAsia="仿宋" w:cs="仿宋"/>
          <w:sz w:val="28"/>
          <w:szCs w:val="32"/>
          <w:highlight w:val="none"/>
          <w:lang w:val="en-US" w:eastAsia="zh-CN"/>
        </w:rPr>
        <w:t>大冶市汉龙公寓八栋一单元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rPr>
        <w:t>联系人：</w:t>
      </w:r>
      <w:r>
        <w:rPr>
          <w:rFonts w:hint="eastAsia" w:ascii="仿宋" w:hAnsi="仿宋" w:eastAsia="仿宋" w:cs="仿宋"/>
          <w:sz w:val="28"/>
          <w:szCs w:val="32"/>
          <w:highlight w:val="none"/>
          <w:lang w:val="en-US" w:eastAsia="zh-CN"/>
        </w:rPr>
        <w:t>柯芳</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28"/>
          <w:szCs w:val="36"/>
          <w:highlight w:val="none"/>
          <w:lang w:val="en-US" w:eastAsia="zh-CN"/>
        </w:rPr>
      </w:pPr>
      <w:r>
        <w:rPr>
          <w:rFonts w:hint="eastAsia" w:ascii="仿宋" w:hAnsi="仿宋" w:eastAsia="仿宋" w:cs="仿宋"/>
          <w:sz w:val="28"/>
          <w:szCs w:val="32"/>
          <w:highlight w:val="none"/>
        </w:rPr>
        <w:t>电</w:t>
      </w:r>
      <w:r>
        <w:rPr>
          <w:rFonts w:hint="eastAsia" w:ascii="仿宋" w:hAnsi="仿宋" w:eastAsia="仿宋" w:cs="仿宋"/>
          <w:sz w:val="28"/>
          <w:szCs w:val="32"/>
          <w:highlight w:val="none"/>
          <w:lang w:val="en-US" w:eastAsia="zh-CN"/>
        </w:rPr>
        <w:t xml:space="preserve">  </w:t>
      </w:r>
      <w:r>
        <w:rPr>
          <w:rFonts w:hint="eastAsia" w:ascii="仿宋" w:hAnsi="仿宋" w:eastAsia="仿宋" w:cs="仿宋"/>
          <w:sz w:val="28"/>
          <w:szCs w:val="32"/>
          <w:highlight w:val="none"/>
        </w:rPr>
        <w:t>话：</w:t>
      </w:r>
      <w:r>
        <w:rPr>
          <w:rFonts w:hint="eastAsia" w:ascii="仿宋" w:hAnsi="仿宋" w:eastAsia="仿宋" w:cs="仿宋"/>
          <w:sz w:val="28"/>
          <w:szCs w:val="32"/>
          <w:highlight w:val="none"/>
          <w:lang w:val="en-US" w:eastAsia="zh-CN"/>
        </w:rPr>
        <w:t>13545556695</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28"/>
          <w:szCs w:val="36"/>
          <w:highlight w:val="none"/>
          <w:lang w:eastAsia="zh-CN"/>
        </w:rPr>
      </w:pPr>
      <w:r>
        <w:rPr>
          <w:rFonts w:hint="eastAsia" w:ascii="仿宋" w:hAnsi="仿宋" w:eastAsia="仿宋" w:cs="仿宋"/>
          <w:sz w:val="28"/>
          <w:szCs w:val="36"/>
          <w:highlight w:val="none"/>
          <w:lang w:eastAsia="zh-CN"/>
        </w:rPr>
        <w:t>湖北众力建设工程管理有限公司</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sz w:val="22"/>
          <w:szCs w:val="24"/>
          <w:highlight w:val="none"/>
        </w:rPr>
      </w:pPr>
      <w:r>
        <w:rPr>
          <w:rFonts w:hint="eastAsia" w:ascii="仿宋" w:hAnsi="仿宋" w:eastAsia="仿宋" w:cs="仿宋"/>
          <w:sz w:val="28"/>
          <w:szCs w:val="32"/>
          <w:highlight w:val="none"/>
          <w:lang w:val="en-US" w:eastAsia="zh-CN"/>
        </w:rPr>
        <w:t xml:space="preserve">                                              </w:t>
      </w:r>
      <w:r>
        <w:rPr>
          <w:rFonts w:hint="eastAsia" w:ascii="仿宋" w:hAnsi="仿宋" w:eastAsia="仿宋" w:cs="仿宋"/>
          <w:sz w:val="28"/>
          <w:szCs w:val="32"/>
          <w:highlight w:val="none"/>
        </w:rPr>
        <w:t>202</w:t>
      </w:r>
      <w:r>
        <w:rPr>
          <w:rFonts w:hint="eastAsia" w:ascii="仿宋" w:hAnsi="仿宋" w:eastAsia="仿宋" w:cs="仿宋"/>
          <w:sz w:val="28"/>
          <w:szCs w:val="32"/>
          <w:highlight w:val="none"/>
          <w:lang w:val="en-US" w:eastAsia="zh-CN"/>
        </w:rPr>
        <w:t>5</w:t>
      </w:r>
      <w:r>
        <w:rPr>
          <w:rFonts w:hint="eastAsia" w:ascii="仿宋" w:hAnsi="仿宋" w:eastAsia="仿宋" w:cs="仿宋"/>
          <w:sz w:val="28"/>
          <w:szCs w:val="32"/>
          <w:highlight w:val="none"/>
        </w:rPr>
        <w:t>年</w:t>
      </w:r>
      <w:r>
        <w:rPr>
          <w:rFonts w:hint="eastAsia" w:ascii="仿宋" w:hAnsi="仿宋" w:eastAsia="仿宋" w:cs="仿宋"/>
          <w:sz w:val="28"/>
          <w:szCs w:val="32"/>
          <w:highlight w:val="none"/>
          <w:lang w:val="en-US" w:eastAsia="zh-CN"/>
        </w:rPr>
        <w:t xml:space="preserve"> 12</w:t>
      </w:r>
      <w:r>
        <w:rPr>
          <w:rFonts w:hint="eastAsia" w:ascii="仿宋" w:hAnsi="仿宋" w:eastAsia="仿宋" w:cs="仿宋"/>
          <w:sz w:val="28"/>
          <w:szCs w:val="32"/>
          <w:highlight w:val="none"/>
        </w:rPr>
        <w:t>月</w:t>
      </w:r>
      <w:r>
        <w:rPr>
          <w:rFonts w:hint="eastAsia" w:ascii="仿宋" w:hAnsi="仿宋" w:eastAsia="仿宋" w:cs="仿宋"/>
          <w:sz w:val="28"/>
          <w:szCs w:val="32"/>
          <w:highlight w:val="none"/>
          <w:lang w:val="en-US" w:eastAsia="zh-CN"/>
        </w:rPr>
        <w:t>2</w:t>
      </w:r>
      <w:r>
        <w:rPr>
          <w:rFonts w:hint="eastAsia" w:ascii="仿宋" w:hAnsi="仿宋" w:eastAsia="仿宋" w:cs="仿宋"/>
          <w:sz w:val="28"/>
          <w:szCs w:val="36"/>
          <w:highlight w:val="none"/>
          <w:lang w:eastAsia="zh-CN"/>
        </w:rPr>
        <w:t>日</w:t>
      </w:r>
    </w:p>
    <w:bookmarkEnd w:id="1"/>
    <w:bookmarkEnd w:id="2"/>
    <w:bookmarkEnd w:id="3"/>
    <w:p>
      <w:pPr>
        <w:rPr>
          <w:rFonts w:hint="eastAsia" w:ascii="仿宋" w:hAnsi="仿宋" w:eastAsia="仿宋" w:cs="仿宋"/>
          <w:sz w:val="22"/>
          <w:szCs w:val="24"/>
          <w:highlight w:val="none"/>
        </w:rPr>
      </w:pPr>
      <w:bookmarkStart w:id="61" w:name="_Toc499378954"/>
      <w:bookmarkStart w:id="62" w:name="_Toc366104134"/>
      <w:bookmarkStart w:id="63" w:name="OLE_LINK27"/>
      <w:bookmarkStart w:id="64" w:name="OLE_LINK29"/>
      <w:bookmarkStart w:id="65" w:name="OLE_LINK28"/>
      <w:r>
        <w:rPr>
          <w:rFonts w:hint="eastAsia" w:ascii="仿宋" w:hAnsi="仿宋" w:eastAsia="仿宋" w:cs="仿宋"/>
          <w:sz w:val="22"/>
          <w:szCs w:val="24"/>
          <w:highlight w:val="none"/>
        </w:rPr>
        <w:br w:type="page"/>
      </w:r>
    </w:p>
    <w:p>
      <w:pPr>
        <w:pStyle w:val="3"/>
        <w:spacing w:line="240" w:lineRule="auto"/>
        <w:jc w:val="center"/>
        <w:rPr>
          <w:rFonts w:ascii="仿宋" w:hAnsi="仿宋" w:eastAsia="仿宋" w:cs="仿宋"/>
          <w:highlight w:val="none"/>
        </w:rPr>
      </w:pPr>
      <w:r>
        <w:rPr>
          <w:rFonts w:hint="eastAsia" w:ascii="仿宋" w:hAnsi="仿宋" w:eastAsia="仿宋" w:cs="仿宋"/>
          <w:highlight w:val="none"/>
        </w:rPr>
        <w:t>第二章  投标人须知</w:t>
      </w:r>
      <w:bookmarkEnd w:id="61"/>
      <w:bookmarkEnd w:id="62"/>
    </w:p>
    <w:p>
      <w:pPr>
        <w:pStyle w:val="4"/>
        <w:spacing w:line="240" w:lineRule="auto"/>
        <w:jc w:val="center"/>
        <w:rPr>
          <w:rFonts w:ascii="仿宋" w:hAnsi="仿宋" w:eastAsia="仿宋" w:cs="仿宋"/>
          <w:highlight w:val="none"/>
        </w:rPr>
      </w:pPr>
      <w:bookmarkStart w:id="66" w:name="_Toc499378955"/>
      <w:bookmarkStart w:id="67" w:name="_Toc499378833"/>
      <w:r>
        <w:rPr>
          <w:rFonts w:hint="eastAsia" w:ascii="仿宋" w:hAnsi="仿宋" w:eastAsia="仿宋" w:cs="仿宋"/>
          <w:sz w:val="24"/>
          <w:highlight w:val="none"/>
        </w:rPr>
        <w:t>投标人须知前附表</w:t>
      </w:r>
      <w:bookmarkEnd w:id="66"/>
      <w:bookmarkEnd w:id="67"/>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126"/>
        <w:gridCol w:w="6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2"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条款号</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条 款 名 称</w:t>
            </w:r>
          </w:p>
        </w:tc>
        <w:tc>
          <w:tcPr>
            <w:tcW w:w="6013"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招标人</w:t>
            </w:r>
          </w:p>
        </w:tc>
        <w:tc>
          <w:tcPr>
            <w:tcW w:w="6013" w:type="dxa"/>
            <w:vAlign w:val="center"/>
          </w:tcPr>
          <w:p>
            <w:pPr>
              <w:snapToGrid w:val="0"/>
              <w:rPr>
                <w:rFonts w:hint="default" w:ascii="仿宋" w:hAnsi="仿宋" w:eastAsia="仿宋" w:cs="仿宋"/>
                <w:highlight w:val="none"/>
                <w:lang w:val="en-US"/>
              </w:rPr>
            </w:pPr>
            <w:r>
              <w:rPr>
                <w:rFonts w:hint="eastAsia" w:ascii="仿宋" w:hAnsi="仿宋" w:eastAsia="仿宋" w:cs="仿宋"/>
                <w:highlight w:val="none"/>
              </w:rPr>
              <w:t>招标人：</w:t>
            </w:r>
            <w:r>
              <w:rPr>
                <w:rFonts w:hint="eastAsia" w:ascii="仿宋" w:hAnsi="仿宋" w:eastAsia="仿宋" w:cs="仿宋"/>
                <w:highlight w:val="none"/>
                <w:lang w:eastAsia="zh-CN"/>
              </w:rPr>
              <w:t>大冶市陈贵镇</w:t>
            </w:r>
            <w:r>
              <w:rPr>
                <w:rFonts w:hint="eastAsia" w:ascii="仿宋" w:hAnsi="仿宋" w:eastAsia="仿宋" w:cs="仿宋"/>
                <w:highlight w:val="none"/>
                <w:lang w:val="en-US" w:eastAsia="zh-CN"/>
              </w:rPr>
              <w:t>刘家畈村村民委员会</w:t>
            </w:r>
          </w:p>
          <w:p>
            <w:pPr>
              <w:snapToGrid w:val="0"/>
              <w:rPr>
                <w:rFonts w:hint="default" w:ascii="仿宋" w:hAnsi="仿宋" w:eastAsia="仿宋" w:cs="仿宋"/>
                <w:highlight w:val="none"/>
                <w:lang w:val="en-US"/>
              </w:rPr>
            </w:pPr>
            <w:r>
              <w:rPr>
                <w:rFonts w:hint="eastAsia" w:ascii="仿宋" w:hAnsi="仿宋" w:eastAsia="仿宋" w:cs="仿宋"/>
                <w:highlight w:val="none"/>
              </w:rPr>
              <w:t>联系人：</w:t>
            </w:r>
            <w:r>
              <w:rPr>
                <w:rFonts w:hint="eastAsia" w:ascii="仿宋" w:hAnsi="仿宋" w:eastAsia="仿宋" w:cs="仿宋"/>
                <w:highlight w:val="none"/>
                <w:lang w:val="en-US" w:eastAsia="zh-CN"/>
              </w:rPr>
              <w:t>陈春林</w:t>
            </w:r>
            <w:r>
              <w:rPr>
                <w:rFonts w:hint="eastAsia" w:ascii="仿宋" w:hAnsi="仿宋" w:eastAsia="仿宋" w:cs="仿宋"/>
                <w:highlight w:val="none"/>
              </w:rPr>
              <w:t xml:space="preserve">      联系电话：</w:t>
            </w:r>
            <w:r>
              <w:rPr>
                <w:rFonts w:hint="eastAsia" w:ascii="仿宋" w:hAnsi="仿宋" w:eastAsia="仿宋" w:cs="仿宋"/>
                <w:highlight w:val="none"/>
                <w:lang w:val="en-US" w:eastAsia="zh-CN"/>
              </w:rPr>
              <w:t>13597656709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招标代理机构</w:t>
            </w:r>
          </w:p>
        </w:tc>
        <w:tc>
          <w:tcPr>
            <w:tcW w:w="6013" w:type="dxa"/>
            <w:vAlign w:val="center"/>
          </w:tcPr>
          <w:p>
            <w:pPr>
              <w:snapToGrid w:val="0"/>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湖北众力建设工程管理有限公司</w:t>
            </w:r>
          </w:p>
          <w:p>
            <w:pPr>
              <w:snapToGrid w:val="0"/>
              <w:rPr>
                <w:rFonts w:hint="default" w:ascii="仿宋" w:hAnsi="仿宋" w:eastAsia="仿宋" w:cs="仿宋"/>
                <w:highlight w:val="none"/>
                <w:lang w:val="en-US" w:eastAsia="zh-CN"/>
              </w:rPr>
            </w:pPr>
            <w:r>
              <w:rPr>
                <w:rFonts w:hint="eastAsia" w:ascii="仿宋" w:hAnsi="仿宋" w:eastAsia="仿宋" w:cs="仿宋"/>
                <w:highlight w:val="none"/>
              </w:rPr>
              <w:t>联系人：</w:t>
            </w:r>
            <w:r>
              <w:rPr>
                <w:rFonts w:hint="eastAsia" w:ascii="仿宋" w:hAnsi="仿宋" w:eastAsia="仿宋" w:cs="仿宋"/>
                <w:highlight w:val="none"/>
                <w:lang w:val="en-US" w:eastAsia="zh-CN"/>
              </w:rPr>
              <w:t>柯芳</w:t>
            </w:r>
            <w:r>
              <w:rPr>
                <w:rFonts w:hint="eastAsia" w:ascii="仿宋" w:hAnsi="仿宋" w:eastAsia="仿宋" w:cs="仿宋"/>
                <w:highlight w:val="none"/>
              </w:rPr>
              <w:t xml:space="preserve">     联系电话：</w:t>
            </w:r>
            <w:r>
              <w:rPr>
                <w:rFonts w:hint="eastAsia" w:ascii="仿宋" w:hAnsi="仿宋" w:eastAsia="仿宋" w:cs="仿宋"/>
                <w:highlight w:val="none"/>
                <w:lang w:val="en-US" w:eastAsia="zh-CN"/>
              </w:rPr>
              <w:t>13545556695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1.1.4</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6013" w:type="dxa"/>
            <w:vAlign w:val="center"/>
          </w:tcPr>
          <w:p>
            <w:pPr>
              <w:snapToGrid w:val="0"/>
              <w:rPr>
                <w:rFonts w:hint="eastAsia" w:ascii="仿宋" w:hAnsi="仿宋" w:eastAsia="仿宋" w:cs="仿宋"/>
                <w:kern w:val="0"/>
                <w:szCs w:val="21"/>
                <w:highlight w:val="none"/>
                <w:lang w:eastAsia="zh-CN"/>
              </w:rPr>
            </w:pPr>
            <w:r>
              <w:rPr>
                <w:rFonts w:hint="eastAsia" w:ascii="仿宋" w:hAnsi="仿宋" w:eastAsia="仿宋" w:cs="仿宋"/>
                <w:highlight w:val="none"/>
                <w:lang w:eastAsia="zh-CN"/>
              </w:rPr>
              <w:t>陈贵镇养老服务综合体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1.1.5</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建设地点</w:t>
            </w:r>
          </w:p>
        </w:tc>
        <w:tc>
          <w:tcPr>
            <w:tcW w:w="6013" w:type="dxa"/>
            <w:vAlign w:val="center"/>
          </w:tcPr>
          <w:p>
            <w:pPr>
              <w:snapToGrid w:val="0"/>
              <w:rPr>
                <w:rFonts w:hint="default" w:ascii="仿宋" w:hAnsi="仿宋" w:eastAsia="仿宋" w:cs="仿宋"/>
                <w:kern w:val="0"/>
                <w:szCs w:val="21"/>
                <w:highlight w:val="none"/>
                <w:lang w:val="en-US" w:eastAsia="zh-CN"/>
              </w:rPr>
            </w:pPr>
            <w:r>
              <w:rPr>
                <w:rFonts w:hint="eastAsia" w:ascii="仿宋" w:hAnsi="仿宋" w:eastAsia="仿宋" w:cs="仿宋"/>
                <w:highlight w:val="none"/>
                <w:lang w:eastAsia="zh-CN"/>
              </w:rPr>
              <w:t>大冶市陈贵镇刘家畈村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1.2.1</w:t>
            </w:r>
          </w:p>
        </w:tc>
        <w:tc>
          <w:tcPr>
            <w:tcW w:w="2126" w:type="dxa"/>
            <w:vAlign w:val="center"/>
          </w:tcPr>
          <w:p>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资金来源</w:t>
            </w:r>
          </w:p>
        </w:tc>
        <w:tc>
          <w:tcPr>
            <w:tcW w:w="6013" w:type="dxa"/>
            <w:vAlign w:val="center"/>
          </w:tcPr>
          <w:p>
            <w:pPr>
              <w:snapToGrid w:val="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上级补助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1.2.2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出资比例</w:t>
            </w:r>
          </w:p>
        </w:tc>
        <w:tc>
          <w:tcPr>
            <w:tcW w:w="6013" w:type="dxa"/>
            <w:vAlign w:val="center"/>
          </w:tcPr>
          <w:p>
            <w:pPr>
              <w:snapToGrid w:val="0"/>
              <w:rPr>
                <w:rFonts w:ascii="仿宋" w:hAnsi="仿宋" w:eastAsia="仿宋" w:cs="仿宋"/>
                <w:highlight w:val="none"/>
              </w:rPr>
            </w:pPr>
            <w:r>
              <w:rPr>
                <w:rFonts w:hint="eastAsia" w:ascii="仿宋" w:hAnsi="仿宋" w:eastAsia="仿宋" w:cs="仿宋"/>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1.2.3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资金落实情况</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kern w:val="0"/>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1.3.1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招标范围</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kern w:val="0"/>
                <w:szCs w:val="21"/>
                <w:highlight w:val="none"/>
              </w:rPr>
              <w:t>施工设计图纸和工程量清单范围内全部内容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1.3.2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计划工期</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bCs/>
                <w:szCs w:val="21"/>
                <w:highlight w:val="none"/>
                <w:lang w:val="en-US" w:eastAsia="zh-CN"/>
              </w:rPr>
              <w:t>45日历天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1.3.3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质量要求</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kern w:val="0"/>
                <w:szCs w:val="21"/>
                <w:highlight w:val="none"/>
              </w:rPr>
              <w:t>符合设计要求，达到国家现行验收规范合格标准。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1.4.1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投标人资质条件、能力、信誉</w:t>
            </w:r>
          </w:p>
        </w:tc>
        <w:tc>
          <w:tcPr>
            <w:tcW w:w="6013" w:type="dxa"/>
          </w:tcPr>
          <w:p>
            <w:pPr>
              <w:snapToGrid w:val="0"/>
              <w:rPr>
                <w:rFonts w:ascii="仿宋" w:hAnsi="仿宋" w:eastAsia="仿宋" w:cs="仿宋"/>
                <w:bCs/>
                <w:highlight w:val="none"/>
              </w:rPr>
            </w:pPr>
            <w:r>
              <w:rPr>
                <w:rFonts w:hint="eastAsia" w:ascii="仿宋" w:hAnsi="仿宋" w:eastAsia="仿宋" w:cs="仿宋"/>
                <w:bCs/>
                <w:highlight w:val="none"/>
              </w:rPr>
              <w:t>资质条件：</w:t>
            </w:r>
            <w:bookmarkStart w:id="68" w:name="EBf0f6d3ef6edf4c48b6de35490f94d59a"/>
            <w:r>
              <w:rPr>
                <w:rFonts w:hint="eastAsia" w:ascii="仿宋" w:hAnsi="仿宋" w:eastAsia="仿宋" w:cs="仿宋"/>
                <w:bCs/>
                <w:szCs w:val="21"/>
                <w:highlight w:val="none"/>
              </w:rPr>
              <w:t>见本章附件</w:t>
            </w:r>
            <w:bookmarkEnd w:id="68"/>
          </w:p>
          <w:p>
            <w:pPr>
              <w:snapToGrid w:val="0"/>
              <w:rPr>
                <w:rFonts w:ascii="仿宋" w:hAnsi="仿宋" w:eastAsia="仿宋" w:cs="仿宋"/>
                <w:bCs/>
                <w:highlight w:val="none"/>
              </w:rPr>
            </w:pPr>
            <w:r>
              <w:rPr>
                <w:rFonts w:hint="eastAsia" w:ascii="仿宋" w:hAnsi="仿宋" w:eastAsia="仿宋" w:cs="仿宋"/>
                <w:bCs/>
                <w:highlight w:val="none"/>
              </w:rPr>
              <w:t>财务要求：</w:t>
            </w:r>
            <w:bookmarkStart w:id="69" w:name="EB6b38ba2261794b06b5e19ce598f53755"/>
            <w:r>
              <w:rPr>
                <w:rFonts w:hint="eastAsia" w:ascii="仿宋" w:hAnsi="仿宋" w:eastAsia="仿宋" w:cs="仿宋"/>
                <w:bCs/>
                <w:highlight w:val="none"/>
              </w:rPr>
              <w:t>见本章附件</w:t>
            </w:r>
            <w:bookmarkEnd w:id="69"/>
          </w:p>
          <w:p>
            <w:pPr>
              <w:snapToGrid w:val="0"/>
              <w:rPr>
                <w:rFonts w:ascii="仿宋" w:hAnsi="仿宋" w:eastAsia="仿宋" w:cs="仿宋"/>
                <w:bCs/>
                <w:highlight w:val="none"/>
              </w:rPr>
            </w:pPr>
            <w:r>
              <w:rPr>
                <w:rFonts w:hint="eastAsia" w:ascii="仿宋" w:hAnsi="仿宋" w:eastAsia="仿宋" w:cs="仿宋"/>
                <w:bCs/>
                <w:highlight w:val="none"/>
              </w:rPr>
              <w:t>信誉要求：</w:t>
            </w:r>
            <w:bookmarkStart w:id="70" w:name="EB8dea9690454a47debba76bbd25322a6f"/>
            <w:r>
              <w:rPr>
                <w:rFonts w:hint="eastAsia" w:ascii="仿宋" w:hAnsi="仿宋" w:eastAsia="仿宋" w:cs="仿宋"/>
                <w:bCs/>
                <w:szCs w:val="21"/>
                <w:highlight w:val="none"/>
              </w:rPr>
              <w:t>见本章附件</w:t>
            </w:r>
            <w:bookmarkEnd w:id="70"/>
          </w:p>
          <w:p>
            <w:pPr>
              <w:snapToGrid w:val="0"/>
              <w:rPr>
                <w:rFonts w:ascii="仿宋" w:hAnsi="仿宋" w:eastAsia="仿宋" w:cs="仿宋"/>
                <w:bCs/>
                <w:highlight w:val="none"/>
              </w:rPr>
            </w:pPr>
            <w:r>
              <w:rPr>
                <w:rFonts w:hint="eastAsia" w:ascii="仿宋" w:hAnsi="仿宋" w:eastAsia="仿宋" w:cs="仿宋"/>
                <w:bCs/>
                <w:highlight w:val="none"/>
              </w:rPr>
              <w:t>项目经理资格：</w:t>
            </w:r>
            <w:bookmarkStart w:id="71" w:name="EB5fd8932c598647c892b1628fce271400"/>
            <w:r>
              <w:rPr>
                <w:rFonts w:hint="eastAsia" w:ascii="仿宋" w:hAnsi="仿宋" w:eastAsia="仿宋" w:cs="仿宋"/>
                <w:bCs/>
                <w:szCs w:val="21"/>
                <w:highlight w:val="none"/>
              </w:rPr>
              <w:t>见本章附件</w:t>
            </w:r>
            <w:bookmarkEnd w:id="71"/>
          </w:p>
          <w:p>
            <w:pPr>
              <w:snapToGrid w:val="0"/>
              <w:ind w:firstLine="2"/>
              <w:rPr>
                <w:rFonts w:ascii="仿宋" w:hAnsi="仿宋" w:eastAsia="仿宋" w:cs="仿宋"/>
                <w:bCs/>
                <w:szCs w:val="21"/>
                <w:highlight w:val="none"/>
              </w:rPr>
            </w:pPr>
            <w:r>
              <w:rPr>
                <w:rFonts w:hint="eastAsia" w:ascii="仿宋" w:hAnsi="仿宋" w:eastAsia="仿宋" w:cs="仿宋"/>
                <w:bCs/>
                <w:highlight w:val="none"/>
              </w:rPr>
              <w:t>其他要求：</w:t>
            </w:r>
            <w:bookmarkStart w:id="72" w:name="EBf3d9deb4cbbd436ca17719efc0614c05"/>
            <w:r>
              <w:rPr>
                <w:rFonts w:hint="eastAsia" w:ascii="仿宋" w:hAnsi="仿宋" w:eastAsia="仿宋" w:cs="仿宋"/>
                <w:bCs/>
                <w:szCs w:val="21"/>
                <w:highlight w:val="none"/>
              </w:rPr>
              <w:t>见本章附件</w:t>
            </w:r>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1.4.2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是否接受联合体投标</w:t>
            </w:r>
          </w:p>
        </w:tc>
        <w:tc>
          <w:tcPr>
            <w:tcW w:w="6013" w:type="dxa"/>
            <w:vAlign w:val="center"/>
          </w:tcPr>
          <w:p>
            <w:pPr>
              <w:snapToGrid w:val="0"/>
              <w:rPr>
                <w:rFonts w:ascii="仿宋" w:hAnsi="仿宋" w:eastAsia="仿宋" w:cs="仿宋"/>
                <w:bCs/>
                <w:szCs w:val="21"/>
                <w:highlight w:val="none"/>
              </w:rPr>
            </w:pPr>
            <w:r>
              <w:rPr>
                <w:rFonts w:hint="eastAsia" w:ascii="仿宋" w:hAnsi="仿宋" w:eastAsia="仿宋" w:cs="仿宋"/>
                <w:bCs/>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1.9.1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踏勘现场</w:t>
            </w:r>
          </w:p>
        </w:tc>
        <w:tc>
          <w:tcPr>
            <w:tcW w:w="6013" w:type="dxa"/>
            <w:vAlign w:val="center"/>
          </w:tcPr>
          <w:p>
            <w:pPr>
              <w:spacing w:line="320" w:lineRule="exact"/>
              <w:rPr>
                <w:rFonts w:ascii="仿宋" w:hAnsi="仿宋" w:eastAsia="仿宋" w:cs="仿宋"/>
                <w:highlight w:val="none"/>
              </w:rPr>
            </w:pPr>
            <w:r>
              <w:rPr>
                <w:rFonts w:hint="eastAsia" w:ascii="仿宋" w:hAnsi="仿宋" w:eastAsia="仿宋" w:cs="仿宋"/>
                <w:szCs w:val="21"/>
              </w:rPr>
              <w:t>在开标前各投标人自行前往现场踏勘，并将施工现场踏勘标志性图片附到投标文件中，未按要求提供踏勘图片（彩色）的供应商作无效投标处理</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1.10</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分包</w:t>
            </w:r>
          </w:p>
        </w:tc>
        <w:tc>
          <w:tcPr>
            <w:tcW w:w="6013" w:type="dxa"/>
            <w:vAlign w:val="center"/>
          </w:tcPr>
          <w:p>
            <w:pPr>
              <w:pStyle w:val="22"/>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偏离</w:t>
            </w:r>
          </w:p>
        </w:tc>
        <w:tc>
          <w:tcPr>
            <w:tcW w:w="6013" w:type="dxa"/>
            <w:vAlign w:val="center"/>
          </w:tcPr>
          <w:p>
            <w:pPr>
              <w:pStyle w:val="22"/>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构成招标文件的其他材料</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工程量清单、设计施工图纸、</w:t>
            </w:r>
            <w:r>
              <w:rPr>
                <w:rFonts w:hint="eastAsia" w:ascii="仿宋" w:hAnsi="仿宋" w:eastAsia="仿宋" w:cs="仿宋"/>
                <w:bCs/>
                <w:szCs w:val="21"/>
                <w:highlight w:val="none"/>
              </w:rPr>
              <w:t>澄清</w:t>
            </w:r>
            <w:r>
              <w:rPr>
                <w:rFonts w:hint="eastAsia" w:ascii="仿宋" w:hAnsi="仿宋" w:eastAsia="仿宋" w:cs="仿宋"/>
                <w:szCs w:val="21"/>
                <w:highlight w:val="none"/>
              </w:rPr>
              <w:t>答</w:t>
            </w:r>
            <w:r>
              <w:rPr>
                <w:rFonts w:hint="eastAsia" w:ascii="仿宋" w:hAnsi="仿宋" w:eastAsia="仿宋" w:cs="仿宋"/>
                <w:bCs/>
                <w:szCs w:val="21"/>
                <w:highlight w:val="none"/>
              </w:rPr>
              <w:t>疑</w:t>
            </w:r>
            <w:r>
              <w:rPr>
                <w:rFonts w:hint="eastAsia" w:ascii="仿宋" w:hAnsi="仿宋" w:eastAsia="仿宋" w:cs="仿宋"/>
                <w:szCs w:val="21"/>
                <w:highlight w:val="none"/>
              </w:rPr>
              <w:t>、招标文件修改、招标补充文件等。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2.1.2</w:t>
            </w:r>
          </w:p>
        </w:tc>
        <w:tc>
          <w:tcPr>
            <w:tcW w:w="2126"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本工程的计税方法</w:t>
            </w:r>
          </w:p>
        </w:tc>
        <w:tc>
          <w:tcPr>
            <w:tcW w:w="6013" w:type="dxa"/>
            <w:vAlign w:val="center"/>
          </w:tcPr>
          <w:p>
            <w:pPr>
              <w:snapToGrid w:val="0"/>
              <w:rPr>
                <w:rFonts w:ascii="仿宋" w:hAnsi="仿宋" w:eastAsia="仿宋" w:cs="仿宋"/>
                <w:szCs w:val="21"/>
                <w:highlight w:val="none"/>
              </w:rPr>
            </w:pPr>
            <w:bookmarkStart w:id="73" w:name="EB1e47f003259e461d9842414eb67c564b"/>
            <w:r>
              <w:rPr>
                <w:rFonts w:hint="eastAsia" w:ascii="仿宋" w:hAnsi="仿宋" w:eastAsia="仿宋" w:cs="仿宋"/>
                <w:szCs w:val="21"/>
                <w:highlight w:val="none"/>
              </w:rPr>
              <w:t>☑一般计税方法 □简易计税方法</w:t>
            </w:r>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2.2.1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投标人要求澄清招标文件的截止时间</w:t>
            </w:r>
          </w:p>
        </w:tc>
        <w:tc>
          <w:tcPr>
            <w:tcW w:w="6013" w:type="dxa"/>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对招标文件有疑问的：递交投标文件截止时间 15 日前。</w:t>
            </w:r>
          </w:p>
          <w:p>
            <w:pPr>
              <w:snapToGrid w:val="0"/>
              <w:rPr>
                <w:rFonts w:ascii="仿宋" w:hAnsi="仿宋" w:eastAsia="仿宋" w:cs="仿宋"/>
                <w:szCs w:val="21"/>
                <w:highlight w:val="none"/>
              </w:rPr>
            </w:pPr>
            <w:r>
              <w:rPr>
                <w:rFonts w:hint="eastAsia" w:ascii="仿宋" w:hAnsi="仿宋" w:eastAsia="仿宋" w:cs="仿宋"/>
                <w:szCs w:val="21"/>
                <w:highlight w:val="none"/>
              </w:rPr>
              <w:t>对招标文件有异议的：递交投标文件截止时间 10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2.2.2</w:t>
            </w:r>
          </w:p>
        </w:tc>
        <w:tc>
          <w:tcPr>
            <w:tcW w:w="2126" w:type="dxa"/>
            <w:vAlign w:val="center"/>
          </w:tcPr>
          <w:p>
            <w:pPr>
              <w:snapToGrid w:val="0"/>
              <w:jc w:val="center"/>
              <w:rPr>
                <w:rFonts w:ascii="仿宋" w:hAnsi="仿宋" w:eastAsia="仿宋" w:cs="仿宋"/>
                <w:b/>
                <w:bCs/>
                <w:szCs w:val="21"/>
                <w:highlight w:val="none"/>
              </w:rPr>
            </w:pPr>
            <w:r>
              <w:rPr>
                <w:rFonts w:hint="eastAsia" w:ascii="仿宋" w:hAnsi="仿宋" w:eastAsia="仿宋" w:cs="仿宋"/>
                <w:szCs w:val="21"/>
                <w:highlight w:val="none"/>
              </w:rPr>
              <w:t>投标截止时间</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color w:val="auto"/>
                <w:szCs w:val="21"/>
                <w:highlight w:val="none"/>
              </w:rPr>
              <w:t>202</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00</w:t>
            </w:r>
            <w:r>
              <w:rPr>
                <w:rFonts w:hint="eastAsia" w:ascii="仿宋" w:hAnsi="仿宋" w:eastAsia="仿宋" w:cs="仿宋"/>
                <w:color w:val="auto"/>
                <w:szCs w:val="21"/>
                <w:highlight w:val="none"/>
              </w:rPr>
              <w:t>日</w:t>
            </w:r>
            <w:r>
              <w:rPr>
                <w:rFonts w:hint="eastAsia" w:ascii="仿宋" w:hAnsi="仿宋" w:eastAsia="仿宋" w:cs="仿宋"/>
                <w:color w:val="auto"/>
                <w:szCs w:val="21"/>
                <w:highlight w:val="none"/>
                <w:lang w:val="en-US" w:eastAsia="zh-CN"/>
              </w:rPr>
              <w:t>09</w:t>
            </w:r>
            <w:r>
              <w:rPr>
                <w:rFonts w:hint="eastAsia" w:ascii="仿宋" w:hAnsi="仿宋" w:eastAsia="仿宋" w:cs="仿宋"/>
                <w:color w:val="auto"/>
                <w:szCs w:val="21"/>
                <w:highlight w:val="none"/>
              </w:rPr>
              <w:t>时</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val="en-US" w:eastAsia="zh-CN"/>
              </w:rPr>
              <w:t>00</w:t>
            </w:r>
            <w:r>
              <w:rPr>
                <w:rFonts w:hint="eastAsia" w:ascii="仿宋" w:hAnsi="仿宋" w:eastAsia="仿宋" w:cs="仿宋"/>
                <w:color w:val="auto"/>
                <w:szCs w:val="21"/>
                <w:highlight w:val="none"/>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3.2.3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最高投标限价</w:t>
            </w:r>
          </w:p>
        </w:tc>
        <w:tc>
          <w:tcPr>
            <w:tcW w:w="6013" w:type="dxa"/>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最高投标限价：☑设定:</w:t>
            </w:r>
          </w:p>
          <w:p>
            <w:pPr>
              <w:snapToGrid w:val="0"/>
              <w:jc w:val="left"/>
              <w:rPr>
                <w:rFonts w:ascii="仿宋" w:hAnsi="仿宋" w:eastAsia="仿宋" w:cs="仿宋"/>
                <w:szCs w:val="21"/>
                <w:highlight w:val="none"/>
              </w:rPr>
            </w:pPr>
            <w:r>
              <w:rPr>
                <w:rFonts w:hint="eastAsia" w:ascii="仿宋" w:hAnsi="仿宋" w:eastAsia="仿宋" w:cs="仿宋"/>
                <w:szCs w:val="21"/>
                <w:highlight w:val="none"/>
              </w:rPr>
              <w:t>本工程投标最高限价：</w:t>
            </w:r>
            <w:r>
              <w:rPr>
                <w:rFonts w:hint="eastAsia" w:ascii="仿宋" w:hAnsi="仿宋" w:eastAsia="仿宋" w:cs="仿宋"/>
                <w:szCs w:val="21"/>
                <w:highlight w:val="none"/>
                <w:lang w:val="en-US" w:eastAsia="zh-CN"/>
              </w:rPr>
              <w:t>壹佰肆拾捌万伍仟捌佰肆拾捌元整</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1485848.00</w:t>
            </w:r>
            <w:r>
              <w:rPr>
                <w:rFonts w:hint="eastAsia" w:ascii="仿宋" w:hAnsi="仿宋" w:eastAsia="仿宋" w:cs="仿宋"/>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3.3.1</w:t>
            </w:r>
          </w:p>
        </w:tc>
        <w:tc>
          <w:tcPr>
            <w:tcW w:w="2126" w:type="dxa"/>
            <w:vAlign w:val="center"/>
          </w:tcPr>
          <w:p>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013" w:type="dxa"/>
            <w:vAlign w:val="center"/>
          </w:tcPr>
          <w:p>
            <w:pPr>
              <w:snapToGrid w:val="0"/>
              <w:rPr>
                <w:rFonts w:ascii="仿宋" w:hAnsi="仿宋" w:eastAsia="仿宋" w:cs="仿宋"/>
                <w:color w:val="auto"/>
                <w:szCs w:val="21"/>
                <w:highlight w:val="none"/>
              </w:rPr>
            </w:pPr>
            <w:r>
              <w:rPr>
                <w:rFonts w:hint="eastAsia" w:ascii="仿宋" w:hAnsi="仿宋" w:eastAsia="仿宋" w:cs="仿宋"/>
                <w:color w:val="auto"/>
                <w:szCs w:val="21"/>
                <w:highlight w:val="none"/>
              </w:rPr>
              <w:t>从投标截止时间起</w:t>
            </w:r>
            <w:r>
              <w:rPr>
                <w:rFonts w:hint="eastAsia" w:ascii="仿宋" w:hAnsi="仿宋" w:eastAsia="仿宋" w:cs="仿宋"/>
                <w:color w:val="auto"/>
                <w:szCs w:val="21"/>
                <w:highlight w:val="none"/>
                <w:u w:val="single"/>
              </w:rPr>
              <w:t>60</w:t>
            </w:r>
            <w:r>
              <w:rPr>
                <w:rFonts w:hint="eastAsia" w:ascii="仿宋" w:hAnsi="仿宋" w:eastAsia="仿宋" w:cs="仿宋"/>
                <w:color w:val="auto"/>
                <w:szCs w:val="21"/>
                <w:highlight w:val="none"/>
              </w:rPr>
              <w:t>天内有效</w:t>
            </w:r>
          </w:p>
        </w:tc>
      </w:tr>
      <w:bookmarkEnd w:id="4"/>
      <w:bookmarkEnd w:id="5"/>
      <w:bookmarkEnd w:id="6"/>
      <w:bookmarkEnd w:id="63"/>
      <w:bookmarkEnd w:id="64"/>
      <w:bookmark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3.3.2</w:t>
            </w:r>
          </w:p>
        </w:tc>
        <w:tc>
          <w:tcPr>
            <w:tcW w:w="2126" w:type="dxa"/>
            <w:vAlign w:val="center"/>
          </w:tcPr>
          <w:p>
            <w:pPr>
              <w:snapToGrid w:val="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lang w:val="en-US" w:eastAsia="zh-CN"/>
              </w:rPr>
              <w:t>缺陷责任期</w:t>
            </w:r>
          </w:p>
        </w:tc>
        <w:tc>
          <w:tcPr>
            <w:tcW w:w="6013" w:type="dxa"/>
            <w:vAlign w:val="center"/>
          </w:tcPr>
          <w:p>
            <w:pPr>
              <w:snapToGrid w:val="0"/>
              <w:rPr>
                <w:rFonts w:ascii="仿宋" w:hAnsi="仿宋" w:eastAsia="仿宋" w:cs="仿宋"/>
                <w:color w:val="auto"/>
                <w:szCs w:val="21"/>
                <w:highlight w:val="none"/>
              </w:rPr>
            </w:pPr>
            <w:r>
              <w:rPr>
                <w:rFonts w:hint="eastAsia" w:ascii="仿宋" w:hAnsi="仿宋" w:eastAsia="仿宋" w:cs="仿宋"/>
                <w:color w:val="auto"/>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3.4.1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投标保证金</w:t>
            </w:r>
          </w:p>
        </w:tc>
        <w:tc>
          <w:tcPr>
            <w:tcW w:w="6013" w:type="dxa"/>
            <w:vAlign w:val="center"/>
          </w:tcPr>
          <w:p>
            <w:pPr>
              <w:snapToGrid w:val="0"/>
              <w:rPr>
                <w:rFonts w:ascii="仿宋" w:hAnsi="仿宋" w:eastAsia="仿宋" w:cs="仿宋"/>
                <w:b/>
                <w:szCs w:val="21"/>
                <w:highlight w:val="none"/>
              </w:rPr>
            </w:pPr>
            <w:r>
              <w:rPr>
                <w:rFonts w:hint="eastAsia" w:ascii="仿宋" w:hAnsi="仿宋" w:eastAsia="仿宋" w:cs="仿宋"/>
                <w:highlight w:val="none"/>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3.5.2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近年财务状况的年份要求</w:t>
            </w:r>
          </w:p>
        </w:tc>
        <w:tc>
          <w:tcPr>
            <w:tcW w:w="6013" w:type="dxa"/>
            <w:vAlign w:val="center"/>
          </w:tcPr>
          <w:p>
            <w:pPr>
              <w:rPr>
                <w:rFonts w:ascii="仿宋" w:hAnsi="仿宋" w:eastAsia="仿宋" w:cs="仿宋"/>
                <w:szCs w:val="21"/>
                <w:highlight w:val="none"/>
              </w:rPr>
            </w:pPr>
            <w:r>
              <w:rPr>
                <w:rFonts w:hint="eastAsia" w:ascii="仿宋" w:hAnsi="仿宋" w:eastAsia="仿宋" w:cs="仿宋"/>
                <w:szCs w:val="21"/>
                <w:highlight w:val="none"/>
              </w:rPr>
              <w:t>投标人需提供202</w:t>
            </w:r>
            <w:r>
              <w:rPr>
                <w:rFonts w:hint="eastAsia" w:ascii="仿宋" w:hAnsi="仿宋" w:eastAsia="仿宋" w:cs="仿宋"/>
                <w:szCs w:val="21"/>
                <w:highlight w:val="none"/>
                <w:lang w:val="en-US" w:eastAsia="zh-CN"/>
              </w:rPr>
              <w:t>3或2024</w:t>
            </w:r>
            <w:r>
              <w:rPr>
                <w:rFonts w:hint="eastAsia" w:ascii="仿宋" w:hAnsi="仿宋" w:eastAsia="仿宋" w:cs="仿宋"/>
                <w:szCs w:val="21"/>
                <w:highlight w:val="none"/>
              </w:rPr>
              <w:t>年度的财务审计报告（如成立不足1年的公司无需提供）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3.6</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是否允许递交备选投标方案</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3.7.3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签字或盖章要求</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投标文件综合标、商务标，加盖单位公章，副本可以是正本的复印件；</w:t>
            </w:r>
            <w:r>
              <w:rPr>
                <w:rFonts w:hint="eastAsia" w:ascii="仿宋" w:hAnsi="仿宋" w:eastAsia="仿宋" w:cs="仿宋"/>
                <w:color w:val="auto"/>
                <w:szCs w:val="21"/>
                <w:highlight w:val="none"/>
              </w:rPr>
              <w:t>技术标按暗标要求签字盖公章。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3.7.4</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投标文件份数</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ascii="仿宋" w:hAnsi="仿宋" w:eastAsia="仿宋" w:cs="仿宋"/>
                <w:szCs w:val="21"/>
                <w:highlight w:val="none"/>
              </w:rPr>
              <w:t>纸质一式五份：正本一份，副本四份，副本可以是正本的复印件；投标函及投标函附录一份；</w:t>
            </w:r>
            <w:r>
              <w:rPr>
                <w:rFonts w:hint="eastAsia" w:ascii="仿宋" w:hAnsi="仿宋" w:eastAsia="仿宋" w:cs="仿宋"/>
                <w:szCs w:val="21"/>
                <w:highlight w:val="none"/>
              </w:rPr>
              <w:t>商务标电子版一份；投标人在唱标一览表中的报价、商务标中的报价及电子版中的报价必须一致，否则做无效投标处理。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3.7.5</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装订要求</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除技术标按暗标规定制作外，其它标书不得采用活页夹等可随时拆换的方式装订。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4.1.2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FF"/>
                <w:szCs w:val="21"/>
                <w:highlight w:val="none"/>
              </w:rPr>
            </w:pPr>
            <w:r>
              <w:rPr>
                <w:rFonts w:hint="eastAsia" w:ascii="仿宋" w:hAnsi="仿宋" w:eastAsia="仿宋" w:cs="仿宋"/>
                <w:color w:val="auto"/>
                <w:szCs w:val="21"/>
                <w:highlight w:val="none"/>
              </w:rPr>
              <w:t>封套上写明</w:t>
            </w:r>
          </w:p>
        </w:tc>
        <w:tc>
          <w:tcPr>
            <w:tcW w:w="60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 w:hAnsi="仿宋" w:eastAsia="仿宋" w:cs="仿宋"/>
                <w:color w:val="auto"/>
                <w:spacing w:val="-4"/>
                <w:szCs w:val="21"/>
                <w:highlight w:val="none"/>
                <w:lang w:val="en-US" w:eastAsia="zh-CN"/>
              </w:rPr>
            </w:pPr>
            <w:r>
              <w:rPr>
                <w:rFonts w:hint="eastAsia" w:ascii="仿宋" w:hAnsi="仿宋" w:eastAsia="仿宋" w:cs="仿宋"/>
                <w:color w:val="auto"/>
                <w:spacing w:val="-4"/>
                <w:szCs w:val="21"/>
                <w:highlight w:val="none"/>
                <w:lang w:val="zh-CN"/>
              </w:rPr>
              <w:t>招标人名称：</w:t>
            </w:r>
            <w:r>
              <w:rPr>
                <w:rFonts w:hint="eastAsia" w:ascii="仿宋" w:hAnsi="仿宋" w:eastAsia="仿宋" w:cs="仿宋"/>
                <w:color w:val="auto"/>
                <w:spacing w:val="-4"/>
                <w:szCs w:val="21"/>
                <w:highlight w:val="none"/>
                <w:lang w:val="zh-CN" w:eastAsia="zh-CN"/>
              </w:rPr>
              <w:t>大冶市陈贵镇</w:t>
            </w:r>
            <w:r>
              <w:rPr>
                <w:rFonts w:hint="eastAsia" w:ascii="仿宋" w:hAnsi="仿宋" w:eastAsia="仿宋" w:cs="仿宋"/>
                <w:color w:val="auto"/>
                <w:spacing w:val="-4"/>
                <w:szCs w:val="21"/>
                <w:highlight w:val="none"/>
                <w:lang w:val="en-US" w:eastAsia="zh-CN"/>
              </w:rPr>
              <w:t>刘家畈村村民委员会</w:t>
            </w:r>
          </w:p>
          <w:p>
            <w:pPr>
              <w:autoSpaceDE w:val="0"/>
              <w:autoSpaceDN w:val="0"/>
              <w:adjustRightInd w:val="0"/>
              <w:snapToGrid w:val="0"/>
              <w:rPr>
                <w:rFonts w:hint="eastAsia" w:ascii="仿宋" w:hAnsi="仿宋" w:eastAsia="仿宋" w:cs="仿宋"/>
                <w:color w:val="auto"/>
                <w:spacing w:val="-4"/>
                <w:szCs w:val="21"/>
                <w:highlight w:val="none"/>
                <w:lang w:val="zh-CN" w:eastAsia="zh-CN"/>
              </w:rPr>
            </w:pPr>
            <w:r>
              <w:rPr>
                <w:rFonts w:hint="eastAsia" w:ascii="仿宋" w:hAnsi="仿宋" w:eastAsia="仿宋" w:cs="仿宋"/>
                <w:color w:val="auto"/>
                <w:spacing w:val="-4"/>
                <w:szCs w:val="21"/>
                <w:highlight w:val="none"/>
                <w:lang w:val="zh-CN"/>
              </w:rPr>
              <w:t>招标人地址：</w:t>
            </w:r>
            <w:r>
              <w:rPr>
                <w:rFonts w:hint="eastAsia" w:ascii="仿宋" w:hAnsi="仿宋" w:eastAsia="仿宋" w:cs="仿宋"/>
                <w:color w:val="auto"/>
                <w:spacing w:val="-4"/>
                <w:szCs w:val="21"/>
                <w:highlight w:val="none"/>
                <w:lang w:val="zh-CN" w:eastAsia="zh-CN"/>
              </w:rPr>
              <w:t>大冶市陈贵镇刘家畈村</w:t>
            </w:r>
          </w:p>
          <w:p>
            <w:pPr>
              <w:autoSpaceDE w:val="0"/>
              <w:autoSpaceDN w:val="0"/>
              <w:adjustRightInd w:val="0"/>
              <w:snapToGrid w:val="0"/>
              <w:rPr>
                <w:rFonts w:hint="eastAsia" w:ascii="仿宋" w:hAnsi="仿宋" w:eastAsia="仿宋" w:cs="仿宋"/>
                <w:color w:val="auto"/>
                <w:spacing w:val="-4"/>
                <w:szCs w:val="21"/>
                <w:highlight w:val="none"/>
                <w:lang w:val="zh-CN"/>
              </w:rPr>
            </w:pPr>
            <w:r>
              <w:rPr>
                <w:rFonts w:hint="eastAsia" w:ascii="仿宋" w:hAnsi="仿宋" w:eastAsia="仿宋" w:cs="仿宋"/>
                <w:color w:val="auto"/>
                <w:spacing w:val="-4"/>
                <w:szCs w:val="21"/>
                <w:highlight w:val="none"/>
                <w:lang w:val="zh-CN" w:eastAsia="zh-CN"/>
              </w:rPr>
              <w:t>陈贵镇养老服务综合体</w:t>
            </w:r>
            <w:r>
              <w:rPr>
                <w:rFonts w:hint="eastAsia" w:ascii="仿宋" w:hAnsi="仿宋" w:eastAsia="仿宋" w:cs="仿宋"/>
                <w:color w:val="auto"/>
                <w:spacing w:val="-4"/>
                <w:szCs w:val="21"/>
                <w:highlight w:val="none"/>
                <w:lang w:val="zh-CN"/>
              </w:rPr>
              <w:t>投标文件</w:t>
            </w:r>
          </w:p>
          <w:p>
            <w:pPr>
              <w:autoSpaceDE w:val="0"/>
              <w:autoSpaceDN w:val="0"/>
              <w:adjustRightInd w:val="0"/>
              <w:snapToGrid w:val="0"/>
              <w:rPr>
                <w:rFonts w:hint="eastAsia" w:ascii="仿宋" w:hAnsi="仿宋" w:eastAsia="仿宋" w:cs="仿宋"/>
                <w:color w:val="0000FF"/>
                <w:spacing w:val="-4"/>
                <w:szCs w:val="21"/>
                <w:highlight w:val="none"/>
                <w:lang w:val="zh-CN"/>
              </w:rPr>
            </w:pPr>
            <w:r>
              <w:rPr>
                <w:rFonts w:hint="eastAsia" w:ascii="仿宋" w:hAnsi="仿宋" w:eastAsia="仿宋" w:cs="仿宋"/>
                <w:color w:val="auto"/>
                <w:spacing w:val="-4"/>
                <w:szCs w:val="21"/>
                <w:highlight w:val="none"/>
                <w:lang w:val="zh-CN"/>
              </w:rPr>
              <w:t>在202</w:t>
            </w:r>
            <w:r>
              <w:rPr>
                <w:rFonts w:hint="eastAsia" w:ascii="仿宋" w:hAnsi="仿宋" w:eastAsia="仿宋" w:cs="仿宋"/>
                <w:color w:val="auto"/>
                <w:spacing w:val="-4"/>
                <w:szCs w:val="21"/>
                <w:highlight w:val="none"/>
                <w:lang w:val="en-US" w:eastAsia="zh-CN"/>
              </w:rPr>
              <w:t>5</w:t>
            </w:r>
            <w:r>
              <w:rPr>
                <w:rFonts w:hint="eastAsia" w:ascii="仿宋" w:hAnsi="仿宋" w:eastAsia="仿宋" w:cs="仿宋"/>
                <w:color w:val="auto"/>
                <w:spacing w:val="-4"/>
                <w:szCs w:val="21"/>
                <w:highlight w:val="none"/>
                <w:lang w:val="zh-CN"/>
              </w:rPr>
              <w:t>年  月  日  时   分前不得开启（加盖公章）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4.2.2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递交投标文件地点</w:t>
            </w:r>
          </w:p>
        </w:tc>
        <w:tc>
          <w:tcPr>
            <w:tcW w:w="60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rPr>
              <w:t>大冶市农村综合产权交易中心（湖北省大冶市七里界国际金融中心二楼开标室）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4.2.3</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是否退还投标文件</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5.1</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开标时间和地点</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开标时间：即投标截止时间</w:t>
            </w:r>
          </w:p>
          <w:p>
            <w:pPr>
              <w:snapToGrid w:val="0"/>
              <w:rPr>
                <w:rFonts w:ascii="仿宋" w:hAnsi="仿宋" w:eastAsia="仿宋" w:cs="仿宋"/>
                <w:szCs w:val="21"/>
                <w:highlight w:val="none"/>
              </w:rPr>
            </w:pPr>
            <w:r>
              <w:rPr>
                <w:rFonts w:hint="eastAsia" w:ascii="仿宋" w:hAnsi="仿宋" w:eastAsia="仿宋" w:cs="仿宋"/>
                <w:szCs w:val="21"/>
                <w:highlight w:val="none"/>
              </w:rPr>
              <w:t>开标地点：</w:t>
            </w:r>
            <w:r>
              <w:rPr>
                <w:rFonts w:hint="eastAsia" w:ascii="仿宋" w:hAnsi="仿宋" w:eastAsia="仿宋" w:cs="仿宋"/>
                <w:spacing w:val="-4"/>
                <w:szCs w:val="21"/>
                <w:highlight w:val="none"/>
                <w:lang w:val="zh-CN"/>
              </w:rPr>
              <w:t>同递交投标文件地点一致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5.2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开标程序</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密封情况检查：投标人代表检查投标文件是否密封、是否按要求盖章</w:t>
            </w:r>
          </w:p>
          <w:p>
            <w:pPr>
              <w:snapToGrid w:val="0"/>
              <w:rPr>
                <w:rFonts w:ascii="仿宋" w:hAnsi="仿宋" w:eastAsia="仿宋" w:cs="仿宋"/>
                <w:szCs w:val="21"/>
                <w:highlight w:val="none"/>
              </w:rPr>
            </w:pPr>
            <w:r>
              <w:rPr>
                <w:rFonts w:hint="eastAsia" w:ascii="仿宋" w:hAnsi="仿宋" w:eastAsia="仿宋" w:cs="仿宋"/>
                <w:szCs w:val="21"/>
                <w:highlight w:val="none"/>
              </w:rPr>
              <w:t>开标顺序：按投标人签到的逆序依次唱标</w:t>
            </w:r>
          </w:p>
          <w:p>
            <w:pPr>
              <w:snapToGrid w:val="0"/>
              <w:rPr>
                <w:rFonts w:ascii="仿宋" w:hAnsi="仿宋" w:eastAsia="仿宋" w:cs="仿宋"/>
                <w:szCs w:val="21"/>
                <w:highlight w:val="none"/>
              </w:rPr>
            </w:pPr>
            <w:r>
              <w:rPr>
                <w:rFonts w:hint="eastAsia" w:ascii="仿宋" w:hAnsi="仿宋" w:eastAsia="仿宋" w:cs="仿宋"/>
                <w:szCs w:val="21"/>
                <w:highlight w:val="none"/>
              </w:rPr>
              <w:t>公布本项目的最高限价</w:t>
            </w:r>
            <w:r>
              <w:rPr>
                <w:rFonts w:hint="eastAsia" w:ascii="仿宋" w:hAnsi="仿宋" w:eastAsia="仿宋" w:cs="仿宋"/>
                <w:highlight w:val="none"/>
              </w:rPr>
              <w:t>，</w:t>
            </w:r>
            <w:r>
              <w:rPr>
                <w:rFonts w:hint="eastAsia" w:ascii="仿宋" w:hAnsi="仿宋" w:eastAsia="仿宋" w:cs="仿宋"/>
                <w:szCs w:val="21"/>
                <w:highlight w:val="none"/>
              </w:rPr>
              <w:t>抽取F值1-3的整数。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6.1.1</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评标委员会的组建</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pacing w:val="-4"/>
                <w:szCs w:val="21"/>
                <w:highlight w:val="none"/>
              </w:rPr>
            </w:pPr>
            <w:r>
              <w:rPr>
                <w:rFonts w:hint="eastAsia" w:ascii="仿宋" w:hAnsi="仿宋" w:eastAsia="仿宋" w:cs="仿宋"/>
                <w:spacing w:val="-4"/>
                <w:szCs w:val="21"/>
                <w:highlight w:val="none"/>
              </w:rPr>
              <w:t>评标委员会构成：5人，其中招标人代表1人，专家4人；</w:t>
            </w:r>
          </w:p>
          <w:p>
            <w:pPr>
              <w:snapToGrid w:val="0"/>
              <w:rPr>
                <w:rFonts w:ascii="仿宋" w:hAnsi="仿宋" w:eastAsia="仿宋" w:cs="仿宋"/>
                <w:szCs w:val="21"/>
                <w:highlight w:val="none"/>
              </w:rPr>
            </w:pPr>
            <w:r>
              <w:rPr>
                <w:rFonts w:hint="eastAsia" w:ascii="仿宋" w:hAnsi="仿宋" w:eastAsia="仿宋" w:cs="仿宋"/>
                <w:spacing w:val="-4"/>
                <w:szCs w:val="21"/>
                <w:highlight w:val="none"/>
              </w:rPr>
              <w:t>评标专家确定方式：除招标人代表外，其它专家从省或市县级综合评标专家库相应专业中随机抽取产生。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7.1</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是否授权评标委员会确定中标人</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7.2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中标候选人公示</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招标人收到书面评标报告后3日内公示中标候选人，中标候选人公示在云上大冶聚焦三农模块上发布，公示期不少于3日。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9.5</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监督部门</w:t>
            </w:r>
          </w:p>
        </w:tc>
        <w:tc>
          <w:tcPr>
            <w:tcW w:w="6013"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highlight w:val="none"/>
              </w:rPr>
            </w:pPr>
            <w:r>
              <w:rPr>
                <w:rFonts w:hint="eastAsia" w:ascii="仿宋" w:hAnsi="仿宋" w:eastAsia="仿宋" w:cs="仿宋"/>
                <w:szCs w:val="21"/>
                <w:highlight w:val="none"/>
              </w:rPr>
              <w:t>名称：大冶市农村综合产权交易中心</w:t>
            </w:r>
          </w:p>
          <w:p>
            <w:pPr>
              <w:snapToGrid w:val="0"/>
              <w:rPr>
                <w:rFonts w:ascii="仿宋" w:hAnsi="仿宋" w:eastAsia="仿宋" w:cs="仿宋"/>
                <w:szCs w:val="21"/>
                <w:highlight w:val="none"/>
              </w:rPr>
            </w:pPr>
            <w:r>
              <w:rPr>
                <w:rFonts w:hint="eastAsia" w:ascii="仿宋" w:hAnsi="仿宋" w:eastAsia="仿宋" w:cs="仿宋"/>
                <w:szCs w:val="21"/>
                <w:highlight w:val="none"/>
              </w:rPr>
              <w:t>地址：大冶市农村综合产权交易中心（大冶市七里界国际金融中心二楼）电话：0714-8759369</w:t>
            </w:r>
          </w:p>
          <w:p>
            <w:pPr>
              <w:snapToGrid w:val="0"/>
              <w:rPr>
                <w:rFonts w:ascii="仿宋" w:hAnsi="仿宋" w:eastAsia="仿宋" w:cs="仿宋"/>
                <w:szCs w:val="21"/>
                <w:highlight w:val="none"/>
              </w:rPr>
            </w:pPr>
            <w:r>
              <w:rPr>
                <w:rFonts w:hint="eastAsia" w:ascii="仿宋" w:hAnsi="仿宋" w:eastAsia="仿宋" w:cs="仿宋"/>
                <w:szCs w:val="21"/>
                <w:highlight w:val="none"/>
              </w:rPr>
              <w:t>传真：0714-8759369</w:t>
            </w:r>
          </w:p>
          <w:p>
            <w:pPr>
              <w:snapToGrid w:val="0"/>
              <w:rPr>
                <w:rFonts w:ascii="仿宋" w:hAnsi="仿宋" w:eastAsia="仿宋" w:cs="仿宋"/>
                <w:szCs w:val="21"/>
                <w:highlight w:val="none"/>
              </w:rPr>
            </w:pPr>
            <w:r>
              <w:rPr>
                <w:rFonts w:hint="eastAsia" w:ascii="仿宋" w:hAnsi="仿宋" w:eastAsia="仿宋" w:cs="仿宋"/>
                <w:szCs w:val="21"/>
                <w:highlight w:val="none"/>
              </w:rPr>
              <w:t>邮政编码：435100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10</w:t>
            </w:r>
          </w:p>
        </w:tc>
        <w:tc>
          <w:tcPr>
            <w:tcW w:w="8139" w:type="dxa"/>
            <w:gridSpan w:val="2"/>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10.1</w:t>
            </w:r>
          </w:p>
        </w:tc>
        <w:tc>
          <w:tcPr>
            <w:tcW w:w="2126" w:type="dxa"/>
            <w:vAlign w:val="center"/>
          </w:tcPr>
          <w:p>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本项目招标代理费</w:t>
            </w:r>
          </w:p>
        </w:tc>
        <w:tc>
          <w:tcPr>
            <w:tcW w:w="6013" w:type="dxa"/>
            <w:vAlign w:val="center"/>
          </w:tcPr>
          <w:p>
            <w:pPr>
              <w:widowControl/>
              <w:adjustRightInd w:val="0"/>
              <w:snapToGrid w:val="0"/>
              <w:spacing w:beforeAutospacing="1" w:afterAutospacing="1"/>
              <w:jc w:val="left"/>
              <w:rPr>
                <w:rFonts w:ascii="仿宋" w:hAnsi="仿宋" w:eastAsia="仿宋" w:cs="仿宋"/>
                <w:szCs w:val="21"/>
                <w:highlight w:val="none"/>
              </w:rPr>
            </w:pPr>
            <w:r>
              <w:rPr>
                <w:rFonts w:hint="eastAsia" w:ascii="仿宋" w:hAnsi="仿宋" w:eastAsia="仿宋" w:cs="仿宋"/>
                <w:bCs/>
                <w:color w:val="auto"/>
                <w:kern w:val="0"/>
                <w:szCs w:val="21"/>
              </w:rPr>
              <w:t>本项目招标代理服务费按照《招标代理服务收费管理暂行办法》计价格</w:t>
            </w:r>
            <w:r>
              <w:rPr>
                <w:rFonts w:hint="eastAsia" w:ascii="仿宋" w:hAnsi="仿宋" w:eastAsia="仿宋" w:cs="仿宋"/>
                <w:bCs/>
                <w:color w:val="auto"/>
                <w:kern w:val="0"/>
                <w:szCs w:val="21"/>
                <w:lang w:val="en-US" w:eastAsia="zh-CN"/>
              </w:rPr>
              <w:t>〔2002〕</w:t>
            </w:r>
            <w:r>
              <w:rPr>
                <w:rFonts w:hint="eastAsia" w:ascii="仿宋" w:hAnsi="仿宋" w:eastAsia="仿宋" w:cs="仿宋"/>
                <w:bCs/>
                <w:color w:val="auto"/>
                <w:kern w:val="0"/>
                <w:szCs w:val="21"/>
              </w:rPr>
              <w:t>1980号文和发改价格</w:t>
            </w:r>
            <w:r>
              <w:rPr>
                <w:rFonts w:hint="eastAsia" w:ascii="仿宋" w:hAnsi="仿宋" w:eastAsia="仿宋" w:cs="仿宋"/>
                <w:bCs/>
                <w:color w:val="auto"/>
                <w:kern w:val="0"/>
                <w:szCs w:val="21"/>
                <w:lang w:val="en-US" w:eastAsia="zh-CN"/>
              </w:rPr>
              <w:t>〔2011〕</w:t>
            </w:r>
            <w:r>
              <w:rPr>
                <w:rFonts w:hint="eastAsia" w:ascii="仿宋" w:hAnsi="仿宋" w:eastAsia="仿宋" w:cs="仿宋"/>
                <w:bCs/>
                <w:color w:val="auto"/>
                <w:kern w:val="0"/>
                <w:szCs w:val="21"/>
              </w:rPr>
              <w:t>534号收取，由中标人在领取中标通知书前一次性支付。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10.2</w:t>
            </w:r>
          </w:p>
        </w:tc>
        <w:tc>
          <w:tcPr>
            <w:tcW w:w="2126" w:type="dxa"/>
            <w:vAlign w:val="center"/>
          </w:tcPr>
          <w:p>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工农关系</w:t>
            </w:r>
          </w:p>
        </w:tc>
        <w:tc>
          <w:tcPr>
            <w:tcW w:w="6013" w:type="dxa"/>
          </w:tcPr>
          <w:p>
            <w:pPr>
              <w:autoSpaceDE w:val="0"/>
              <w:autoSpaceDN w:val="0"/>
              <w:adjustRightInd w:val="0"/>
              <w:snapToGrid w:val="0"/>
              <w:jc w:val="left"/>
              <w:rPr>
                <w:rFonts w:ascii="仿宋" w:hAnsi="仿宋" w:eastAsia="仿宋" w:cs="仿宋"/>
                <w:snapToGrid w:val="0"/>
                <w:szCs w:val="21"/>
                <w:highlight w:val="none"/>
              </w:rPr>
            </w:pPr>
            <w:r>
              <w:rPr>
                <w:rFonts w:hint="eastAsia" w:ascii="仿宋" w:hAnsi="仿宋" w:eastAsia="仿宋" w:cs="仿宋"/>
                <w:szCs w:val="21"/>
                <w:highlight w:val="none"/>
              </w:rPr>
              <w:t>涉及各标段范围内的施工工农关系协调由中标人负责，招标人不承担由此引起的任何费用及责任。(提供承诺书，详见附件2）（提供承诺书）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2" w:type="dxa"/>
            <w:vAlign w:val="center"/>
          </w:tcPr>
          <w:p>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10.3</w:t>
            </w:r>
          </w:p>
        </w:tc>
        <w:tc>
          <w:tcPr>
            <w:tcW w:w="2126" w:type="dxa"/>
            <w:vAlign w:val="center"/>
          </w:tcPr>
          <w:p>
            <w:pPr>
              <w:widowControl/>
              <w:adjustRightInd w:val="0"/>
              <w:snapToGrid w:val="0"/>
              <w:spacing w:beforeAutospacing="1" w:afterAutospacing="1" w:line="500" w:lineRule="exact"/>
              <w:jc w:val="center"/>
              <w:rPr>
                <w:rFonts w:ascii="仿宋" w:hAnsi="仿宋" w:eastAsia="仿宋" w:cs="仿宋"/>
                <w:b/>
                <w:bCs/>
                <w:color w:val="auto"/>
                <w:szCs w:val="21"/>
                <w:highlight w:val="none"/>
              </w:rPr>
            </w:pPr>
            <w:r>
              <w:rPr>
                <w:rFonts w:hint="eastAsia" w:ascii="仿宋" w:hAnsi="仿宋" w:eastAsia="仿宋" w:cs="仿宋"/>
                <w:bCs/>
                <w:color w:val="auto"/>
                <w:kern w:val="0"/>
                <w:szCs w:val="21"/>
                <w:highlight w:val="none"/>
                <w:lang w:bidi="ar"/>
              </w:rPr>
              <w:t>拟投入管理人员要求</w:t>
            </w:r>
          </w:p>
        </w:tc>
        <w:tc>
          <w:tcPr>
            <w:tcW w:w="6013" w:type="dxa"/>
            <w:vAlign w:val="center"/>
          </w:tcPr>
          <w:p>
            <w:pPr>
              <w:widowControl/>
              <w:adjustRightInd w:val="0"/>
              <w:snapToGrid w:val="0"/>
              <w:spacing w:beforeAutospacing="1" w:afterAutospacing="1"/>
              <w:jc w:val="left"/>
              <w:rPr>
                <w:rFonts w:ascii="仿宋" w:hAnsi="仿宋" w:eastAsia="仿宋" w:cs="仿宋"/>
                <w:b/>
                <w:bCs/>
                <w:color w:val="auto"/>
                <w:szCs w:val="21"/>
                <w:highlight w:val="none"/>
              </w:rPr>
            </w:pPr>
            <w:r>
              <w:rPr>
                <w:rFonts w:hint="eastAsia" w:ascii="仿宋" w:hAnsi="仿宋" w:eastAsia="仿宋" w:cs="仿宋"/>
                <w:bCs/>
                <w:color w:val="auto"/>
                <w:kern w:val="0"/>
                <w:szCs w:val="21"/>
                <w:highlight w:val="none"/>
                <w:lang w:bidi="ar"/>
              </w:rPr>
              <w:t>中标单位：本项目中标后拟派往的项目经理、技术负责人、五大员必须长期入驻施工现场，并附有相关承诺。（提供承诺书）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932" w:type="dxa"/>
            <w:vAlign w:val="center"/>
          </w:tcPr>
          <w:p>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10.4</w:t>
            </w:r>
          </w:p>
        </w:tc>
        <w:tc>
          <w:tcPr>
            <w:tcW w:w="2126" w:type="dxa"/>
            <w:vAlign w:val="center"/>
          </w:tcPr>
          <w:p>
            <w:pPr>
              <w:widowControl/>
              <w:adjustRightInd w:val="0"/>
              <w:snapToGrid w:val="0"/>
              <w:spacing w:beforeAutospacing="1" w:afterAutospacing="1" w:line="500" w:lineRule="exact"/>
              <w:jc w:val="center"/>
              <w:rPr>
                <w:rFonts w:ascii="仿宋" w:hAnsi="仿宋" w:eastAsia="仿宋" w:cs="仿宋"/>
                <w:bCs/>
                <w:kern w:val="0"/>
                <w:szCs w:val="21"/>
                <w:highlight w:val="none"/>
                <w:lang w:bidi="ar"/>
              </w:rPr>
            </w:pPr>
            <w:r>
              <w:rPr>
                <w:rFonts w:hint="eastAsia" w:ascii="仿宋" w:hAnsi="仿宋" w:eastAsia="仿宋" w:cs="仿宋"/>
                <w:bCs/>
                <w:kern w:val="0"/>
                <w:szCs w:val="21"/>
                <w:highlight w:val="none"/>
                <w:lang w:bidi="ar"/>
              </w:rPr>
              <w:t>清单制作说明</w:t>
            </w:r>
          </w:p>
        </w:tc>
        <w:tc>
          <w:tcPr>
            <w:tcW w:w="6013" w:type="dxa"/>
            <w:vAlign w:val="center"/>
          </w:tcPr>
          <w:p>
            <w:pPr>
              <w:pStyle w:val="2"/>
              <w:keepNext w:val="0"/>
              <w:keepLines w:val="0"/>
              <w:pageBreakBefore w:val="0"/>
              <w:widowControl w:val="0"/>
              <w:kinsoku/>
              <w:wordWrap w:val="0"/>
              <w:overflowPunct/>
              <w:topLinePunct w:val="0"/>
              <w:autoSpaceDE/>
              <w:autoSpaceDN/>
              <w:bidi w:val="0"/>
              <w:adjustRightInd/>
              <w:snapToGrid/>
              <w:spacing w:beforeAutospacing="0" w:afterAutospacing="0"/>
              <w:jc w:val="left"/>
              <w:textAlignment w:val="auto"/>
              <w:rPr>
                <w:highlight w:val="none"/>
              </w:rPr>
            </w:pPr>
            <w:r>
              <w:rPr>
                <w:rFonts w:hint="eastAsia" w:ascii="仿宋" w:hAnsi="仿宋" w:eastAsia="仿宋" w:cs="仿宋"/>
                <w:bCs/>
                <w:color w:val="auto"/>
                <w:kern w:val="0"/>
                <w:sz w:val="21"/>
                <w:szCs w:val="21"/>
                <w:highlight w:val="none"/>
                <w:lang w:val="en-US" w:eastAsia="zh-CN" w:bidi="ar"/>
              </w:rPr>
              <w:t>潜在投标人必须使用本单位品茗造价软件锁制作商务标并生成评标格式文件（大冶三农格式*.SNTB），U盘存储且不得设置密码。如未按规定格式和要求制作提交，导致不能导入清标系统清标评审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932" w:type="dxa"/>
            <w:vAlign w:val="center"/>
          </w:tcPr>
          <w:p>
            <w:pPr>
              <w:widowControl/>
              <w:snapToGrid w:val="0"/>
              <w:spacing w:beforeAutospacing="1" w:afterAutospacing="1" w:line="500" w:lineRule="exact"/>
              <w:jc w:val="center"/>
              <w:rPr>
                <w:rFonts w:hint="default" w:ascii="仿宋" w:hAnsi="仿宋" w:eastAsia="仿宋" w:cs="仿宋"/>
                <w:szCs w:val="21"/>
                <w:highlight w:val="none"/>
                <w:lang w:val="en-US" w:eastAsia="zh-CN"/>
              </w:rPr>
            </w:pPr>
            <w:bookmarkStart w:id="74" w:name="_Toc499378956"/>
            <w:bookmarkStart w:id="75" w:name="_Toc499378834"/>
            <w:r>
              <w:rPr>
                <w:rFonts w:hint="eastAsia" w:ascii="仿宋" w:hAnsi="仿宋" w:eastAsia="仿宋" w:cs="仿宋"/>
                <w:szCs w:val="21"/>
                <w:highlight w:val="none"/>
                <w:lang w:val="en-US" w:eastAsia="zh-CN"/>
              </w:rPr>
              <w:t>10.5</w:t>
            </w:r>
          </w:p>
        </w:tc>
        <w:tc>
          <w:tcPr>
            <w:tcW w:w="2126" w:type="dxa"/>
            <w:vAlign w:val="center"/>
          </w:tcPr>
          <w:p>
            <w:pPr>
              <w:widowControl/>
              <w:adjustRightInd w:val="0"/>
              <w:snapToGrid w:val="0"/>
              <w:spacing w:beforeAutospacing="1" w:afterAutospacing="1" w:line="500" w:lineRule="exact"/>
              <w:jc w:val="center"/>
              <w:rPr>
                <w:rFonts w:hint="eastAsia" w:ascii="仿宋" w:hAnsi="仿宋" w:eastAsia="仿宋" w:cs="仿宋"/>
                <w:bCs/>
                <w:color w:val="C00000"/>
                <w:kern w:val="0"/>
                <w:szCs w:val="21"/>
                <w:highlight w:val="yellow"/>
                <w:lang w:val="en-US" w:eastAsia="zh-CN" w:bidi="ar"/>
              </w:rPr>
            </w:pPr>
            <w:r>
              <w:rPr>
                <w:rFonts w:hint="eastAsia" w:ascii="仿宋" w:hAnsi="仿宋" w:eastAsia="仿宋" w:cs="仿宋"/>
                <w:bCs/>
                <w:color w:val="auto"/>
                <w:kern w:val="0"/>
                <w:szCs w:val="21"/>
                <w:highlight w:val="none"/>
                <w:lang w:val="en-US" w:eastAsia="zh-CN" w:bidi="ar"/>
              </w:rPr>
              <w:t>付款方式</w:t>
            </w:r>
          </w:p>
        </w:tc>
        <w:tc>
          <w:tcPr>
            <w:tcW w:w="6013"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hint="eastAsia" w:ascii="仿宋" w:hAnsi="仿宋" w:eastAsia="仿宋" w:cs="仿宋"/>
                <w:bCs/>
                <w:color w:val="C00000"/>
                <w:kern w:val="0"/>
                <w:szCs w:val="21"/>
                <w:highlight w:val="yellow"/>
                <w:lang w:val="en-US" w:eastAsia="zh-CN" w:bidi="ar"/>
              </w:rPr>
            </w:pPr>
            <w:r>
              <w:rPr>
                <w:rFonts w:hint="eastAsia" w:ascii="仿宋" w:hAnsi="仿宋" w:eastAsia="仿宋" w:cs="仿宋"/>
                <w:color w:val="000000" w:themeColor="text1"/>
                <w:sz w:val="21"/>
                <w:szCs w:val="21"/>
                <w:highlight w:val="none"/>
                <w:shd w:val="clear"/>
                <w:lang w:eastAsia="zh-CN"/>
                <w14:textFill>
                  <w14:solidFill>
                    <w14:schemeClr w14:val="tx1"/>
                  </w14:solidFill>
                </w14:textFill>
              </w:rPr>
              <w:t>本项目不支付工程预付款。竣工验收合格后支付至合同价款的80%；经第三方中介机构审定，并经甲方认定后支付至审定价的98.5%，余款1.5%作为质保金，质保期满经甲方组织无缺陷验收合格后支付余下质保金。（具体以双方签合同为准）</w:t>
            </w:r>
          </w:p>
        </w:tc>
      </w:tr>
    </w:tbl>
    <w:p>
      <w:pPr>
        <w:pStyle w:val="4"/>
        <w:tabs>
          <w:tab w:val="left" w:pos="567"/>
        </w:tabs>
        <w:snapToGrid w:val="0"/>
        <w:spacing w:before="0" w:after="0" w:line="324" w:lineRule="auto"/>
        <w:rPr>
          <w:rFonts w:ascii="仿宋" w:hAnsi="仿宋" w:eastAsia="仿宋" w:cs="仿宋"/>
          <w:sz w:val="24"/>
          <w:szCs w:val="24"/>
          <w:highlight w:val="none"/>
        </w:rPr>
      </w:pPr>
    </w:p>
    <w:p>
      <w:pPr>
        <w:pStyle w:val="4"/>
        <w:tabs>
          <w:tab w:val="left" w:pos="567"/>
        </w:tabs>
        <w:snapToGrid w:val="0"/>
        <w:spacing w:before="0" w:after="0" w:line="324" w:lineRule="auto"/>
        <w:rPr>
          <w:rFonts w:ascii="仿宋" w:hAnsi="仿宋" w:eastAsia="仿宋" w:cs="仿宋"/>
          <w:highlight w:val="none"/>
        </w:rPr>
      </w:pPr>
      <w:r>
        <w:rPr>
          <w:rFonts w:hint="eastAsia" w:ascii="仿宋" w:hAnsi="仿宋" w:eastAsia="仿宋" w:cs="仿宋"/>
          <w:sz w:val="24"/>
          <w:szCs w:val="24"/>
          <w:highlight w:val="none"/>
        </w:rPr>
        <w:t>1、总 则</w:t>
      </w:r>
      <w:bookmarkEnd w:id="74"/>
      <w:bookmarkEnd w:id="75"/>
    </w:p>
    <w:p>
      <w:pPr>
        <w:pStyle w:val="5"/>
        <w:numPr>
          <w:ilvl w:val="0"/>
          <w:numId w:val="0"/>
        </w:numPr>
        <w:snapToGrid w:val="0"/>
        <w:spacing w:before="0" w:after="0" w:line="324" w:lineRule="auto"/>
        <w:rPr>
          <w:rFonts w:ascii="仿宋" w:hAnsi="仿宋" w:eastAsia="仿宋" w:cs="仿宋"/>
          <w:sz w:val="24"/>
          <w:szCs w:val="24"/>
          <w:highlight w:val="none"/>
        </w:rPr>
      </w:pPr>
      <w:bookmarkStart w:id="76" w:name="_Toc336091267"/>
      <w:bookmarkStart w:id="77" w:name="_Toc499378835"/>
      <w:bookmarkStart w:id="78" w:name="_Toc499378957"/>
      <w:r>
        <w:rPr>
          <w:rFonts w:hint="eastAsia" w:ascii="仿宋" w:hAnsi="仿宋" w:eastAsia="仿宋" w:cs="仿宋"/>
          <w:sz w:val="24"/>
          <w:szCs w:val="24"/>
          <w:highlight w:val="none"/>
        </w:rPr>
        <w:t>1.1项目概况</w:t>
      </w:r>
      <w:bookmarkEnd w:id="76"/>
      <w:bookmarkEnd w:id="77"/>
      <w:bookmarkEnd w:id="78"/>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1.1.1根据《中华人民共和国招标投标法》等有关法律、法规和规章的规定，本招标项目己具备招标条件，现对本项目施工建设进行招标。</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1.1.2本招标项目招标人：见投标人须知前附表。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1.1.3本标段招标代理机构：见投标人须知前附表。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1.1.4本招标项目名称：见投标人须知前附表。</w:t>
      </w:r>
    </w:p>
    <w:p>
      <w:pPr>
        <w:snapToGrid w:val="0"/>
        <w:spacing w:line="312"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1.1.5本招标项目建设地点：见投标人须知前附表。</w:t>
      </w:r>
    </w:p>
    <w:p>
      <w:pPr>
        <w:pStyle w:val="5"/>
        <w:numPr>
          <w:ilvl w:val="0"/>
          <w:numId w:val="0"/>
        </w:numPr>
        <w:snapToGrid w:val="0"/>
        <w:spacing w:before="0" w:after="0" w:line="312" w:lineRule="auto"/>
        <w:rPr>
          <w:rFonts w:ascii="仿宋" w:hAnsi="仿宋" w:eastAsia="仿宋" w:cs="仿宋"/>
          <w:sz w:val="24"/>
          <w:szCs w:val="24"/>
          <w:highlight w:val="none"/>
        </w:rPr>
      </w:pPr>
      <w:bookmarkStart w:id="79" w:name="_Toc336091268"/>
      <w:bookmarkStart w:id="80" w:name="_Toc499378958"/>
      <w:bookmarkStart w:id="81" w:name="_Toc499378836"/>
      <w:r>
        <w:rPr>
          <w:rFonts w:hint="eastAsia" w:ascii="仿宋" w:hAnsi="仿宋" w:eastAsia="仿宋" w:cs="仿宋"/>
          <w:sz w:val="24"/>
          <w:szCs w:val="24"/>
          <w:highlight w:val="none"/>
        </w:rPr>
        <w:t>1.2资金来源和落实情况</w:t>
      </w:r>
      <w:bookmarkEnd w:id="79"/>
      <w:bookmarkEnd w:id="80"/>
      <w:bookmarkEnd w:id="81"/>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1.2.1本招标项目的资金来源：见投标人须知前附表。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1.2.2本招标项目的出资比例：见投标人须知前附表。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1.2.3本招标项目的资金落实情况：见投标人须知前附表。</w:t>
      </w:r>
    </w:p>
    <w:p>
      <w:pPr>
        <w:pStyle w:val="5"/>
        <w:numPr>
          <w:ilvl w:val="0"/>
          <w:numId w:val="0"/>
        </w:numPr>
        <w:snapToGrid w:val="0"/>
        <w:spacing w:before="0" w:after="0" w:line="312" w:lineRule="auto"/>
        <w:rPr>
          <w:rFonts w:ascii="仿宋" w:hAnsi="仿宋" w:eastAsia="仿宋" w:cs="仿宋"/>
          <w:sz w:val="24"/>
          <w:szCs w:val="24"/>
          <w:highlight w:val="none"/>
        </w:rPr>
      </w:pPr>
      <w:bookmarkStart w:id="82" w:name="_Toc499378837"/>
      <w:bookmarkStart w:id="83" w:name="_Toc499378959"/>
      <w:bookmarkStart w:id="84" w:name="_Toc336091269"/>
      <w:r>
        <w:rPr>
          <w:rFonts w:hint="eastAsia" w:ascii="仿宋" w:hAnsi="仿宋" w:eastAsia="仿宋" w:cs="仿宋"/>
          <w:sz w:val="24"/>
          <w:szCs w:val="24"/>
          <w:highlight w:val="none"/>
        </w:rPr>
        <w:t>1.3招标范围、计划工期和质量要求</w:t>
      </w:r>
      <w:bookmarkEnd w:id="82"/>
      <w:bookmarkEnd w:id="83"/>
      <w:bookmarkEnd w:id="84"/>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1.3.1本次招标范围：见投标人须知前附表。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1.3.2本标段的计划工期：见投标人须知前附表。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1.3.3本标段的质量要求：见投标人须知前附表。</w:t>
      </w:r>
    </w:p>
    <w:p>
      <w:pPr>
        <w:pStyle w:val="5"/>
        <w:numPr>
          <w:ilvl w:val="0"/>
          <w:numId w:val="0"/>
        </w:numPr>
        <w:snapToGrid w:val="0"/>
        <w:spacing w:before="0" w:after="0" w:line="312" w:lineRule="auto"/>
        <w:rPr>
          <w:rFonts w:ascii="仿宋" w:hAnsi="仿宋" w:eastAsia="仿宋" w:cs="仿宋"/>
          <w:sz w:val="24"/>
          <w:szCs w:val="24"/>
          <w:highlight w:val="none"/>
        </w:rPr>
      </w:pPr>
      <w:bookmarkStart w:id="85" w:name="_Toc499378838"/>
      <w:bookmarkStart w:id="86" w:name="_Toc336091270"/>
      <w:bookmarkStart w:id="87" w:name="_Toc499378960"/>
      <w:r>
        <w:rPr>
          <w:rFonts w:hint="eastAsia" w:ascii="仿宋" w:hAnsi="仿宋" w:eastAsia="仿宋" w:cs="仿宋"/>
          <w:sz w:val="24"/>
          <w:szCs w:val="24"/>
          <w:highlight w:val="none"/>
        </w:rPr>
        <w:t>1.4投标人资格要求</w:t>
      </w:r>
      <w:bookmarkEnd w:id="85"/>
      <w:bookmarkEnd w:id="86"/>
      <w:bookmarkEnd w:id="87"/>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1.4.1投标人应具备承担本标段施工的资质条件、能力和信誉。</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（1）资质条件：见投标人须知前附表；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（2）财务要求：见投标人须知前附表；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（3）信誉要求：见投标人须知前附表;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（4）项目经理资格：见投标人须知前附表；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（5）其他要求：见投标人须知前附表。</w:t>
      </w:r>
    </w:p>
    <w:p>
      <w:pPr>
        <w:snapToGrid w:val="0"/>
        <w:spacing w:line="324" w:lineRule="auto"/>
        <w:ind w:firstLine="420" w:firstLineChars="200"/>
        <w:rPr>
          <w:rFonts w:ascii="仿宋" w:hAnsi="仿宋" w:eastAsia="仿宋" w:cs="仿宋"/>
          <w:b/>
          <w:szCs w:val="21"/>
          <w:highlight w:val="none"/>
        </w:rPr>
      </w:pPr>
      <w:r>
        <w:rPr>
          <w:rFonts w:hint="eastAsia" w:ascii="仿宋" w:hAnsi="仿宋" w:eastAsia="仿宋" w:cs="仿宋"/>
          <w:szCs w:val="21"/>
          <w:highlight w:val="none"/>
        </w:rPr>
        <w:t>1.4.2投标人须知前附表规定接受联合体投标的，除应符合本章第1.4.1项和投标人须知前附表的要求外，还应遵守以下规定：</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（1）联合体各方应按招标文件提供的格式签订联合体协议书，明确联合体牵头人和各方权利义务；</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（2）由同一专业的单位组成的联合体，按照资质等级较低的单位确定资质等级；</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（3）联合体各方不得再以自己名义单独或参加其他联合体在同一标段中投标。</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1.4.3投标人存在下列情形之一的，不得作为合格投标人：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（l）为招标人不具有独立法人资格的附属机构（单位）;</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（2）为本标段前期准备提供设计或咨询服务的，但设计施工总承包的除外；</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（3）为本标段的监理人；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（4）为本标段的代建人；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（5）为本标段提供招标代理服务的；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（6）与本标段的监理人或代建人或招标代理机构同为一个法定代表人的；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（7）与本标段的监理人或代建人或招标代理机构相互控股或参股的；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（8）与本标段的监理人或代建人或招标代理机构相互任职或工作的；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（9）被责令停业的；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（10）被暂停或取消投标资格的；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（11）财产被接管或冻结的；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（12）在最近三年内有骗取中标或严重违约或重大工程质量问题的。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1.4.4 投标人存在下列情形之一的，相关投标均无效：</w:t>
      </w:r>
    </w:p>
    <w:p>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szCs w:val="21"/>
          <w:highlight w:val="none"/>
        </w:rPr>
        <w:t>1</w:t>
      </w:r>
      <w:r>
        <w:rPr>
          <w:rFonts w:hint="eastAsia" w:ascii="仿宋" w:hAnsi="仿宋" w:eastAsia="仿宋" w:cs="仿宋"/>
          <w:highlight w:val="none"/>
        </w:rPr>
        <w:t>）与招标人存在利害关系影响招标公正性的；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highlight w:val="none"/>
        </w:rPr>
        <w:t>（</w:t>
      </w:r>
      <w:r>
        <w:rPr>
          <w:rFonts w:hint="eastAsia" w:ascii="仿宋" w:hAnsi="仿宋" w:eastAsia="仿宋" w:cs="仿宋"/>
          <w:szCs w:val="21"/>
          <w:highlight w:val="none"/>
        </w:rPr>
        <w:t>2</w:t>
      </w:r>
      <w:r>
        <w:rPr>
          <w:rFonts w:hint="eastAsia" w:ascii="仿宋" w:hAnsi="仿宋" w:eastAsia="仿宋" w:cs="仿宋"/>
          <w:highlight w:val="none"/>
        </w:rPr>
        <w:t>）法定代表人为同一人或者存在控股、管理关系的不同单位，参加同一标段投标。</w:t>
      </w:r>
    </w:p>
    <w:p>
      <w:pPr>
        <w:pStyle w:val="5"/>
        <w:numPr>
          <w:ilvl w:val="0"/>
          <w:numId w:val="0"/>
        </w:numPr>
        <w:snapToGrid w:val="0"/>
        <w:spacing w:before="0" w:after="0" w:line="324" w:lineRule="auto"/>
        <w:rPr>
          <w:rFonts w:ascii="仿宋" w:hAnsi="仿宋" w:eastAsia="仿宋" w:cs="仿宋"/>
          <w:sz w:val="24"/>
          <w:szCs w:val="24"/>
          <w:highlight w:val="none"/>
        </w:rPr>
      </w:pPr>
      <w:bookmarkStart w:id="88" w:name="_Toc499378961"/>
      <w:bookmarkStart w:id="89" w:name="_Toc499378839"/>
      <w:r>
        <w:rPr>
          <w:rFonts w:hint="eastAsia" w:ascii="仿宋" w:hAnsi="仿宋" w:eastAsia="仿宋" w:cs="仿宋"/>
          <w:sz w:val="24"/>
          <w:szCs w:val="24"/>
          <w:highlight w:val="none"/>
        </w:rPr>
        <w:t>1.5费用承担</w:t>
      </w:r>
      <w:bookmarkEnd w:id="88"/>
      <w:bookmarkEnd w:id="89"/>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投标人准备和参加投标活动发生的费用自理。</w:t>
      </w:r>
    </w:p>
    <w:p>
      <w:pPr>
        <w:pStyle w:val="5"/>
        <w:numPr>
          <w:ilvl w:val="0"/>
          <w:numId w:val="0"/>
        </w:numPr>
        <w:snapToGrid w:val="0"/>
        <w:spacing w:before="0" w:after="0" w:line="324" w:lineRule="auto"/>
        <w:rPr>
          <w:rFonts w:ascii="仿宋" w:hAnsi="仿宋" w:eastAsia="仿宋" w:cs="仿宋"/>
          <w:sz w:val="24"/>
          <w:szCs w:val="24"/>
          <w:highlight w:val="none"/>
        </w:rPr>
      </w:pPr>
      <w:bookmarkStart w:id="90" w:name="_Toc499378840"/>
      <w:bookmarkStart w:id="91" w:name="_Toc336091271"/>
      <w:bookmarkStart w:id="92" w:name="_Toc499378962"/>
      <w:r>
        <w:rPr>
          <w:rFonts w:hint="eastAsia" w:ascii="仿宋" w:hAnsi="仿宋" w:eastAsia="仿宋" w:cs="仿宋"/>
          <w:sz w:val="24"/>
          <w:szCs w:val="24"/>
          <w:highlight w:val="none"/>
        </w:rPr>
        <w:t>1.6保密</w:t>
      </w:r>
      <w:bookmarkEnd w:id="90"/>
      <w:bookmarkEnd w:id="91"/>
      <w:bookmarkEnd w:id="92"/>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参与招标投标活动的各方应对招标文件和投标文件中的商业和技术等秘密保密，违者应对由此造成的后果承担法律责任。</w:t>
      </w:r>
    </w:p>
    <w:p>
      <w:pPr>
        <w:pStyle w:val="5"/>
        <w:numPr>
          <w:ilvl w:val="0"/>
          <w:numId w:val="0"/>
        </w:numPr>
        <w:snapToGrid w:val="0"/>
        <w:spacing w:before="0" w:after="0" w:line="324" w:lineRule="auto"/>
        <w:rPr>
          <w:rFonts w:ascii="仿宋" w:hAnsi="仿宋" w:eastAsia="仿宋" w:cs="仿宋"/>
          <w:sz w:val="24"/>
          <w:szCs w:val="24"/>
          <w:highlight w:val="none"/>
        </w:rPr>
      </w:pPr>
      <w:bookmarkStart w:id="93" w:name="_Toc499378841"/>
      <w:bookmarkStart w:id="94" w:name="_Toc336091272"/>
      <w:bookmarkStart w:id="95" w:name="_Toc499378963"/>
      <w:r>
        <w:rPr>
          <w:rFonts w:hint="eastAsia" w:ascii="仿宋" w:hAnsi="仿宋" w:eastAsia="仿宋" w:cs="仿宋"/>
          <w:sz w:val="24"/>
          <w:szCs w:val="24"/>
          <w:highlight w:val="none"/>
        </w:rPr>
        <w:t>1.7语言文字</w:t>
      </w:r>
      <w:bookmarkEnd w:id="93"/>
      <w:bookmarkEnd w:id="94"/>
      <w:bookmarkEnd w:id="95"/>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除专用术语外，与招标投标有关的语言均使用中文。必要时专用术语应附有中文注释。</w:t>
      </w:r>
    </w:p>
    <w:p>
      <w:pPr>
        <w:pStyle w:val="5"/>
        <w:numPr>
          <w:ilvl w:val="0"/>
          <w:numId w:val="0"/>
        </w:numPr>
        <w:snapToGrid w:val="0"/>
        <w:spacing w:before="0" w:after="0" w:line="324" w:lineRule="auto"/>
        <w:rPr>
          <w:rFonts w:ascii="仿宋" w:hAnsi="仿宋" w:eastAsia="仿宋" w:cs="仿宋"/>
          <w:sz w:val="24"/>
          <w:szCs w:val="24"/>
          <w:highlight w:val="none"/>
        </w:rPr>
      </w:pPr>
      <w:bookmarkStart w:id="96" w:name="_Toc499378964"/>
      <w:bookmarkStart w:id="97" w:name="_Toc499378842"/>
      <w:bookmarkStart w:id="98" w:name="_Toc336091273"/>
      <w:r>
        <w:rPr>
          <w:rFonts w:hint="eastAsia" w:ascii="仿宋" w:hAnsi="仿宋" w:eastAsia="仿宋" w:cs="仿宋"/>
          <w:sz w:val="24"/>
          <w:szCs w:val="24"/>
          <w:highlight w:val="none"/>
        </w:rPr>
        <w:t>1.8计量单位</w:t>
      </w:r>
      <w:bookmarkEnd w:id="96"/>
      <w:bookmarkEnd w:id="97"/>
      <w:bookmarkEnd w:id="98"/>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所有计量均采用中华人民共和国法定计量单位。</w:t>
      </w:r>
    </w:p>
    <w:p>
      <w:pPr>
        <w:pStyle w:val="5"/>
        <w:numPr>
          <w:ilvl w:val="0"/>
          <w:numId w:val="0"/>
        </w:numPr>
        <w:snapToGrid w:val="0"/>
        <w:spacing w:before="0" w:after="0" w:line="324" w:lineRule="auto"/>
        <w:rPr>
          <w:rFonts w:ascii="仿宋" w:hAnsi="仿宋" w:eastAsia="仿宋" w:cs="仿宋"/>
          <w:sz w:val="24"/>
          <w:szCs w:val="24"/>
          <w:highlight w:val="none"/>
        </w:rPr>
      </w:pPr>
      <w:bookmarkStart w:id="99" w:name="_Toc499378843"/>
      <w:bookmarkStart w:id="100" w:name="_Toc499378965"/>
      <w:bookmarkStart w:id="101" w:name="_Toc336091274"/>
      <w:r>
        <w:rPr>
          <w:rFonts w:hint="eastAsia" w:ascii="仿宋" w:hAnsi="仿宋" w:eastAsia="仿宋" w:cs="仿宋"/>
          <w:sz w:val="24"/>
          <w:szCs w:val="24"/>
          <w:highlight w:val="none"/>
        </w:rPr>
        <w:t>1.9踏勘现场</w:t>
      </w:r>
      <w:bookmarkEnd w:id="99"/>
      <w:bookmarkEnd w:id="100"/>
      <w:bookmarkEnd w:id="101"/>
    </w:p>
    <w:p>
      <w:pPr>
        <w:snapToGrid w:val="0"/>
        <w:spacing w:line="324" w:lineRule="auto"/>
        <w:ind w:firstLine="424" w:firstLineChars="202"/>
        <w:rPr>
          <w:rFonts w:ascii="仿宋" w:hAnsi="仿宋" w:eastAsia="仿宋" w:cs="仿宋"/>
          <w:szCs w:val="21"/>
          <w:highlight w:val="none"/>
        </w:rPr>
      </w:pPr>
      <w:bookmarkStart w:id="102" w:name="_Toc336091275"/>
      <w:r>
        <w:rPr>
          <w:rFonts w:hint="eastAsia" w:ascii="仿宋" w:hAnsi="仿宋" w:eastAsia="仿宋" w:cs="仿宋"/>
          <w:szCs w:val="21"/>
          <w:highlight w:val="none"/>
        </w:rPr>
        <w:t>1.9.1投标人须知前附表规定组织踏勘现场。</w:t>
      </w:r>
    </w:p>
    <w:p>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1.9.2投标人踏勘现场发生的费用自理。</w:t>
      </w:r>
    </w:p>
    <w:p>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1.9.3投标人自行负责在踏勘现场中所发生的人员伤亡和财产损失。</w:t>
      </w:r>
    </w:p>
    <w:bookmarkEnd w:id="102"/>
    <w:p>
      <w:pPr>
        <w:pStyle w:val="5"/>
        <w:numPr>
          <w:ilvl w:val="0"/>
          <w:numId w:val="0"/>
        </w:numPr>
        <w:snapToGrid w:val="0"/>
        <w:spacing w:before="0" w:after="0" w:line="324" w:lineRule="auto"/>
        <w:rPr>
          <w:rFonts w:ascii="仿宋" w:hAnsi="仿宋" w:eastAsia="仿宋" w:cs="仿宋"/>
          <w:sz w:val="24"/>
          <w:szCs w:val="24"/>
          <w:highlight w:val="none"/>
        </w:rPr>
      </w:pPr>
      <w:bookmarkStart w:id="103" w:name="_Toc499378966"/>
      <w:bookmarkStart w:id="104" w:name="_Toc336091276"/>
      <w:bookmarkStart w:id="105" w:name="_Toc499378844"/>
      <w:r>
        <w:rPr>
          <w:rFonts w:hint="eastAsia" w:ascii="仿宋" w:hAnsi="仿宋" w:eastAsia="仿宋" w:cs="仿宋"/>
          <w:sz w:val="24"/>
          <w:szCs w:val="24"/>
          <w:highlight w:val="none"/>
        </w:rPr>
        <w:t>1.10分包</w:t>
      </w:r>
      <w:bookmarkEnd w:id="103"/>
      <w:bookmarkEnd w:id="104"/>
      <w:bookmarkEnd w:id="105"/>
    </w:p>
    <w:p>
      <w:pPr>
        <w:snapToGrid w:val="0"/>
        <w:spacing w:line="324" w:lineRule="auto"/>
        <w:ind w:firstLine="444" w:firstLineChars="200"/>
        <w:rPr>
          <w:rFonts w:ascii="仿宋" w:hAnsi="仿宋" w:eastAsia="仿宋" w:cs="仿宋"/>
          <w:szCs w:val="21"/>
          <w:highlight w:val="none"/>
        </w:rPr>
      </w:pPr>
      <w:r>
        <w:rPr>
          <w:rFonts w:hint="eastAsia" w:ascii="仿宋" w:hAnsi="仿宋" w:eastAsia="仿宋" w:cs="仿宋"/>
          <w:spacing w:val="6"/>
          <w:szCs w:val="21"/>
          <w:highlight w:val="none"/>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Cs w:val="21"/>
          <w:highlight w:val="none"/>
        </w:rPr>
        <w:t>。</w:t>
      </w:r>
    </w:p>
    <w:p>
      <w:pPr>
        <w:pStyle w:val="5"/>
        <w:numPr>
          <w:ilvl w:val="0"/>
          <w:numId w:val="0"/>
        </w:numPr>
        <w:snapToGrid w:val="0"/>
        <w:spacing w:before="0" w:after="0" w:line="324" w:lineRule="auto"/>
        <w:rPr>
          <w:rFonts w:ascii="仿宋" w:hAnsi="仿宋" w:eastAsia="仿宋" w:cs="仿宋"/>
          <w:sz w:val="24"/>
          <w:szCs w:val="24"/>
          <w:highlight w:val="none"/>
        </w:rPr>
      </w:pPr>
      <w:bookmarkStart w:id="106" w:name="_Toc336091277"/>
      <w:bookmarkStart w:id="107" w:name="_Toc499378845"/>
      <w:bookmarkStart w:id="108" w:name="_Toc499378967"/>
      <w:r>
        <w:rPr>
          <w:rFonts w:hint="eastAsia" w:ascii="仿宋" w:hAnsi="仿宋" w:eastAsia="仿宋" w:cs="仿宋"/>
          <w:sz w:val="24"/>
          <w:szCs w:val="24"/>
          <w:highlight w:val="none"/>
        </w:rPr>
        <w:t>1.11偏离</w:t>
      </w:r>
      <w:bookmarkEnd w:id="106"/>
      <w:bookmarkEnd w:id="107"/>
      <w:bookmarkEnd w:id="108"/>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投标人须知前附表允许投标文件偏离招标文件某些要求的，偏离应当符合招标文件规定的偏离范围和幅度。</w:t>
      </w:r>
      <w:bookmarkStart w:id="109" w:name="_Toc184635072"/>
    </w:p>
    <w:p>
      <w:pPr>
        <w:pStyle w:val="4"/>
        <w:tabs>
          <w:tab w:val="left" w:pos="567"/>
        </w:tabs>
        <w:snapToGrid w:val="0"/>
        <w:spacing w:before="0" w:after="0" w:line="324" w:lineRule="auto"/>
        <w:rPr>
          <w:rFonts w:ascii="仿宋" w:hAnsi="仿宋" w:eastAsia="仿宋" w:cs="仿宋"/>
          <w:sz w:val="24"/>
          <w:szCs w:val="24"/>
          <w:highlight w:val="none"/>
        </w:rPr>
      </w:pPr>
      <w:bookmarkStart w:id="110" w:name="_Toc336091278"/>
      <w:bookmarkStart w:id="111" w:name="_Toc499378846"/>
      <w:bookmarkStart w:id="112" w:name="_Toc499378968"/>
      <w:r>
        <w:rPr>
          <w:rFonts w:hint="eastAsia" w:ascii="仿宋" w:hAnsi="仿宋" w:eastAsia="仿宋" w:cs="仿宋"/>
          <w:sz w:val="24"/>
          <w:szCs w:val="24"/>
          <w:highlight w:val="none"/>
        </w:rPr>
        <w:t>2、招标文件</w:t>
      </w:r>
      <w:bookmarkEnd w:id="109"/>
      <w:bookmarkEnd w:id="110"/>
      <w:bookmarkEnd w:id="111"/>
      <w:bookmarkEnd w:id="112"/>
    </w:p>
    <w:p>
      <w:pPr>
        <w:pStyle w:val="5"/>
        <w:numPr>
          <w:ilvl w:val="0"/>
          <w:numId w:val="0"/>
        </w:numPr>
        <w:snapToGrid w:val="0"/>
        <w:spacing w:before="0" w:after="0" w:line="324" w:lineRule="auto"/>
        <w:rPr>
          <w:rFonts w:ascii="仿宋" w:hAnsi="仿宋" w:eastAsia="仿宋" w:cs="仿宋"/>
          <w:sz w:val="24"/>
          <w:szCs w:val="24"/>
          <w:highlight w:val="none"/>
        </w:rPr>
      </w:pPr>
      <w:bookmarkStart w:id="113" w:name="_Toc499378847"/>
      <w:bookmarkStart w:id="114" w:name="_Toc499378969"/>
      <w:bookmarkStart w:id="115" w:name="_Toc336091279"/>
      <w:r>
        <w:rPr>
          <w:rFonts w:hint="eastAsia" w:ascii="仿宋" w:hAnsi="仿宋" w:eastAsia="仿宋" w:cs="仿宋"/>
          <w:sz w:val="24"/>
          <w:szCs w:val="24"/>
          <w:highlight w:val="none"/>
        </w:rPr>
        <w:t>2.1招标文件的组成</w:t>
      </w:r>
      <w:bookmarkEnd w:id="113"/>
      <w:bookmarkEnd w:id="114"/>
      <w:bookmarkEnd w:id="115"/>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2.1.1本招标文件包括：</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（1）招标公告；</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（2）投标人须知；</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（3）评标办法；</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（4）合同条款及格式；</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（5）工程量清单；</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（6）图纸；</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（7）技术标准和要求；</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（8）投标文件格式；</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（9）投标人须知前附表规定的其他材料。</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根据本章第2.2款和第2.3款对招标文件所作的澄清、修改，构成招标文件的组成部分。</w:t>
      </w:r>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2.1.2本工程的计税方法见投标人须知前附表。</w:t>
      </w:r>
    </w:p>
    <w:p>
      <w:pPr>
        <w:pStyle w:val="5"/>
        <w:numPr>
          <w:ilvl w:val="0"/>
          <w:numId w:val="0"/>
        </w:numPr>
        <w:snapToGrid w:val="0"/>
        <w:spacing w:before="0" w:after="0" w:line="324" w:lineRule="auto"/>
        <w:rPr>
          <w:rFonts w:ascii="仿宋" w:hAnsi="仿宋" w:eastAsia="仿宋" w:cs="仿宋"/>
          <w:sz w:val="24"/>
          <w:szCs w:val="24"/>
          <w:highlight w:val="none"/>
        </w:rPr>
      </w:pPr>
      <w:bookmarkStart w:id="116" w:name="_Toc336091280"/>
      <w:bookmarkStart w:id="117" w:name="_Toc499378848"/>
      <w:bookmarkStart w:id="118" w:name="_Toc499378970"/>
      <w:r>
        <w:rPr>
          <w:rFonts w:hint="eastAsia" w:ascii="仿宋" w:hAnsi="仿宋" w:eastAsia="仿宋" w:cs="仿宋"/>
          <w:sz w:val="24"/>
          <w:szCs w:val="24"/>
          <w:highlight w:val="none"/>
        </w:rPr>
        <w:t>2.2招标文件的澄清</w:t>
      </w:r>
      <w:bookmarkEnd w:id="116"/>
      <w:bookmarkEnd w:id="117"/>
      <w:bookmarkEnd w:id="118"/>
    </w:p>
    <w:p>
      <w:pPr>
        <w:tabs>
          <w:tab w:val="left" w:pos="360"/>
        </w:tabs>
        <w:snapToGrid w:val="0"/>
        <w:spacing w:line="324" w:lineRule="auto"/>
        <w:ind w:firstLine="420" w:firstLineChars="200"/>
        <w:rPr>
          <w:rFonts w:ascii="仿宋" w:hAnsi="仿宋" w:eastAsia="仿宋" w:cs="仿宋"/>
          <w:szCs w:val="21"/>
          <w:highlight w:val="none"/>
        </w:rPr>
      </w:pPr>
      <w:bookmarkStart w:id="119" w:name="_Toc336091281"/>
      <w:r>
        <w:rPr>
          <w:rFonts w:hint="eastAsia" w:ascii="仿宋" w:hAnsi="仿宋" w:eastAsia="仿宋" w:cs="仿宋"/>
          <w:szCs w:val="21"/>
          <w:highlight w:val="none"/>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上发布澄清文件。</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上发布答复文件，对答复不服的，应当在网上发布答复文件之日起10日内，向有关行政监督部门投诉，投诉应有明确的请求和必要的证明材料，投诉书格式必须符合有关法律、法规规定。</w:t>
      </w:r>
    </w:p>
    <w:p>
      <w:pPr>
        <w:tabs>
          <w:tab w:val="left" w:pos="360"/>
        </w:tabs>
        <w:snapToGrid w:val="0"/>
        <w:spacing w:line="324" w:lineRule="auto"/>
        <w:ind w:firstLine="420" w:firstLineChars="200"/>
        <w:rPr>
          <w:rFonts w:ascii="仿宋" w:hAnsi="仿宋" w:eastAsia="仿宋" w:cs="仿宋"/>
          <w:highlight w:val="none"/>
        </w:rPr>
      </w:pPr>
      <w:r>
        <w:rPr>
          <w:rFonts w:hint="eastAsia" w:ascii="仿宋" w:hAnsi="仿宋" w:eastAsia="仿宋" w:cs="仿宋"/>
          <w:szCs w:val="21"/>
          <w:highlight w:val="none"/>
        </w:rPr>
        <w:t>2.2.3</w:t>
      </w:r>
      <w:r>
        <w:rPr>
          <w:rFonts w:hint="eastAsia" w:ascii="仿宋" w:hAnsi="仿宋" w:eastAsia="仿宋" w:cs="仿宋"/>
          <w:highlight w:val="none"/>
        </w:rPr>
        <w:t>如果澄清发出的时间距投标截止时间不足15日，并且澄清内容影响投标文件编制的，将相应延长投标截止时间。</w:t>
      </w:r>
    </w:p>
    <w:p>
      <w:pPr>
        <w:pStyle w:val="5"/>
        <w:numPr>
          <w:ilvl w:val="0"/>
          <w:numId w:val="0"/>
        </w:numPr>
        <w:snapToGrid w:val="0"/>
        <w:spacing w:before="0" w:after="0" w:line="324" w:lineRule="auto"/>
        <w:rPr>
          <w:rFonts w:ascii="仿宋" w:hAnsi="仿宋" w:eastAsia="仿宋" w:cs="仿宋"/>
          <w:sz w:val="24"/>
          <w:szCs w:val="24"/>
          <w:highlight w:val="none"/>
        </w:rPr>
      </w:pPr>
      <w:bookmarkStart w:id="120" w:name="_Toc499378849"/>
      <w:bookmarkStart w:id="121" w:name="_Toc499378971"/>
      <w:r>
        <w:rPr>
          <w:rFonts w:hint="eastAsia" w:ascii="仿宋" w:hAnsi="仿宋" w:eastAsia="仿宋" w:cs="仿宋"/>
          <w:sz w:val="24"/>
          <w:szCs w:val="24"/>
          <w:highlight w:val="none"/>
        </w:rPr>
        <w:t>2.3招标文件的修改</w:t>
      </w:r>
      <w:bookmarkEnd w:id="119"/>
      <w:bookmarkEnd w:id="120"/>
      <w:bookmarkEnd w:id="121"/>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2.3.1招标人可能会因任何原因对招标文件进行修改，招标人将在递交投标文件截止时间15日前，将修改内容在在云上大冶聚焦三农模块上发出。如果修改发出时间距投标截止时间不足15天，相应延长投标截止时间。</w:t>
      </w:r>
    </w:p>
    <w:p>
      <w:pPr>
        <w:tabs>
          <w:tab w:val="left" w:pos="360"/>
        </w:tabs>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投标人应注意及时浏览网上发出的修改通知，因投标人自身原因未及时获知修改内容而导致的任何后果将由投标人自行承担。</w:t>
      </w:r>
    </w:p>
    <w:p>
      <w:pPr>
        <w:pStyle w:val="4"/>
        <w:tabs>
          <w:tab w:val="left" w:pos="567"/>
        </w:tabs>
        <w:snapToGrid w:val="0"/>
        <w:spacing w:before="0" w:after="0" w:line="324" w:lineRule="auto"/>
        <w:rPr>
          <w:rFonts w:ascii="仿宋" w:hAnsi="仿宋" w:eastAsia="仿宋" w:cs="仿宋"/>
          <w:sz w:val="24"/>
          <w:szCs w:val="24"/>
          <w:highlight w:val="none"/>
        </w:rPr>
      </w:pPr>
      <w:bookmarkStart w:id="122" w:name="_Toc499378972"/>
      <w:bookmarkStart w:id="123" w:name="_Toc184635073"/>
      <w:bookmarkStart w:id="124" w:name="_Toc336091282"/>
      <w:bookmarkStart w:id="125" w:name="_Toc499378850"/>
      <w:r>
        <w:rPr>
          <w:rFonts w:hint="eastAsia" w:ascii="仿宋" w:hAnsi="仿宋" w:eastAsia="仿宋" w:cs="仿宋"/>
          <w:sz w:val="24"/>
          <w:szCs w:val="24"/>
          <w:highlight w:val="none"/>
        </w:rPr>
        <w:t>3、投标文件</w:t>
      </w:r>
      <w:bookmarkEnd w:id="122"/>
      <w:bookmarkEnd w:id="123"/>
      <w:bookmarkEnd w:id="124"/>
      <w:bookmarkEnd w:id="125"/>
    </w:p>
    <w:p>
      <w:pPr>
        <w:pStyle w:val="5"/>
        <w:keepNext w:val="0"/>
        <w:numPr>
          <w:ilvl w:val="0"/>
          <w:numId w:val="0"/>
        </w:numPr>
        <w:snapToGrid w:val="0"/>
        <w:spacing w:before="0" w:after="0" w:line="324" w:lineRule="auto"/>
        <w:rPr>
          <w:rFonts w:ascii="仿宋" w:hAnsi="仿宋" w:eastAsia="仿宋" w:cs="仿宋"/>
          <w:bCs w:val="0"/>
          <w:sz w:val="24"/>
          <w:szCs w:val="24"/>
          <w:highlight w:val="none"/>
        </w:rPr>
      </w:pPr>
      <w:bookmarkStart w:id="126" w:name="_Toc336091283"/>
      <w:bookmarkStart w:id="127" w:name="_Toc499378851"/>
      <w:bookmarkStart w:id="128" w:name="_Toc499378973"/>
      <w:r>
        <w:rPr>
          <w:rFonts w:hint="eastAsia" w:ascii="仿宋" w:hAnsi="仿宋" w:eastAsia="仿宋" w:cs="仿宋"/>
          <w:bCs w:val="0"/>
          <w:sz w:val="24"/>
          <w:szCs w:val="24"/>
          <w:highlight w:val="none"/>
        </w:rPr>
        <w:t>3.1投标文件的组成</w:t>
      </w:r>
      <w:bookmarkEnd w:id="126"/>
      <w:bookmarkEnd w:id="127"/>
      <w:bookmarkEnd w:id="128"/>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129" w:name="_Toc336091284"/>
      <w:r>
        <w:rPr>
          <w:rFonts w:hint="eastAsia" w:ascii="仿宋" w:hAnsi="仿宋" w:eastAsia="仿宋" w:cs="仿宋"/>
          <w:color w:val="000000" w:themeColor="text1"/>
          <w:szCs w:val="21"/>
          <w:highlight w:val="none"/>
          <w14:textFill>
            <w14:solidFill>
              <w14:schemeClr w14:val="tx1"/>
            </w14:solidFill>
          </w14:textFill>
        </w:rPr>
        <w:t>3.1.1投标文件应包括下列内容：</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（1）投标函及投标函附录；</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（2）法定代表人身份证明或附有法定代表人身份证明的授权委托书；</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（3）联合体协议书；</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（4）投标保证金承诺书；</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（5）已标价工程量清单；</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（6）施工组织设计；</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（7）项目管理机构；</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（8）拟分包项目情况表；</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（9）资格审查资料；</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（10）投标人须知前附表规定的其他材料。</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3.1.2投标人须知前附表规定不接受联合体投标的，或投标人没有组成联合体的，投标文件不包括本章第3.1.1（3）目所指的联合体协议书。</w:t>
      </w:r>
    </w:p>
    <w:p>
      <w:pPr>
        <w:pStyle w:val="5"/>
        <w:numPr>
          <w:ilvl w:val="0"/>
          <w:numId w:val="0"/>
        </w:numPr>
        <w:snapToGrid w:val="0"/>
        <w:spacing w:before="0" w:after="0" w:line="324" w:lineRule="auto"/>
        <w:rPr>
          <w:rFonts w:ascii="仿宋" w:hAnsi="仿宋" w:eastAsia="仿宋" w:cs="仿宋"/>
          <w:color w:val="000000" w:themeColor="text1"/>
          <w:sz w:val="24"/>
          <w:szCs w:val="24"/>
          <w:highlight w:val="none"/>
          <w14:textFill>
            <w14:solidFill>
              <w14:schemeClr w14:val="tx1"/>
            </w14:solidFill>
          </w14:textFill>
        </w:rPr>
      </w:pPr>
      <w:bookmarkStart w:id="130" w:name="_Toc499378974"/>
      <w:bookmarkStart w:id="131" w:name="_Toc499378852"/>
      <w:r>
        <w:rPr>
          <w:rFonts w:hint="eastAsia" w:ascii="仿宋" w:hAnsi="仿宋" w:eastAsia="仿宋" w:cs="仿宋"/>
          <w:color w:val="000000" w:themeColor="text1"/>
          <w:sz w:val="24"/>
          <w:szCs w:val="24"/>
          <w:highlight w:val="none"/>
          <w14:textFill>
            <w14:solidFill>
              <w14:schemeClr w14:val="tx1"/>
            </w14:solidFill>
          </w14:textFill>
        </w:rPr>
        <w:t>3.2投标报价</w:t>
      </w:r>
      <w:bookmarkEnd w:id="129"/>
      <w:bookmarkEnd w:id="130"/>
      <w:bookmarkEnd w:id="131"/>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3.2.1投标人应按第五章“工程量清单”的要求填写相应表格。</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3.2.2投标人在投标截止时间前修改投标函中的投标报价总额，应同时修改“已标价工程量清单”中的相应报价，投标报价总额为各分项金额之和。此修改须符合本章第4.3款的有关要求。</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3.2.4投标人如果发现工程量清单中的数量与图纸中数量不一致时，应立即通知招标人核查，除非招标人以书面方式予以更正，否则，应以工程量清单中列出的数量为准。</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3.2.5本招标文件中如果给出专业工程暂估价、材料暂估价，投标人须按此价并入报价中，且不得下浮。专业工程暂估价部分招标人可用于指定分包。</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3.2.9投标人的投标报价中应含的保险费按如下规定办理：</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承包人应以业主和承包人的共同名义向双方同意的保险人投保建筑施工工程一切险、第三者责任险等险种，投标人在投标报价中必须包含以上费用。</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3.2.11投标人自行办理施工用电、用水及临时用地等相关手续（发包人可协助办理）。施工用水、电费含在投标报价中。</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3.2.12投标人应对本工程施工现场进行安全、文明施工，相关费用并入投标报价中。</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3.2.13本项目招标代理服务费按照《招标代理服务收费管理暂行办法》计价格</w:t>
      </w:r>
      <w:r>
        <w:rPr>
          <w:rFonts w:hint="eastAsia" w:ascii="仿宋" w:hAnsi="仿宋" w:eastAsia="仿宋" w:cs="仿宋"/>
          <w:color w:val="000000" w:themeColor="text1"/>
          <w:szCs w:val="21"/>
          <w:highlight w:val="none"/>
          <w:lang w:val="en-US" w:eastAsia="zh-CN"/>
          <w14:textFill>
            <w14:solidFill>
              <w14:schemeClr w14:val="tx1"/>
            </w14:solidFill>
          </w14:textFill>
        </w:rPr>
        <w:t>〔2002〕</w:t>
      </w:r>
      <w:r>
        <w:rPr>
          <w:rFonts w:hint="eastAsia" w:ascii="仿宋" w:hAnsi="仿宋" w:eastAsia="仿宋" w:cs="仿宋"/>
          <w:color w:val="000000" w:themeColor="text1"/>
          <w:szCs w:val="21"/>
          <w:highlight w:val="none"/>
          <w14:textFill>
            <w14:solidFill>
              <w14:schemeClr w14:val="tx1"/>
            </w14:solidFill>
          </w14:textFill>
        </w:rPr>
        <w:t>1980号文和发改价格</w:t>
      </w:r>
      <w:r>
        <w:rPr>
          <w:rFonts w:hint="eastAsia" w:ascii="仿宋" w:hAnsi="仿宋" w:eastAsia="仿宋" w:cs="仿宋"/>
          <w:color w:val="000000" w:themeColor="text1"/>
          <w:szCs w:val="21"/>
          <w:highlight w:val="none"/>
          <w:lang w:val="en-US" w:eastAsia="zh-CN"/>
          <w14:textFill>
            <w14:solidFill>
              <w14:schemeClr w14:val="tx1"/>
            </w14:solidFill>
          </w14:textFill>
        </w:rPr>
        <w:t>〔2011〕</w:t>
      </w:r>
      <w:r>
        <w:rPr>
          <w:rFonts w:hint="eastAsia" w:ascii="仿宋" w:hAnsi="仿宋" w:eastAsia="仿宋" w:cs="仿宋"/>
          <w:color w:val="000000" w:themeColor="text1"/>
          <w:szCs w:val="21"/>
          <w:highlight w:val="none"/>
          <w14:textFill>
            <w14:solidFill>
              <w14:schemeClr w14:val="tx1"/>
            </w14:solidFill>
          </w14:textFill>
        </w:rPr>
        <w:t>534号收取，由中标人在领取中标通知书前一次性支付。</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3.2.14投标报价的计价方法，本工程采用工程单价单位估价法。投标报价编制依据：</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bookmarkStart w:id="132" w:name="_Toc499378853"/>
      <w:bookmarkStart w:id="133" w:name="_Toc499378975"/>
      <w:r>
        <w:rPr>
          <w:rFonts w:hint="eastAsia" w:ascii="仿宋" w:hAnsi="仿宋" w:eastAsia="仿宋" w:cs="仿宋"/>
          <w:color w:val="000000" w:themeColor="text1"/>
          <w:szCs w:val="21"/>
          <w:highlight w:val="none"/>
          <w14:textFill>
            <w14:solidFill>
              <w14:schemeClr w14:val="tx1"/>
            </w14:solidFill>
          </w14:textFill>
        </w:rPr>
        <w:t xml:space="preserve">(1)工程量：按照提供的相关图纸计算； </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定额标准：《湖北省市政工程消耗量定额及全费用基价表（2024）》、《湖北省房屋建筑与装饰工程消耗量定额及全费用基价表（2024）》、《湖北省通用安装工程消耗量定额及全费用基价表（2024）》、《湖北省园林绿化工程消耗量定额及全费用基价表（2024）》；</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)材料价格依据标截止时间前《黄石建设工程造价信息》及相关材料市场价格；</w:t>
      </w:r>
    </w:p>
    <w:p>
      <w:pPr>
        <w:snapToGrid w:val="0"/>
        <w:spacing w:line="324"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)计价依据：</w:t>
      </w:r>
      <w:r>
        <w:rPr>
          <w:rFonts w:ascii="仿宋" w:hAnsi="仿宋" w:eastAsia="仿宋" w:cs="仿宋"/>
          <w:color w:val="000000"/>
          <w:sz w:val="21"/>
          <w:szCs w:val="21"/>
        </w:rPr>
        <w:t>鄂建文</w:t>
      </w:r>
      <w:r>
        <w:rPr>
          <w:rFonts w:hint="eastAsia" w:ascii="仿宋" w:hAnsi="仿宋" w:eastAsia="仿宋" w:cs="仿宋"/>
          <w:color w:val="000000" w:themeColor="text1"/>
          <w:szCs w:val="21"/>
          <w:highlight w:val="none"/>
          <w:lang w:val="en-US" w:eastAsia="zh-CN"/>
          <w14:textFill>
            <w14:solidFill>
              <w14:schemeClr w14:val="tx1"/>
            </w14:solidFill>
          </w14:textFill>
        </w:rPr>
        <w:t>〔2019〕</w:t>
      </w:r>
      <w:r>
        <w:rPr>
          <w:rFonts w:ascii="仿宋" w:hAnsi="仿宋" w:eastAsia="仿宋" w:cs="仿宋"/>
          <w:color w:val="000000"/>
          <w:sz w:val="21"/>
          <w:szCs w:val="21"/>
        </w:rPr>
        <w:t>39号文颁发的鄂(GB50500-2013)《建设工程工程量清单计价规范》</w:t>
      </w:r>
      <w:r>
        <w:rPr>
          <w:rFonts w:hint="eastAsia" w:ascii="仿宋" w:hAnsi="仿宋" w:eastAsia="仿宋" w:cs="仿宋"/>
          <w:color w:val="000000"/>
          <w:sz w:val="21"/>
          <w:szCs w:val="21"/>
        </w:rPr>
        <w:t>、鄂建办</w:t>
      </w:r>
      <w:r>
        <w:rPr>
          <w:rFonts w:hint="eastAsia" w:ascii="仿宋" w:hAnsi="仿宋" w:eastAsia="仿宋" w:cs="仿宋"/>
          <w:color w:val="000000" w:themeColor="text1"/>
          <w:szCs w:val="21"/>
          <w:highlight w:val="none"/>
          <w:lang w:val="en-US" w:eastAsia="zh-CN"/>
          <w14:textFill>
            <w14:solidFill>
              <w14:schemeClr w14:val="tx1"/>
            </w14:solidFill>
          </w14:textFill>
        </w:rPr>
        <w:t>〔2019〕</w:t>
      </w:r>
      <w:r>
        <w:rPr>
          <w:rFonts w:hint="eastAsia" w:ascii="仿宋" w:hAnsi="仿宋" w:eastAsia="仿宋" w:cs="仿宋"/>
          <w:color w:val="000000"/>
          <w:sz w:val="21"/>
          <w:szCs w:val="21"/>
        </w:rPr>
        <w:t>93号文《关于调整湖北省建设工程计价依据的通知》、鄂建办</w:t>
      </w:r>
      <w:r>
        <w:rPr>
          <w:rFonts w:hint="eastAsia" w:ascii="仿宋" w:hAnsi="仿宋" w:eastAsia="仿宋" w:cs="仿宋"/>
          <w:color w:val="000000" w:themeColor="text1"/>
          <w:szCs w:val="21"/>
          <w:highlight w:val="none"/>
          <w:lang w:val="en-US" w:eastAsia="zh-CN"/>
          <w14:textFill>
            <w14:solidFill>
              <w14:schemeClr w14:val="tx1"/>
            </w14:solidFill>
          </w14:textFill>
        </w:rPr>
        <w:t>〔2020〕</w:t>
      </w:r>
      <w:r>
        <w:rPr>
          <w:rFonts w:hint="eastAsia" w:ascii="仿宋" w:hAnsi="仿宋" w:eastAsia="仿宋" w:cs="仿宋"/>
          <w:color w:val="000000"/>
          <w:sz w:val="21"/>
          <w:szCs w:val="21"/>
        </w:rPr>
        <w:t>42号文《关于调整湖北省建设工程计价依据定额人工单价的通知》；</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)施工图纸等。</w:t>
      </w:r>
    </w:p>
    <w:p>
      <w:pPr>
        <w:pStyle w:val="5"/>
        <w:numPr>
          <w:ilvl w:val="0"/>
          <w:numId w:val="0"/>
        </w:numPr>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3.3投标有效期</w:t>
      </w:r>
      <w:bookmarkEnd w:id="132"/>
      <w:bookmarkEnd w:id="133"/>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3.3.1在投标有效期内，投标人撤销或修改其投标文件的，应承担法律、法规及招标文件中规定的责任。</w:t>
      </w:r>
    </w:p>
    <w:p>
      <w:pPr>
        <w:tabs>
          <w:tab w:val="left" w:pos="360"/>
        </w:tabs>
        <w:snapToGrid w:val="0"/>
        <w:spacing w:line="324"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3.3.2出现特殊情况需要延长投标有效期的，招标人在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长投标有效期公告。投标人同意延长的，应相应延长其投标保证金的有效期，但不得要求或被允许修改或撤销其投标文件；投标人拒绝延长的，其投标失效，但投标人有权收回其投标保证金。投标有效期不足的响应文件将被视为无效的响应文件</w:t>
      </w:r>
      <w:r>
        <w:rPr>
          <w:rFonts w:hint="eastAsia" w:ascii="仿宋" w:hAnsi="仿宋" w:eastAsia="仿宋" w:cs="仿宋"/>
          <w:sz w:val="24"/>
          <w:highlight w:val="none"/>
        </w:rPr>
        <w:t>。</w:t>
      </w:r>
    </w:p>
    <w:p>
      <w:pPr>
        <w:pStyle w:val="5"/>
        <w:numPr>
          <w:ilvl w:val="0"/>
          <w:numId w:val="0"/>
        </w:numPr>
        <w:snapToGrid w:val="0"/>
        <w:spacing w:before="0" w:after="0" w:line="324" w:lineRule="auto"/>
        <w:rPr>
          <w:rFonts w:ascii="仿宋" w:hAnsi="仿宋" w:eastAsia="仿宋" w:cs="仿宋"/>
          <w:sz w:val="24"/>
          <w:szCs w:val="24"/>
          <w:highlight w:val="none"/>
        </w:rPr>
      </w:pPr>
      <w:bookmarkStart w:id="134" w:name="_Toc499378854"/>
      <w:bookmarkStart w:id="135" w:name="_Toc499378976"/>
      <w:r>
        <w:rPr>
          <w:rFonts w:hint="eastAsia" w:ascii="仿宋" w:hAnsi="仿宋" w:eastAsia="仿宋" w:cs="仿宋"/>
          <w:sz w:val="24"/>
          <w:szCs w:val="24"/>
          <w:highlight w:val="none"/>
        </w:rPr>
        <w:t>3.4投标保证金</w:t>
      </w:r>
      <w:bookmarkEnd w:id="134"/>
      <w:bookmarkEnd w:id="135"/>
    </w:p>
    <w:p>
      <w:pPr>
        <w:tabs>
          <w:tab w:val="left" w:pos="360"/>
        </w:tabs>
        <w:snapToGrid w:val="0"/>
        <w:spacing w:line="324" w:lineRule="auto"/>
        <w:ind w:firstLine="420" w:firstLineChars="200"/>
        <w:rPr>
          <w:rFonts w:ascii="仿宋" w:hAnsi="仿宋" w:eastAsia="仿宋" w:cs="仿宋"/>
          <w:szCs w:val="21"/>
          <w:highlight w:val="none"/>
        </w:rPr>
      </w:pPr>
      <w:bookmarkStart w:id="136" w:name="_Toc336091285"/>
      <w:r>
        <w:rPr>
          <w:rFonts w:hint="eastAsia" w:ascii="仿宋" w:hAnsi="仿宋" w:eastAsia="仿宋" w:cs="仿宋"/>
          <w:szCs w:val="21"/>
          <w:highlight w:val="none"/>
        </w:rPr>
        <w:t>3.4.1投标人在递交投标文件的同时，应按投标人须知前附表规定的金额和第八章“投标文件格式”规定的投标保证金格式递交投标保证金承诺书，并作为其投标文件的组成部分。</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3.4.2投标人不按本章第3.4.1项要求提交投标保证金的，评标委员会将否决其投标。</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3.4.3未中标人的投标保证金在中标候选人公示期满后无违法违规行为的，3个工作日内按来款渠道自动退回（按银行活期同期利息计算，支付手续费在利息中扣除）。中标人的投标保证金在合同签订后3日内按来款渠道退回（按银行活期同期利息计算，支付手续费在利息中扣除）。</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3.4.4投标人有下列情形之一的，投标保证金不予退还：</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（1）中标人在收到中标通知书后，无正当理由拒签合同协议书或未按招标文件规定提交履约担保；</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（2）经评标委员会认定有围标、串标行为，经查实的；</w:t>
      </w:r>
    </w:p>
    <w:p>
      <w:pPr>
        <w:pStyle w:val="5"/>
        <w:numPr>
          <w:ilvl w:val="0"/>
          <w:numId w:val="0"/>
        </w:numPr>
        <w:snapToGrid w:val="0"/>
        <w:spacing w:before="0" w:after="0" w:line="324" w:lineRule="auto"/>
        <w:rPr>
          <w:rFonts w:ascii="仿宋" w:hAnsi="仿宋" w:eastAsia="仿宋" w:cs="仿宋"/>
          <w:sz w:val="24"/>
          <w:szCs w:val="24"/>
          <w:highlight w:val="none"/>
        </w:rPr>
      </w:pPr>
      <w:bookmarkStart w:id="137" w:name="_Toc499378855"/>
      <w:bookmarkStart w:id="138" w:name="_Toc499378977"/>
      <w:r>
        <w:rPr>
          <w:rFonts w:hint="eastAsia" w:ascii="仿宋" w:hAnsi="仿宋" w:eastAsia="仿宋" w:cs="仿宋"/>
          <w:sz w:val="24"/>
          <w:szCs w:val="24"/>
          <w:highlight w:val="none"/>
        </w:rPr>
        <w:t>3.5资格审查资料</w:t>
      </w:r>
      <w:bookmarkEnd w:id="136"/>
      <w:bookmarkEnd w:id="137"/>
      <w:bookmarkEnd w:id="138"/>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3.5.1“投标人基本情况表”应附投标人资质证书等材料。</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3.5.2财务审计报告，具体年份要求见投标人须知前附表。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3.5.3“近3年完成的类似项目情况表”应附中标通知书和施工合同及工程竣工验收证明的复印件，具体年份要求见投标人须知前附表。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3.5.4“正在施工和新承接的项目情况表”应附中标通知书</w:t>
      </w:r>
      <w:r>
        <w:rPr>
          <w:rFonts w:hint="eastAsia" w:ascii="仿宋" w:hAnsi="仿宋" w:eastAsia="仿宋" w:cs="仿宋"/>
          <w:szCs w:val="21"/>
          <w:highlight w:val="none"/>
          <w:u w:val="single"/>
        </w:rPr>
        <w:t>或</w:t>
      </w:r>
      <w:r>
        <w:rPr>
          <w:rFonts w:hint="eastAsia" w:ascii="仿宋" w:hAnsi="仿宋" w:eastAsia="仿宋" w:cs="仿宋"/>
          <w:szCs w:val="21"/>
          <w:highlight w:val="none"/>
        </w:rPr>
        <w:t>合同协议书复印件。</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3.5.5投标人在递交投标文件时还应同时递交一份投标人资格审查记录表（格式见招标文件末投标人资格审查记录表）及相关加盖公章复印件。投标人提供投标人资格审查记录表应与投标文件中的复印件一致，否则视为无效材料作废标处理。</w:t>
      </w:r>
    </w:p>
    <w:p>
      <w:pPr>
        <w:pStyle w:val="5"/>
        <w:numPr>
          <w:ilvl w:val="0"/>
          <w:numId w:val="0"/>
        </w:numPr>
        <w:snapToGrid w:val="0"/>
        <w:spacing w:before="0" w:after="0" w:line="324" w:lineRule="auto"/>
        <w:rPr>
          <w:rFonts w:ascii="仿宋" w:hAnsi="仿宋" w:eastAsia="仿宋" w:cs="仿宋"/>
          <w:sz w:val="24"/>
          <w:szCs w:val="24"/>
          <w:highlight w:val="none"/>
        </w:rPr>
      </w:pPr>
      <w:bookmarkStart w:id="139" w:name="_Toc499378978"/>
      <w:bookmarkStart w:id="140" w:name="_Toc499378856"/>
      <w:r>
        <w:rPr>
          <w:rFonts w:hint="eastAsia" w:ascii="仿宋" w:hAnsi="仿宋" w:eastAsia="仿宋" w:cs="仿宋"/>
          <w:sz w:val="24"/>
          <w:szCs w:val="24"/>
          <w:highlight w:val="none"/>
        </w:rPr>
        <w:t>3.6备选投标方案</w:t>
      </w:r>
      <w:bookmarkEnd w:id="139"/>
      <w:bookmarkEnd w:id="140"/>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除投标人须知前附表另有规定外，投标人不得递交备选投标方案。</w:t>
      </w:r>
    </w:p>
    <w:p>
      <w:pPr>
        <w:pStyle w:val="5"/>
        <w:numPr>
          <w:ilvl w:val="0"/>
          <w:numId w:val="0"/>
        </w:numPr>
        <w:snapToGrid w:val="0"/>
        <w:spacing w:before="0" w:after="0" w:line="324" w:lineRule="auto"/>
        <w:rPr>
          <w:rFonts w:ascii="仿宋" w:hAnsi="仿宋" w:eastAsia="仿宋" w:cs="仿宋"/>
          <w:sz w:val="24"/>
          <w:szCs w:val="24"/>
          <w:highlight w:val="none"/>
        </w:rPr>
      </w:pPr>
      <w:bookmarkStart w:id="141" w:name="_Toc336091286"/>
      <w:bookmarkStart w:id="142" w:name="_Toc499378979"/>
      <w:bookmarkStart w:id="143" w:name="_Toc499378857"/>
      <w:r>
        <w:rPr>
          <w:rFonts w:hint="eastAsia" w:ascii="仿宋" w:hAnsi="仿宋" w:eastAsia="仿宋" w:cs="仿宋"/>
          <w:sz w:val="24"/>
          <w:szCs w:val="24"/>
          <w:highlight w:val="none"/>
        </w:rPr>
        <w:t>3.7投标文件的编制</w:t>
      </w:r>
      <w:bookmarkEnd w:id="141"/>
      <w:bookmarkEnd w:id="142"/>
      <w:bookmarkEnd w:id="143"/>
    </w:p>
    <w:p>
      <w:pPr>
        <w:snapToGrid w:val="0"/>
        <w:spacing w:line="324" w:lineRule="auto"/>
        <w:ind w:firstLine="420" w:firstLineChars="200"/>
        <w:rPr>
          <w:rFonts w:ascii="仿宋" w:hAnsi="仿宋" w:eastAsia="仿宋" w:cs="仿宋"/>
          <w:szCs w:val="21"/>
          <w:highlight w:val="none"/>
        </w:rPr>
      </w:pPr>
      <w:bookmarkStart w:id="144" w:name="_Toc184635074"/>
      <w:r>
        <w:rPr>
          <w:rFonts w:hint="eastAsia" w:ascii="仿宋" w:hAnsi="仿宋" w:eastAsia="仿宋" w:cs="仿宋"/>
          <w:szCs w:val="21"/>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3.7.2投标文件应当对招标文件有关工期、投标有效期、质量要求、技术标准和要求、招标范围等实质性内容作出响应。</w:t>
      </w:r>
    </w:p>
    <w:p>
      <w:pPr>
        <w:tabs>
          <w:tab w:val="left" w:pos="828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3.7.4投标人向招标人递交投标人须知前附表规定份数的投标文件，副本应是正本的复印件。投标文件应在其封面清楚注明“正本”和“副本”字样。当正本和副本的内容不一致时，以正本为准。</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3.7.5投标文件的正本与副本应分别装订成册，并编制目录，具体装订要求见投标人须知前附表规定。</w:t>
      </w:r>
    </w:p>
    <w:p>
      <w:pPr>
        <w:snapToGrid w:val="0"/>
        <w:spacing w:line="324" w:lineRule="auto"/>
        <w:ind w:firstLine="420" w:firstLineChars="200"/>
        <w:rPr>
          <w:rFonts w:ascii="仿宋" w:hAnsi="仿宋" w:eastAsia="仿宋" w:cs="仿宋"/>
          <w:color w:val="auto"/>
          <w:szCs w:val="21"/>
          <w:highlight w:val="none"/>
        </w:rPr>
      </w:pPr>
      <w:bookmarkStart w:id="145" w:name="_Toc499378858"/>
      <w:bookmarkStart w:id="146" w:name="_Toc499378980"/>
      <w:bookmarkStart w:id="147" w:name="_Toc336091287"/>
      <w:r>
        <w:rPr>
          <w:rFonts w:hint="eastAsia" w:ascii="仿宋" w:hAnsi="仿宋" w:eastAsia="仿宋" w:cs="仿宋"/>
          <w:color w:val="auto"/>
          <w:szCs w:val="21"/>
          <w:highlight w:val="none"/>
        </w:rPr>
        <w:t>3.7.6投标人制作投标文件时，必须按下列要求将技术标制作为暗标：</w:t>
      </w:r>
    </w:p>
    <w:p>
      <w:pPr>
        <w:snapToGrid w:val="0"/>
        <w:spacing w:line="324"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3.7.6.1投标人请联系郑先生（15971557432）购买，在规定的位置按要求填写单位名称、盖章并密封；</w:t>
      </w:r>
    </w:p>
    <w:p>
      <w:pPr>
        <w:snapToGrid w:val="0"/>
        <w:spacing w:line="324"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3.7.6.2文本一律采用A4规格的白色纸张；文字为四号简宋体，黑色打印；</w:t>
      </w:r>
    </w:p>
    <w:p>
      <w:pPr>
        <w:snapToGrid w:val="0"/>
        <w:spacing w:line="324"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3.7.6.3所有表格一律采用电脑绘制，A4规格白色纸张，黑色打印，文字为小四号简宋体；</w:t>
      </w:r>
    </w:p>
    <w:p>
      <w:pPr>
        <w:snapToGrid w:val="0"/>
        <w:spacing w:line="324"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3.7.6.4施工总进度横道图或施工网络计划图、施工平面布置图及插图一律采用电脑绘制，白色纸张，黑色打印，图上标识的文字一律采用不大于四号的简宋体；</w:t>
      </w:r>
    </w:p>
    <w:p>
      <w:pPr>
        <w:snapToGrid w:val="0"/>
        <w:spacing w:line="324"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3.7.6.5页眉、页脚处不得划线或作其他任何标识；不得设置页码；</w:t>
      </w:r>
    </w:p>
    <w:p>
      <w:pPr>
        <w:snapToGrid w:val="0"/>
        <w:spacing w:line="324"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3.7.6.6版面整洁、字迹清楚、不许涂改，不得出现手写，不得作任何标识或暗示投标人单位名称或人员姓名的标记，也不得采用任何不符合常规、有别于其他投标人的特殊做法；</w:t>
      </w:r>
    </w:p>
    <w:p>
      <w:pPr>
        <w:snapToGrid w:val="0"/>
        <w:spacing w:line="324"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3.7.6.7技术标书与商务标书和综合标书分开，单独装订（分正、副本），文件的密封与标志按招标文件的要求处理。</w:t>
      </w:r>
    </w:p>
    <w:p>
      <w:pPr>
        <w:snapToGrid w:val="0"/>
        <w:spacing w:line="324"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以上3.7.6.1～3.7.6.7条视为招标文件的实质性要求，评标专家一致认为有标识性的标识，未按本规定制作的投标文件，评标委员会将否决其投标。</w:t>
      </w:r>
    </w:p>
    <w:p>
      <w:pPr>
        <w:pStyle w:val="4"/>
        <w:tabs>
          <w:tab w:val="left" w:pos="567"/>
        </w:tabs>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4、投标</w:t>
      </w:r>
      <w:bookmarkEnd w:id="145"/>
      <w:bookmarkEnd w:id="146"/>
      <w:bookmarkEnd w:id="147"/>
      <w:r>
        <w:rPr>
          <w:rFonts w:hint="eastAsia" w:ascii="仿宋" w:hAnsi="仿宋" w:eastAsia="仿宋" w:cs="仿宋"/>
          <w:sz w:val="24"/>
          <w:szCs w:val="24"/>
          <w:highlight w:val="none"/>
        </w:rPr>
        <w:t>`</w:t>
      </w:r>
      <w:r>
        <w:rPr>
          <w:rFonts w:hint="eastAsia" w:ascii="仿宋" w:hAnsi="仿宋" w:eastAsia="仿宋" w:cs="仿宋"/>
          <w:sz w:val="24"/>
          <w:szCs w:val="24"/>
          <w:highlight w:val="none"/>
        </w:rPr>
        <w:tab/>
      </w:r>
    </w:p>
    <w:p>
      <w:pPr>
        <w:pStyle w:val="5"/>
        <w:numPr>
          <w:ilvl w:val="0"/>
          <w:numId w:val="0"/>
        </w:numPr>
        <w:snapToGrid w:val="0"/>
        <w:spacing w:before="0" w:after="0" w:line="324" w:lineRule="auto"/>
        <w:rPr>
          <w:rFonts w:ascii="仿宋" w:hAnsi="仿宋" w:eastAsia="仿宋" w:cs="仿宋"/>
          <w:sz w:val="24"/>
          <w:szCs w:val="24"/>
          <w:highlight w:val="none"/>
        </w:rPr>
      </w:pPr>
      <w:bookmarkStart w:id="148" w:name="_Toc499378981"/>
      <w:bookmarkStart w:id="149" w:name="_Toc336091288"/>
      <w:bookmarkStart w:id="150" w:name="_Toc499378859"/>
      <w:r>
        <w:rPr>
          <w:rFonts w:hint="eastAsia" w:ascii="仿宋" w:hAnsi="仿宋" w:eastAsia="仿宋" w:cs="仿宋"/>
          <w:sz w:val="24"/>
          <w:szCs w:val="24"/>
          <w:highlight w:val="none"/>
        </w:rPr>
        <w:t>4.1投标文件的密封和标记</w:t>
      </w:r>
      <w:bookmarkEnd w:id="148"/>
      <w:bookmarkEnd w:id="149"/>
      <w:bookmarkEnd w:id="150"/>
    </w:p>
    <w:bookmarkEnd w:id="144"/>
    <w:p>
      <w:pPr>
        <w:snapToGrid w:val="0"/>
        <w:spacing w:line="324" w:lineRule="auto"/>
        <w:ind w:firstLine="420" w:firstLineChars="200"/>
        <w:rPr>
          <w:rFonts w:ascii="仿宋" w:hAnsi="仿宋" w:eastAsia="仿宋" w:cs="仿宋"/>
          <w:szCs w:val="21"/>
          <w:highlight w:val="none"/>
        </w:rPr>
      </w:pPr>
      <w:bookmarkStart w:id="151" w:name="_Toc336091289"/>
      <w:r>
        <w:rPr>
          <w:rFonts w:hint="eastAsia" w:ascii="仿宋" w:hAnsi="仿宋" w:eastAsia="仿宋" w:cs="仿宋"/>
          <w:szCs w:val="21"/>
          <w:highlight w:val="none"/>
        </w:rPr>
        <w:t>4.1.1投标文件</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应分开包装,加贴封条。</w:t>
      </w:r>
    </w:p>
    <w:p>
      <w:pPr>
        <w:snapToGrid w:val="0"/>
        <w:spacing w:line="324" w:lineRule="auto"/>
        <w:ind w:firstLine="420" w:firstLineChars="200"/>
        <w:rPr>
          <w:rFonts w:ascii="仿宋" w:hAnsi="仿宋" w:eastAsia="仿宋" w:cs="仿宋"/>
          <w:color w:val="0000FF"/>
          <w:szCs w:val="21"/>
          <w:highlight w:val="none"/>
        </w:rPr>
      </w:pPr>
      <w:r>
        <w:rPr>
          <w:rFonts w:hint="eastAsia" w:ascii="仿宋" w:hAnsi="仿宋" w:eastAsia="仿宋" w:cs="仿宋"/>
          <w:szCs w:val="21"/>
          <w:highlight w:val="none"/>
        </w:rPr>
        <w:t>4.1.2投标文件的装封套上应清楚地标记</w:t>
      </w:r>
      <w:r>
        <w:rPr>
          <w:rFonts w:hint="eastAsia" w:ascii="仿宋" w:hAnsi="仿宋" w:eastAsia="仿宋" w:cs="仿宋"/>
          <w:b/>
          <w:color w:val="auto"/>
          <w:szCs w:val="21"/>
          <w:highlight w:val="none"/>
        </w:rPr>
        <w:t>“</w:t>
      </w:r>
      <w:r>
        <w:rPr>
          <w:rFonts w:hint="eastAsia" w:ascii="仿宋" w:hAnsi="仿宋" w:eastAsia="仿宋" w:cs="仿宋"/>
          <w:bCs/>
          <w:color w:val="auto"/>
          <w:szCs w:val="21"/>
          <w:highlight w:val="none"/>
        </w:rPr>
        <w:t>综合标”、“技术标”、“商务标”、“投标函及投标函附录”</w:t>
      </w:r>
      <w:r>
        <w:rPr>
          <w:rFonts w:hint="eastAsia" w:ascii="仿宋" w:hAnsi="仿宋" w:eastAsia="仿宋" w:cs="仿宋"/>
          <w:color w:val="auto"/>
          <w:szCs w:val="21"/>
          <w:highlight w:val="none"/>
        </w:rPr>
        <w:t>字样，封套上应写明的其他内容见投标人须知前附表。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4.1.3未按本章第4.1.1项或第4.1.2项要求密封和加写标记的投标文件，招标人应予拒收。</w:t>
      </w:r>
    </w:p>
    <w:p>
      <w:pPr>
        <w:pStyle w:val="5"/>
        <w:numPr>
          <w:ilvl w:val="0"/>
          <w:numId w:val="0"/>
        </w:numPr>
        <w:snapToGrid w:val="0"/>
        <w:spacing w:before="0" w:after="0" w:line="324" w:lineRule="auto"/>
        <w:rPr>
          <w:rFonts w:ascii="仿宋" w:hAnsi="仿宋" w:eastAsia="仿宋" w:cs="仿宋"/>
          <w:sz w:val="24"/>
          <w:szCs w:val="24"/>
          <w:highlight w:val="none"/>
        </w:rPr>
      </w:pPr>
      <w:bookmarkStart w:id="152" w:name="_Toc499378982"/>
      <w:bookmarkStart w:id="153" w:name="_Toc499378860"/>
      <w:r>
        <w:rPr>
          <w:rFonts w:hint="eastAsia" w:ascii="仿宋" w:hAnsi="仿宋" w:eastAsia="仿宋" w:cs="仿宋"/>
          <w:sz w:val="24"/>
          <w:szCs w:val="24"/>
          <w:highlight w:val="none"/>
        </w:rPr>
        <w:t>4.2投标文件的递交</w:t>
      </w:r>
      <w:bookmarkEnd w:id="151"/>
      <w:bookmarkEnd w:id="152"/>
      <w:bookmarkEnd w:id="153"/>
    </w:p>
    <w:p>
      <w:pPr>
        <w:snapToGrid w:val="0"/>
        <w:spacing w:line="324" w:lineRule="auto"/>
        <w:ind w:firstLine="420" w:firstLineChars="200"/>
        <w:rPr>
          <w:rFonts w:ascii="仿宋" w:hAnsi="仿宋" w:eastAsia="仿宋" w:cs="仿宋"/>
          <w:szCs w:val="21"/>
          <w:highlight w:val="none"/>
        </w:rPr>
      </w:pPr>
      <w:bookmarkStart w:id="154" w:name="_Toc336091290"/>
      <w:r>
        <w:rPr>
          <w:rFonts w:hint="eastAsia" w:ascii="仿宋" w:hAnsi="仿宋" w:eastAsia="仿宋" w:cs="仿宋"/>
          <w:szCs w:val="21"/>
          <w:highlight w:val="none"/>
        </w:rPr>
        <w:t>4.2.1投标人应在本章第2.2.2项规定的投标截止时间前递交投标文件。</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4.2.2投标人递交投标文件的地点：见投标人须知前附表。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4.2.3除投标人须知前附表另有规定外，投标人所递交的投标文件不予退还。</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4.2.4招标人收到投标文件</w:t>
      </w:r>
      <w:r>
        <w:rPr>
          <w:rFonts w:hint="eastAsia" w:ascii="仿宋" w:hAnsi="仿宋" w:eastAsia="仿宋" w:cs="仿宋"/>
          <w:szCs w:val="21"/>
          <w:highlight w:val="none"/>
        </w:rPr>
        <w:tab/>
      </w:r>
      <w:r>
        <w:rPr>
          <w:rFonts w:hint="eastAsia" w:ascii="仿宋" w:hAnsi="仿宋" w:eastAsia="仿宋" w:cs="仿宋"/>
          <w:szCs w:val="21"/>
          <w:highlight w:val="none"/>
        </w:rPr>
        <w:t>后，向投标人出具签收凭证。</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4.2.5逾期送达的或者未送达指定地点的投标文件，招标人不予受理。</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4.2.6招标人按投标人须知发出澄清、修改后，如果决定推迟递交投标文件截止日期，招标人或招标代理机构在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发布延期公告。在此情况下，招标人和投标人的权利和义务相应延后至新的投标截止时间。</w:t>
      </w:r>
    </w:p>
    <w:p>
      <w:pPr>
        <w:pStyle w:val="5"/>
        <w:numPr>
          <w:ilvl w:val="0"/>
          <w:numId w:val="0"/>
        </w:numPr>
        <w:snapToGrid w:val="0"/>
        <w:spacing w:before="0" w:after="0" w:line="324" w:lineRule="auto"/>
        <w:rPr>
          <w:rFonts w:ascii="仿宋" w:hAnsi="仿宋" w:eastAsia="仿宋" w:cs="仿宋"/>
          <w:sz w:val="24"/>
          <w:szCs w:val="24"/>
          <w:highlight w:val="none"/>
        </w:rPr>
      </w:pPr>
      <w:bookmarkStart w:id="155" w:name="_Toc499378861"/>
      <w:bookmarkStart w:id="156" w:name="_Toc499378983"/>
      <w:r>
        <w:rPr>
          <w:rFonts w:hint="eastAsia" w:ascii="仿宋" w:hAnsi="仿宋" w:eastAsia="仿宋" w:cs="仿宋"/>
          <w:sz w:val="24"/>
          <w:szCs w:val="24"/>
          <w:highlight w:val="none"/>
        </w:rPr>
        <w:t>4.3投标文件的修改与撤回</w:t>
      </w:r>
      <w:bookmarkEnd w:id="154"/>
      <w:bookmarkEnd w:id="155"/>
      <w:bookmarkEnd w:id="156"/>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4.3.1在本章第2.2.2项规定的投标截止时间前，投标人可以修改或撤回已递交的投标文件，但应以书面形式通知招标人。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4.3.2投标人修改或撤回已递交投标文件的书面通知应按照本章第3.7.3项的要求签字或盖章。招标人收到书面通知后，向投标人出具签收凭证。</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4.3.3投标人撤回投标文件的，招标人自收到投标人书面撤回通知之日起5日内退还已收取的投标保证金。</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4.3.4修改的内容为投标文件的组成部分。修改的投标文件应按照本章第3条、第4条规定进行编制、密封、标记和递交，并标明“修改”字样。</w:t>
      </w:r>
    </w:p>
    <w:p>
      <w:pPr>
        <w:pStyle w:val="4"/>
        <w:tabs>
          <w:tab w:val="left" w:pos="567"/>
        </w:tabs>
        <w:snapToGrid w:val="0"/>
        <w:spacing w:before="0" w:after="0" w:line="324" w:lineRule="auto"/>
        <w:ind w:firstLine="482" w:firstLineChars="200"/>
        <w:rPr>
          <w:rFonts w:ascii="仿宋" w:hAnsi="仿宋" w:eastAsia="仿宋" w:cs="仿宋"/>
          <w:sz w:val="24"/>
          <w:szCs w:val="24"/>
          <w:highlight w:val="none"/>
        </w:rPr>
      </w:pPr>
      <w:bookmarkStart w:id="157" w:name="_Toc184635075"/>
      <w:bookmarkStart w:id="158" w:name="_Toc499378984"/>
      <w:bookmarkStart w:id="159" w:name="_Toc336091291"/>
      <w:bookmarkStart w:id="160" w:name="_Toc499378862"/>
      <w:r>
        <w:rPr>
          <w:rFonts w:hint="eastAsia" w:ascii="仿宋" w:hAnsi="仿宋" w:eastAsia="仿宋" w:cs="仿宋"/>
          <w:sz w:val="24"/>
          <w:szCs w:val="24"/>
          <w:highlight w:val="none"/>
        </w:rPr>
        <w:t>5、开标</w:t>
      </w:r>
      <w:bookmarkEnd w:id="157"/>
      <w:bookmarkEnd w:id="158"/>
      <w:bookmarkEnd w:id="159"/>
      <w:bookmarkEnd w:id="160"/>
    </w:p>
    <w:p>
      <w:pPr>
        <w:pStyle w:val="5"/>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61" w:name="_Toc499378863"/>
      <w:bookmarkStart w:id="162" w:name="_Toc336091292"/>
      <w:bookmarkStart w:id="163" w:name="_Toc499378985"/>
      <w:r>
        <w:rPr>
          <w:rFonts w:hint="eastAsia" w:ascii="仿宋" w:hAnsi="仿宋" w:eastAsia="仿宋" w:cs="仿宋"/>
          <w:sz w:val="24"/>
          <w:szCs w:val="24"/>
          <w:highlight w:val="none"/>
        </w:rPr>
        <w:t>5.1开标时间和地点</w:t>
      </w:r>
      <w:bookmarkEnd w:id="161"/>
      <w:bookmarkEnd w:id="162"/>
      <w:bookmarkEnd w:id="163"/>
    </w:p>
    <w:p>
      <w:pPr>
        <w:pStyle w:val="24"/>
        <w:snapToGrid w:val="0"/>
        <w:spacing w:line="324" w:lineRule="auto"/>
        <w:ind w:firstLine="420" w:firstLineChars="200"/>
        <w:jc w:val="both"/>
        <w:rPr>
          <w:rFonts w:ascii="仿宋" w:hAnsi="仿宋" w:eastAsia="仿宋" w:cs="仿宋"/>
          <w:color w:val="auto"/>
          <w:sz w:val="21"/>
          <w:szCs w:val="21"/>
          <w:highlight w:val="none"/>
        </w:rPr>
      </w:pPr>
      <w:bookmarkStart w:id="164" w:name="_Toc336091293"/>
      <w:r>
        <w:rPr>
          <w:rFonts w:hint="eastAsia" w:ascii="仿宋" w:hAnsi="仿宋" w:eastAsia="仿宋" w:cs="仿宋"/>
          <w:color w:val="auto"/>
          <w:sz w:val="21"/>
          <w:szCs w:val="21"/>
          <w:highlight w:val="none"/>
        </w:rPr>
        <w:t>5.1.1 招标人在本章第2.2.2 项规定的投标截止时间</w:t>
      </w:r>
      <w:r>
        <w:rPr>
          <w:rFonts w:hint="eastAsia" w:ascii="仿宋" w:hAnsi="仿宋" w:eastAsia="仿宋" w:cs="仿宋"/>
          <w:color w:val="auto"/>
          <w:szCs w:val="21"/>
          <w:highlight w:val="none"/>
        </w:rPr>
        <w:t>（</w:t>
      </w:r>
      <w:r>
        <w:rPr>
          <w:rFonts w:hint="eastAsia" w:ascii="仿宋" w:hAnsi="仿宋" w:eastAsia="仿宋" w:cs="仿宋"/>
          <w:color w:val="auto"/>
          <w:sz w:val="21"/>
          <w:szCs w:val="21"/>
          <w:highlight w:val="none"/>
        </w:rPr>
        <w:t>（开标时间）和投标人须知前附表规定的地点公开开标，并邀请所有投标人代表准时参加。</w:t>
      </w:r>
    </w:p>
    <w:p>
      <w:pPr>
        <w:pStyle w:val="24"/>
        <w:snapToGrid w:val="0"/>
        <w:spacing w:line="324" w:lineRule="auto"/>
        <w:ind w:firstLine="420" w:firstLineChars="200"/>
        <w:jc w:val="both"/>
        <w:rPr>
          <w:rFonts w:ascii="仿宋" w:hAnsi="仿宋" w:eastAsia="仿宋" w:cs="仿宋"/>
          <w:sz w:val="21"/>
          <w:szCs w:val="21"/>
          <w:highlight w:val="none"/>
        </w:rPr>
      </w:pPr>
      <w:r>
        <w:rPr>
          <w:rFonts w:hint="eastAsia" w:ascii="仿宋" w:hAnsi="仿宋" w:eastAsia="仿宋" w:cs="仿宋"/>
          <w:color w:val="auto"/>
          <w:sz w:val="21"/>
          <w:szCs w:val="21"/>
          <w:highlight w:val="none"/>
        </w:rPr>
        <w:t>5.1.2 参加开标会的</w:t>
      </w:r>
      <w:r>
        <w:rPr>
          <w:rFonts w:hint="eastAsia" w:ascii="仿宋" w:hAnsi="仿宋" w:eastAsia="仿宋" w:cs="仿宋"/>
          <w:sz w:val="21"/>
          <w:szCs w:val="21"/>
          <w:highlight w:val="none"/>
        </w:rPr>
        <w:t>必须为投标人法定代表人或委托代理人，法定代表人须携带本人身份证原件，委托代理人须携带身份证原件、法定代表人授权委托书，委托代理人必须为本公司正式员工，</w:t>
      </w:r>
    </w:p>
    <w:p>
      <w:pPr>
        <w:pStyle w:val="24"/>
        <w:snapToGrid w:val="0"/>
        <w:spacing w:line="324" w:lineRule="auto"/>
        <w:jc w:val="both"/>
        <w:rPr>
          <w:rFonts w:ascii="仿宋" w:hAnsi="仿宋" w:eastAsia="仿宋" w:cs="仿宋"/>
          <w:color w:val="000000" w:themeColor="text1"/>
          <w:sz w:val="21"/>
          <w:szCs w:val="21"/>
          <w:highlight w:val="none"/>
          <w:shd w:val="clear" w:color="FFFFFF" w:fill="D9D9D9"/>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招标人核实确认并如实记入开标记录。投标人的法定代表人或委托人未参加开标会的，其投标将被否决。</w:t>
      </w:r>
    </w:p>
    <w:p>
      <w:pPr>
        <w:pStyle w:val="5"/>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65" w:name="_Toc499378864"/>
      <w:bookmarkStart w:id="166" w:name="_Toc499378986"/>
      <w:r>
        <w:rPr>
          <w:rFonts w:hint="eastAsia" w:ascii="仿宋" w:hAnsi="仿宋" w:eastAsia="仿宋" w:cs="仿宋"/>
          <w:sz w:val="24"/>
          <w:szCs w:val="24"/>
          <w:highlight w:val="none"/>
        </w:rPr>
        <w:t>5.2开标程序</w:t>
      </w:r>
      <w:bookmarkEnd w:id="164"/>
      <w:bookmarkEnd w:id="165"/>
      <w:bookmarkEnd w:id="166"/>
    </w:p>
    <w:p>
      <w:pPr>
        <w:snapToGrid w:val="0"/>
        <w:spacing w:line="324" w:lineRule="auto"/>
        <w:ind w:firstLine="420" w:firstLineChars="200"/>
        <w:rPr>
          <w:rFonts w:ascii="仿宋" w:hAnsi="仿宋" w:eastAsia="仿宋" w:cs="仿宋"/>
          <w:szCs w:val="21"/>
          <w:highlight w:val="none"/>
        </w:rPr>
      </w:pPr>
      <w:bookmarkStart w:id="167" w:name="EB33ff58b5428c4df5bbdc075859230fd5"/>
      <w:r>
        <w:rPr>
          <w:rFonts w:hint="eastAsia" w:ascii="仿宋" w:hAnsi="仿宋" w:eastAsia="仿宋" w:cs="仿宋"/>
          <w:szCs w:val="21"/>
          <w:highlight w:val="none"/>
        </w:rPr>
        <w:t>主持人按下列程序进行开标：</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（l）宣布开标纪律；</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（2）公布在投标截止时间前递交投标文件的投标人名称，并点名确认投标人是否派人到场；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（3）宣布开标人、唱标人、记录人、监标人等有关人员姓名；</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（4）按照投标人须知前附表规定检查投标文件的密封情况；</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（5）按照投标人须知前附表的规定确定并宣布投标文件开标顺序；</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（6）按照宣布的开标顺序当众开标，公布投标人名称、标段名称、投标保证金的递交情况、投标报价、质量目标、工期及其他内容，并记录在案；</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（7）公布本项目最高投标限价；超出最高投标限价的投标人，不参加评标环节；</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（8）投标人代表抽取本工程的F值；</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（9）投标人代表、招标人代表、监标人、记录人等有关人员在开标记录上签字确认；</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（10）开标结束。</w:t>
      </w:r>
    </w:p>
    <w:p>
      <w:pPr>
        <w:pStyle w:val="5"/>
        <w:numPr>
          <w:ilvl w:val="0"/>
          <w:numId w:val="0"/>
        </w:numPr>
        <w:snapToGrid w:val="0"/>
        <w:spacing w:before="0" w:after="0" w:line="324" w:lineRule="auto"/>
        <w:rPr>
          <w:rFonts w:ascii="仿宋" w:hAnsi="仿宋" w:eastAsia="仿宋" w:cs="仿宋"/>
          <w:sz w:val="24"/>
          <w:highlight w:val="none"/>
        </w:rPr>
      </w:pPr>
      <w:bookmarkStart w:id="168" w:name="_Toc499378865"/>
      <w:bookmarkStart w:id="169" w:name="_Toc499378987"/>
      <w:r>
        <w:rPr>
          <w:rFonts w:hint="eastAsia" w:ascii="仿宋" w:hAnsi="仿宋" w:eastAsia="仿宋" w:cs="仿宋"/>
          <w:sz w:val="24"/>
          <w:highlight w:val="none"/>
        </w:rPr>
        <w:t>5.3开标异议</w:t>
      </w:r>
      <w:bookmarkEnd w:id="168"/>
      <w:bookmarkEnd w:id="169"/>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投标人对开标有异议的，应当在开标现场提出，招标人应当当场作出答复，并制作记录，异议成立的交予评标委员会决定。</w:t>
      </w:r>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本处所称异议是指投标人在开标现场对投标文件提交、投标截止时间、开标程序、投标文件密封、唱标内容、开标记录、唱标次序以及投标人和招标人或者投标人相互之间存在利益冲突的情形等提出的质疑。</w:t>
      </w:r>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7"/>
    <w:p>
      <w:pPr>
        <w:pStyle w:val="4"/>
        <w:tabs>
          <w:tab w:val="left" w:pos="567"/>
        </w:tabs>
        <w:snapToGrid w:val="0"/>
        <w:spacing w:before="0" w:after="0" w:line="324" w:lineRule="auto"/>
        <w:rPr>
          <w:rFonts w:ascii="仿宋" w:hAnsi="仿宋" w:eastAsia="仿宋" w:cs="仿宋"/>
          <w:sz w:val="24"/>
          <w:szCs w:val="24"/>
          <w:highlight w:val="none"/>
        </w:rPr>
      </w:pPr>
      <w:bookmarkStart w:id="170" w:name="_Toc499378988"/>
      <w:bookmarkStart w:id="171" w:name="_Toc336091294"/>
      <w:bookmarkStart w:id="172" w:name="_Toc184635076"/>
      <w:bookmarkStart w:id="173" w:name="_Toc499378866"/>
      <w:r>
        <w:rPr>
          <w:rFonts w:hint="eastAsia" w:ascii="仿宋" w:hAnsi="仿宋" w:eastAsia="仿宋" w:cs="仿宋"/>
          <w:sz w:val="24"/>
          <w:szCs w:val="24"/>
          <w:highlight w:val="none"/>
        </w:rPr>
        <w:t>6、评标</w:t>
      </w:r>
      <w:bookmarkEnd w:id="170"/>
      <w:bookmarkEnd w:id="171"/>
      <w:bookmarkEnd w:id="172"/>
      <w:bookmarkEnd w:id="173"/>
    </w:p>
    <w:p>
      <w:pPr>
        <w:pStyle w:val="5"/>
        <w:numPr>
          <w:ilvl w:val="0"/>
          <w:numId w:val="0"/>
        </w:numPr>
        <w:snapToGrid w:val="0"/>
        <w:spacing w:before="0" w:after="0" w:line="324" w:lineRule="auto"/>
        <w:rPr>
          <w:rFonts w:ascii="仿宋" w:hAnsi="仿宋" w:eastAsia="仿宋" w:cs="仿宋"/>
          <w:sz w:val="24"/>
          <w:szCs w:val="24"/>
          <w:highlight w:val="none"/>
        </w:rPr>
      </w:pPr>
      <w:bookmarkStart w:id="174" w:name="_Toc336091295"/>
      <w:bookmarkStart w:id="175" w:name="_Toc499378989"/>
      <w:bookmarkStart w:id="176" w:name="_Toc499378867"/>
      <w:r>
        <w:rPr>
          <w:rFonts w:hint="eastAsia" w:ascii="仿宋" w:hAnsi="仿宋" w:eastAsia="仿宋" w:cs="仿宋"/>
          <w:sz w:val="24"/>
          <w:szCs w:val="24"/>
          <w:highlight w:val="none"/>
        </w:rPr>
        <w:t>6.1评标委员会</w:t>
      </w:r>
      <w:bookmarkEnd w:id="174"/>
      <w:bookmarkEnd w:id="175"/>
      <w:bookmarkEnd w:id="176"/>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6.1.1评标由招标人依法组建的评标委员会负责。评标委员会由</w:t>
      </w:r>
      <w:r>
        <w:rPr>
          <w:rFonts w:hint="eastAsia" w:ascii="仿宋" w:hAnsi="仿宋" w:eastAsia="仿宋" w:cs="仿宋"/>
          <w:color w:val="000000" w:themeColor="text1"/>
          <w:szCs w:val="21"/>
          <w:highlight w:val="none"/>
          <w14:textFill>
            <w14:solidFill>
              <w14:schemeClr w14:val="tx1"/>
            </w14:solidFill>
          </w14:textFill>
        </w:rPr>
        <w:t>招标人的代表</w:t>
      </w:r>
      <w:r>
        <w:rPr>
          <w:rFonts w:hint="eastAsia" w:ascii="仿宋" w:hAnsi="仿宋" w:eastAsia="仿宋" w:cs="仿宋"/>
          <w:szCs w:val="21"/>
          <w:highlight w:val="none"/>
        </w:rPr>
        <w:t>和有关技术、经济等方面的专家组成，成员人数为5人</w:t>
      </w:r>
      <w:r>
        <w:rPr>
          <w:rFonts w:hint="eastAsia" w:ascii="仿宋" w:hAnsi="仿宋" w:eastAsia="仿宋" w:cs="仿宋"/>
          <w:szCs w:val="21"/>
          <w:highlight w:val="none"/>
          <w:lang w:val="en-US" w:eastAsia="zh-CN"/>
        </w:rPr>
        <w:t>及</w:t>
      </w:r>
      <w:r>
        <w:rPr>
          <w:rFonts w:hint="eastAsia" w:ascii="仿宋" w:hAnsi="仿宋" w:eastAsia="仿宋" w:cs="仿宋"/>
          <w:szCs w:val="21"/>
          <w:highlight w:val="none"/>
        </w:rPr>
        <w:t>以上单数。评标委员会成员人数以及技术、经济等方面专家的确定方式见投标人须知前附表。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6.1.2评标委员会成员有下列情形之一的，应当回避：</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（1）投标人或投标人的主要负责人的近亲属；</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（2）项目主管部门或者行政监督部门的人员；</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（3）与投标人有经济利益关系，可能影响对投标公正评审的；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（4）曾因在招标、评标以及其他与招标投标有关活动中从事违法行为而受过行政处罚或刑事处罚的。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（5）与投标人有其他利害关系。</w:t>
      </w:r>
    </w:p>
    <w:p>
      <w:pPr>
        <w:pStyle w:val="5"/>
        <w:numPr>
          <w:ilvl w:val="0"/>
          <w:numId w:val="0"/>
        </w:numPr>
        <w:snapToGrid w:val="0"/>
        <w:spacing w:before="0" w:after="0" w:line="324" w:lineRule="auto"/>
        <w:rPr>
          <w:rFonts w:ascii="仿宋" w:hAnsi="仿宋" w:eastAsia="仿宋" w:cs="仿宋"/>
          <w:sz w:val="24"/>
          <w:szCs w:val="24"/>
          <w:highlight w:val="none"/>
        </w:rPr>
      </w:pPr>
      <w:bookmarkStart w:id="177" w:name="_Toc499378990"/>
      <w:bookmarkStart w:id="178" w:name="_Toc499378868"/>
      <w:bookmarkStart w:id="179" w:name="_Toc336091296"/>
      <w:r>
        <w:rPr>
          <w:rFonts w:hint="eastAsia" w:ascii="仿宋" w:hAnsi="仿宋" w:eastAsia="仿宋" w:cs="仿宋"/>
          <w:sz w:val="24"/>
          <w:szCs w:val="24"/>
          <w:highlight w:val="none"/>
        </w:rPr>
        <w:t>6.2评标原则</w:t>
      </w:r>
      <w:bookmarkEnd w:id="177"/>
      <w:bookmarkEnd w:id="178"/>
      <w:bookmarkEnd w:id="179"/>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评标活动遵循公平、公正、科学和择优的原则。</w:t>
      </w:r>
    </w:p>
    <w:p>
      <w:pPr>
        <w:pStyle w:val="5"/>
        <w:numPr>
          <w:ilvl w:val="0"/>
          <w:numId w:val="0"/>
        </w:numPr>
        <w:snapToGrid w:val="0"/>
        <w:spacing w:before="0" w:after="0" w:line="324" w:lineRule="auto"/>
        <w:rPr>
          <w:rFonts w:ascii="仿宋" w:hAnsi="仿宋" w:eastAsia="仿宋" w:cs="仿宋"/>
          <w:sz w:val="24"/>
          <w:szCs w:val="24"/>
          <w:highlight w:val="none"/>
        </w:rPr>
      </w:pPr>
      <w:bookmarkStart w:id="180" w:name="_Toc499378991"/>
      <w:bookmarkStart w:id="181" w:name="_Toc499378869"/>
      <w:bookmarkStart w:id="182" w:name="_Toc336091297"/>
      <w:r>
        <w:rPr>
          <w:rFonts w:hint="eastAsia" w:ascii="仿宋" w:hAnsi="仿宋" w:eastAsia="仿宋" w:cs="仿宋"/>
          <w:sz w:val="24"/>
          <w:szCs w:val="24"/>
          <w:highlight w:val="none"/>
        </w:rPr>
        <w:t>6.3评标</w:t>
      </w:r>
      <w:bookmarkEnd w:id="180"/>
      <w:bookmarkEnd w:id="181"/>
      <w:bookmarkEnd w:id="182"/>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评标委员会按照第三章“评标办法”规定的方法、评审因素、标准和程序对投标文件进行评审。第三章“评标办法”没有规定的方法、评审因素和标准，不作为评标依据。</w:t>
      </w:r>
    </w:p>
    <w:p>
      <w:pPr>
        <w:pStyle w:val="5"/>
        <w:numPr>
          <w:ilvl w:val="0"/>
          <w:numId w:val="0"/>
        </w:numPr>
        <w:snapToGrid w:val="0"/>
        <w:spacing w:before="0" w:after="0" w:line="324" w:lineRule="auto"/>
        <w:rPr>
          <w:rFonts w:ascii="仿宋" w:hAnsi="仿宋" w:eastAsia="仿宋" w:cs="仿宋"/>
          <w:sz w:val="24"/>
          <w:szCs w:val="24"/>
          <w:highlight w:val="none"/>
        </w:rPr>
      </w:pPr>
      <w:bookmarkStart w:id="183" w:name="_Toc499378870"/>
      <w:bookmarkStart w:id="184" w:name="_Toc499378992"/>
      <w:r>
        <w:rPr>
          <w:rFonts w:hint="eastAsia" w:ascii="仿宋" w:hAnsi="仿宋" w:eastAsia="仿宋" w:cs="仿宋"/>
          <w:sz w:val="24"/>
          <w:szCs w:val="24"/>
          <w:highlight w:val="none"/>
        </w:rPr>
        <w:t>6.4评标结果公示</w:t>
      </w:r>
      <w:bookmarkEnd w:id="183"/>
      <w:bookmarkEnd w:id="184"/>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招标人将自收到评标报告之日起3日内，在投标人须知前附表规定的媒介公示中标候选人。公示期不少于3日。</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投标人或者其他利害关系人对评标结果有异议的，应当在评标结果公示期间提出。招标人自收到异议之日起3日内作出答复；作出答复前，暂停招标投标活动。</w:t>
      </w:r>
    </w:p>
    <w:p>
      <w:pPr>
        <w:pStyle w:val="5"/>
        <w:numPr>
          <w:ilvl w:val="0"/>
          <w:numId w:val="0"/>
        </w:numPr>
        <w:snapToGrid w:val="0"/>
        <w:spacing w:before="0" w:after="0" w:line="324" w:lineRule="auto"/>
        <w:rPr>
          <w:rFonts w:ascii="仿宋" w:hAnsi="仿宋" w:eastAsia="仿宋" w:cs="仿宋"/>
          <w:sz w:val="24"/>
          <w:szCs w:val="24"/>
          <w:highlight w:val="none"/>
        </w:rPr>
      </w:pPr>
      <w:bookmarkStart w:id="185" w:name="_Toc499378993"/>
      <w:bookmarkStart w:id="186" w:name="_Toc499378871"/>
      <w:r>
        <w:rPr>
          <w:rFonts w:hint="eastAsia" w:ascii="仿宋" w:hAnsi="仿宋" w:eastAsia="仿宋" w:cs="仿宋"/>
          <w:sz w:val="24"/>
          <w:szCs w:val="24"/>
          <w:highlight w:val="none"/>
        </w:rPr>
        <w:t>6.5履约能力的审查</w:t>
      </w:r>
      <w:bookmarkEnd w:id="185"/>
      <w:bookmarkEnd w:id="186"/>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pPr>
        <w:pStyle w:val="4"/>
        <w:tabs>
          <w:tab w:val="left" w:pos="567"/>
        </w:tabs>
        <w:snapToGrid w:val="0"/>
        <w:spacing w:before="0" w:after="0" w:line="324" w:lineRule="auto"/>
        <w:rPr>
          <w:rFonts w:ascii="仿宋" w:hAnsi="仿宋" w:eastAsia="仿宋" w:cs="仿宋"/>
          <w:sz w:val="24"/>
          <w:szCs w:val="24"/>
          <w:highlight w:val="none"/>
        </w:rPr>
      </w:pPr>
      <w:bookmarkStart w:id="187" w:name="_Toc499378994"/>
      <w:bookmarkStart w:id="188" w:name="_Toc336091298"/>
      <w:bookmarkStart w:id="189" w:name="_Toc184635077"/>
      <w:bookmarkStart w:id="190" w:name="_Toc499378872"/>
      <w:r>
        <w:rPr>
          <w:rFonts w:hint="eastAsia" w:ascii="仿宋" w:hAnsi="仿宋" w:eastAsia="仿宋" w:cs="仿宋"/>
          <w:sz w:val="24"/>
          <w:szCs w:val="24"/>
          <w:highlight w:val="none"/>
        </w:rPr>
        <w:t>7、合同授予</w:t>
      </w:r>
      <w:bookmarkEnd w:id="187"/>
      <w:bookmarkEnd w:id="188"/>
      <w:bookmarkEnd w:id="189"/>
      <w:bookmarkEnd w:id="190"/>
    </w:p>
    <w:p>
      <w:pPr>
        <w:pStyle w:val="5"/>
        <w:numPr>
          <w:ilvl w:val="0"/>
          <w:numId w:val="0"/>
        </w:numPr>
        <w:snapToGrid w:val="0"/>
        <w:spacing w:before="0" w:after="0" w:line="324" w:lineRule="auto"/>
        <w:rPr>
          <w:rFonts w:ascii="仿宋" w:hAnsi="仿宋" w:eastAsia="仿宋" w:cs="仿宋"/>
          <w:sz w:val="24"/>
          <w:szCs w:val="24"/>
          <w:highlight w:val="none"/>
        </w:rPr>
      </w:pPr>
      <w:bookmarkStart w:id="191" w:name="_Toc499378873"/>
      <w:bookmarkStart w:id="192" w:name="_Toc336091299"/>
      <w:bookmarkStart w:id="193" w:name="_Toc499378995"/>
      <w:r>
        <w:rPr>
          <w:rFonts w:hint="eastAsia" w:ascii="仿宋" w:hAnsi="仿宋" w:eastAsia="仿宋" w:cs="仿宋"/>
          <w:sz w:val="24"/>
          <w:szCs w:val="24"/>
          <w:highlight w:val="none"/>
        </w:rPr>
        <w:t>7.1定标方式</w:t>
      </w:r>
      <w:bookmarkEnd w:id="191"/>
      <w:bookmarkEnd w:id="192"/>
      <w:bookmarkEnd w:id="193"/>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7.1.1除投标人须知前附表规定评标委员会直接确定中标人外，招标人依据评标委员会推荐的中标候选人确定中标人，评标委员会推荐中标候选人的人数见投标人须知前附表。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7.1.2招标人应当依据评标委员会推荐的中标候选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5"/>
        <w:numPr>
          <w:ilvl w:val="0"/>
          <w:numId w:val="0"/>
        </w:numPr>
        <w:snapToGrid w:val="0"/>
        <w:spacing w:before="0" w:after="0" w:line="324" w:lineRule="auto"/>
        <w:rPr>
          <w:rFonts w:ascii="仿宋" w:hAnsi="仿宋" w:eastAsia="仿宋" w:cs="仿宋"/>
          <w:sz w:val="24"/>
          <w:szCs w:val="24"/>
          <w:highlight w:val="none"/>
        </w:rPr>
      </w:pPr>
      <w:bookmarkStart w:id="194" w:name="_Toc499378874"/>
      <w:bookmarkStart w:id="195" w:name="_Toc336091300"/>
      <w:bookmarkStart w:id="196" w:name="_Toc499378996"/>
      <w:r>
        <w:rPr>
          <w:rFonts w:hint="eastAsia" w:ascii="仿宋" w:hAnsi="仿宋" w:eastAsia="仿宋" w:cs="仿宋"/>
          <w:sz w:val="24"/>
          <w:szCs w:val="24"/>
          <w:highlight w:val="none"/>
        </w:rPr>
        <w:t>7.2中标候选人公示</w:t>
      </w:r>
      <w:bookmarkEnd w:id="194"/>
      <w:bookmarkEnd w:id="195"/>
      <w:bookmarkEnd w:id="196"/>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招标人在投标人须知前附表规定的媒介公示中标候选人。</w:t>
      </w:r>
    </w:p>
    <w:p>
      <w:pPr>
        <w:pStyle w:val="5"/>
        <w:numPr>
          <w:ilvl w:val="0"/>
          <w:numId w:val="0"/>
        </w:numPr>
        <w:snapToGrid w:val="0"/>
        <w:spacing w:before="0" w:after="0" w:line="324" w:lineRule="auto"/>
        <w:rPr>
          <w:rFonts w:ascii="仿宋" w:hAnsi="仿宋" w:eastAsia="仿宋" w:cs="仿宋"/>
          <w:sz w:val="24"/>
          <w:szCs w:val="24"/>
          <w:highlight w:val="none"/>
        </w:rPr>
      </w:pPr>
      <w:bookmarkStart w:id="197" w:name="_Toc336091301"/>
      <w:bookmarkStart w:id="198" w:name="_Toc499378997"/>
      <w:bookmarkStart w:id="199" w:name="_Toc499378875"/>
      <w:r>
        <w:rPr>
          <w:rFonts w:hint="eastAsia" w:ascii="仿宋" w:hAnsi="仿宋" w:eastAsia="仿宋" w:cs="仿宋"/>
          <w:sz w:val="24"/>
          <w:szCs w:val="24"/>
          <w:highlight w:val="none"/>
        </w:rPr>
        <w:t>7.3中标通知</w:t>
      </w:r>
      <w:bookmarkEnd w:id="197"/>
      <w:bookmarkEnd w:id="198"/>
      <w:bookmarkEnd w:id="199"/>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在本章第3.3款规定的投标有效期内，招标人以书面形式向中标人发出中标通知书，同时将中标结果通知未中标的投标人。</w:t>
      </w:r>
    </w:p>
    <w:p>
      <w:pPr>
        <w:pStyle w:val="5"/>
        <w:numPr>
          <w:ilvl w:val="0"/>
          <w:numId w:val="0"/>
        </w:numPr>
        <w:snapToGrid w:val="0"/>
        <w:spacing w:before="0" w:after="0" w:line="324" w:lineRule="auto"/>
        <w:rPr>
          <w:rFonts w:ascii="仿宋" w:hAnsi="仿宋" w:eastAsia="仿宋" w:cs="仿宋"/>
          <w:sz w:val="24"/>
          <w:szCs w:val="24"/>
          <w:highlight w:val="none"/>
        </w:rPr>
      </w:pPr>
      <w:bookmarkStart w:id="200" w:name="_Toc336091302"/>
      <w:bookmarkStart w:id="201" w:name="_Toc499378876"/>
      <w:bookmarkStart w:id="202" w:name="_Toc499378998"/>
      <w:r>
        <w:rPr>
          <w:rFonts w:hint="eastAsia" w:ascii="仿宋" w:hAnsi="仿宋" w:eastAsia="仿宋" w:cs="仿宋"/>
          <w:sz w:val="24"/>
          <w:szCs w:val="24"/>
          <w:highlight w:val="none"/>
        </w:rPr>
        <w:t>7.4履约担保</w:t>
      </w:r>
      <w:bookmarkEnd w:id="200"/>
      <w:bookmarkEnd w:id="201"/>
      <w:bookmarkEnd w:id="202"/>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7.4.2中标人不能按本章第7.4.1项要求提交履约担保的，视为放弃中标，其投标保证金不予退还，给招标人造成的损失超过投标保证金数额的，中标人还应当对超过部分予以赔偿。</w:t>
      </w:r>
    </w:p>
    <w:p>
      <w:pPr>
        <w:pStyle w:val="5"/>
        <w:numPr>
          <w:ilvl w:val="0"/>
          <w:numId w:val="0"/>
        </w:numPr>
        <w:snapToGrid w:val="0"/>
        <w:spacing w:before="0" w:after="0" w:line="324" w:lineRule="auto"/>
        <w:rPr>
          <w:rFonts w:ascii="仿宋" w:hAnsi="仿宋" w:eastAsia="仿宋" w:cs="仿宋"/>
          <w:sz w:val="24"/>
          <w:szCs w:val="24"/>
          <w:highlight w:val="none"/>
        </w:rPr>
      </w:pPr>
      <w:bookmarkStart w:id="203" w:name="_Toc499378877"/>
      <w:bookmarkStart w:id="204" w:name="_Toc336091303"/>
      <w:bookmarkStart w:id="205" w:name="_Toc499378999"/>
      <w:r>
        <w:rPr>
          <w:rFonts w:hint="eastAsia" w:ascii="仿宋" w:hAnsi="仿宋" w:eastAsia="仿宋" w:cs="仿宋"/>
          <w:sz w:val="24"/>
          <w:szCs w:val="24"/>
          <w:highlight w:val="none"/>
        </w:rPr>
        <w:t>7.5签订合同</w:t>
      </w:r>
      <w:bookmarkEnd w:id="203"/>
      <w:bookmarkEnd w:id="204"/>
      <w:bookmarkEnd w:id="205"/>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7.5.1招标人和中标人应当自中标通知书发出之日起10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7.5.2发出中标通知书后，招标人无正当理由拒签合同的，招标人向中标人退还投标保证金；给中标人造成损失的，还应当赔偿损失。</w:t>
      </w:r>
    </w:p>
    <w:p>
      <w:pPr>
        <w:pStyle w:val="4"/>
        <w:tabs>
          <w:tab w:val="left" w:pos="567"/>
        </w:tabs>
        <w:snapToGrid w:val="0"/>
        <w:spacing w:before="0" w:after="0" w:line="324" w:lineRule="auto"/>
        <w:rPr>
          <w:rFonts w:ascii="仿宋" w:hAnsi="仿宋" w:eastAsia="仿宋" w:cs="仿宋"/>
          <w:sz w:val="24"/>
          <w:szCs w:val="24"/>
          <w:highlight w:val="none"/>
        </w:rPr>
      </w:pPr>
      <w:bookmarkStart w:id="206" w:name="_Toc336091304"/>
      <w:bookmarkStart w:id="207" w:name="_Toc184635078"/>
      <w:bookmarkStart w:id="208" w:name="_Toc499378878"/>
      <w:bookmarkStart w:id="209" w:name="_Toc499379000"/>
      <w:r>
        <w:rPr>
          <w:rFonts w:hint="eastAsia" w:ascii="仿宋" w:hAnsi="仿宋" w:eastAsia="仿宋" w:cs="仿宋"/>
          <w:sz w:val="24"/>
          <w:szCs w:val="24"/>
          <w:highlight w:val="none"/>
        </w:rPr>
        <w:t>8、</w:t>
      </w:r>
      <w:bookmarkEnd w:id="206"/>
      <w:bookmarkEnd w:id="207"/>
      <w:r>
        <w:rPr>
          <w:rFonts w:hint="eastAsia" w:ascii="仿宋" w:hAnsi="仿宋" w:eastAsia="仿宋" w:cs="仿宋"/>
          <w:sz w:val="24"/>
          <w:szCs w:val="24"/>
          <w:highlight w:val="none"/>
        </w:rPr>
        <w:t>重新招标、不再招标和终止招标</w:t>
      </w:r>
      <w:bookmarkEnd w:id="208"/>
      <w:bookmarkEnd w:id="209"/>
    </w:p>
    <w:p>
      <w:pPr>
        <w:pStyle w:val="4"/>
        <w:tabs>
          <w:tab w:val="left" w:pos="567"/>
        </w:tabs>
        <w:snapToGrid w:val="0"/>
        <w:spacing w:before="0" w:after="0" w:line="324" w:lineRule="auto"/>
        <w:rPr>
          <w:rFonts w:ascii="仿宋" w:hAnsi="仿宋" w:eastAsia="仿宋" w:cs="仿宋"/>
          <w:sz w:val="24"/>
          <w:szCs w:val="24"/>
          <w:highlight w:val="none"/>
        </w:rPr>
      </w:pPr>
      <w:bookmarkStart w:id="210" w:name="_Toc499379001"/>
      <w:bookmarkStart w:id="211" w:name="_Toc499378879"/>
      <w:r>
        <w:rPr>
          <w:rFonts w:hint="eastAsia" w:ascii="仿宋" w:hAnsi="仿宋" w:eastAsia="仿宋" w:cs="仿宋"/>
          <w:sz w:val="24"/>
          <w:szCs w:val="24"/>
          <w:highlight w:val="none"/>
        </w:rPr>
        <w:t>8.1重新招标</w:t>
      </w:r>
      <w:bookmarkEnd w:id="210"/>
      <w:bookmarkEnd w:id="211"/>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有下列情形之一的，招标人将重新招标：</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（1）投标截止时间止，投标人少于3个的；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（2）经评标委员会评审后否决所有投标的；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（3）除非已经产生中标候选人，在投标有效期内同意延长投标有效期的投标人少于三个的；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（4）第一中标候选人或所有中标候选人均未与招标人签订合同的；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（5）法律、法规规定的其他情形。</w:t>
      </w:r>
    </w:p>
    <w:p>
      <w:pPr>
        <w:pStyle w:val="4"/>
        <w:tabs>
          <w:tab w:val="left" w:pos="567"/>
        </w:tabs>
        <w:snapToGrid w:val="0"/>
        <w:spacing w:before="0" w:after="0" w:line="324" w:lineRule="auto"/>
        <w:rPr>
          <w:rFonts w:ascii="仿宋" w:hAnsi="仿宋" w:eastAsia="仿宋" w:cs="仿宋"/>
          <w:sz w:val="24"/>
          <w:szCs w:val="24"/>
          <w:highlight w:val="none"/>
        </w:rPr>
      </w:pPr>
      <w:bookmarkStart w:id="212" w:name="_Toc499378880"/>
      <w:bookmarkStart w:id="213" w:name="_Toc499379002"/>
      <w:r>
        <w:rPr>
          <w:rFonts w:hint="eastAsia" w:ascii="仿宋" w:hAnsi="仿宋" w:eastAsia="仿宋" w:cs="仿宋"/>
          <w:sz w:val="24"/>
          <w:szCs w:val="24"/>
          <w:highlight w:val="none"/>
        </w:rPr>
        <w:t>8.2不再招标</w:t>
      </w:r>
      <w:bookmarkEnd w:id="212"/>
      <w:bookmarkEnd w:id="213"/>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重新招标后投标人仍少于3个或者所有投标被否决的，属于必须审批或核准的工程建设项目，经原审批或核准部门批准后不再进行招标。</w:t>
      </w:r>
    </w:p>
    <w:p>
      <w:pPr>
        <w:pStyle w:val="4"/>
        <w:tabs>
          <w:tab w:val="left" w:pos="567"/>
        </w:tabs>
        <w:snapToGrid w:val="0"/>
        <w:spacing w:before="0" w:after="0" w:line="324" w:lineRule="auto"/>
        <w:rPr>
          <w:rFonts w:ascii="仿宋" w:hAnsi="仿宋" w:eastAsia="仿宋" w:cs="仿宋"/>
          <w:sz w:val="24"/>
          <w:szCs w:val="24"/>
          <w:highlight w:val="none"/>
        </w:rPr>
      </w:pPr>
      <w:bookmarkStart w:id="214" w:name="_Toc499379003"/>
      <w:bookmarkStart w:id="215" w:name="_Toc499378881"/>
      <w:r>
        <w:rPr>
          <w:rFonts w:hint="eastAsia" w:ascii="仿宋" w:hAnsi="仿宋" w:eastAsia="仿宋" w:cs="仿宋"/>
          <w:sz w:val="24"/>
          <w:szCs w:val="24"/>
          <w:highlight w:val="none"/>
        </w:rPr>
        <w:t>8.3终止招标</w:t>
      </w:r>
      <w:bookmarkEnd w:id="214"/>
      <w:bookmarkEnd w:id="215"/>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因不可抗力等原因，招标人终止招标的，将及时发布公告，或者以书面形式通知被邀请的或者已经获取招标文件的潜在投标人。已经发售招标文件或者已经收取投标保证金的，招标人将及时退还所收取的招标文件的费用，以及所收取的投标保证金及银行同期存款利息。</w:t>
      </w:r>
    </w:p>
    <w:p>
      <w:pPr>
        <w:pStyle w:val="4"/>
        <w:tabs>
          <w:tab w:val="left" w:pos="567"/>
        </w:tabs>
        <w:snapToGrid w:val="0"/>
        <w:spacing w:before="0" w:after="0" w:line="324" w:lineRule="auto"/>
        <w:rPr>
          <w:rFonts w:ascii="仿宋" w:hAnsi="仿宋" w:eastAsia="仿宋" w:cs="仿宋"/>
          <w:sz w:val="24"/>
          <w:szCs w:val="24"/>
          <w:highlight w:val="none"/>
        </w:rPr>
      </w:pPr>
      <w:bookmarkStart w:id="216" w:name="_Toc499379004"/>
      <w:bookmarkStart w:id="217" w:name="_Toc184635079"/>
      <w:bookmarkStart w:id="218" w:name="_Toc499378882"/>
      <w:bookmarkStart w:id="219" w:name="_Toc336091307"/>
      <w:r>
        <w:rPr>
          <w:rFonts w:hint="eastAsia" w:ascii="仿宋" w:hAnsi="仿宋" w:eastAsia="仿宋" w:cs="仿宋"/>
          <w:sz w:val="24"/>
          <w:szCs w:val="24"/>
          <w:highlight w:val="none"/>
        </w:rPr>
        <w:t>9、纪律和监督</w:t>
      </w:r>
      <w:bookmarkEnd w:id="216"/>
      <w:bookmarkEnd w:id="217"/>
      <w:bookmarkEnd w:id="218"/>
      <w:bookmarkEnd w:id="219"/>
    </w:p>
    <w:p>
      <w:pPr>
        <w:pStyle w:val="5"/>
        <w:numPr>
          <w:ilvl w:val="0"/>
          <w:numId w:val="0"/>
        </w:numPr>
        <w:snapToGrid w:val="0"/>
        <w:spacing w:before="0" w:after="0" w:line="324" w:lineRule="auto"/>
        <w:rPr>
          <w:rFonts w:ascii="仿宋" w:hAnsi="仿宋" w:eastAsia="仿宋" w:cs="仿宋"/>
          <w:sz w:val="24"/>
          <w:szCs w:val="24"/>
          <w:highlight w:val="none"/>
        </w:rPr>
      </w:pPr>
      <w:bookmarkStart w:id="220" w:name="_Toc499378883"/>
      <w:bookmarkStart w:id="221" w:name="_Toc499379005"/>
      <w:bookmarkStart w:id="222" w:name="_Toc336091308"/>
      <w:r>
        <w:rPr>
          <w:rFonts w:hint="eastAsia" w:ascii="仿宋" w:hAnsi="仿宋" w:eastAsia="仿宋" w:cs="仿宋"/>
          <w:sz w:val="24"/>
          <w:szCs w:val="24"/>
          <w:highlight w:val="none"/>
        </w:rPr>
        <w:t>9.1对招标人的纪律要求</w:t>
      </w:r>
      <w:bookmarkEnd w:id="220"/>
      <w:bookmarkEnd w:id="221"/>
      <w:bookmarkEnd w:id="222"/>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招标人不得泄漏招标投标活动中应当保密的情况和资料，不得与投标人串通损害国家利益、社会公共利益或者他人合法权益。</w:t>
      </w:r>
    </w:p>
    <w:p>
      <w:pPr>
        <w:pStyle w:val="5"/>
        <w:numPr>
          <w:ilvl w:val="0"/>
          <w:numId w:val="0"/>
        </w:numPr>
        <w:snapToGrid w:val="0"/>
        <w:spacing w:before="0" w:after="0" w:line="324" w:lineRule="auto"/>
        <w:rPr>
          <w:rFonts w:ascii="仿宋" w:hAnsi="仿宋" w:eastAsia="仿宋" w:cs="仿宋"/>
          <w:sz w:val="24"/>
          <w:szCs w:val="24"/>
          <w:highlight w:val="none"/>
        </w:rPr>
      </w:pPr>
      <w:bookmarkStart w:id="223" w:name="_Toc499378884"/>
      <w:bookmarkStart w:id="224" w:name="_Toc499379006"/>
      <w:bookmarkStart w:id="225" w:name="_Toc336091309"/>
      <w:r>
        <w:rPr>
          <w:rFonts w:hint="eastAsia" w:ascii="仿宋" w:hAnsi="仿宋" w:eastAsia="仿宋" w:cs="仿宋"/>
          <w:sz w:val="24"/>
          <w:szCs w:val="24"/>
          <w:highlight w:val="none"/>
        </w:rPr>
        <w:t>9.2对投标人的纪律要求</w:t>
      </w:r>
      <w:bookmarkEnd w:id="223"/>
      <w:bookmarkEnd w:id="224"/>
      <w:bookmarkEnd w:id="225"/>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numPr>
          <w:ilvl w:val="0"/>
          <w:numId w:val="0"/>
        </w:numPr>
        <w:snapToGrid w:val="0"/>
        <w:spacing w:before="0" w:after="0" w:line="324" w:lineRule="auto"/>
        <w:rPr>
          <w:rFonts w:ascii="仿宋" w:hAnsi="仿宋" w:eastAsia="仿宋" w:cs="仿宋"/>
          <w:sz w:val="24"/>
          <w:szCs w:val="24"/>
          <w:highlight w:val="none"/>
        </w:rPr>
      </w:pPr>
      <w:bookmarkStart w:id="226" w:name="_Toc499378885"/>
      <w:bookmarkStart w:id="227" w:name="_Toc499379007"/>
      <w:bookmarkStart w:id="228" w:name="_Toc336091310"/>
      <w:r>
        <w:rPr>
          <w:rFonts w:hint="eastAsia" w:ascii="仿宋" w:hAnsi="仿宋" w:eastAsia="仿宋" w:cs="仿宋"/>
          <w:sz w:val="24"/>
          <w:szCs w:val="24"/>
          <w:highlight w:val="none"/>
        </w:rPr>
        <w:t>9.3对评标委员会成员的纪律要求</w:t>
      </w:r>
      <w:bookmarkEnd w:id="226"/>
      <w:bookmarkEnd w:id="227"/>
      <w:bookmarkEnd w:id="228"/>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
        <w:keepNext w:val="0"/>
        <w:numPr>
          <w:ilvl w:val="0"/>
          <w:numId w:val="0"/>
        </w:numPr>
        <w:snapToGrid w:val="0"/>
        <w:spacing w:before="0" w:after="0" w:line="324" w:lineRule="auto"/>
        <w:rPr>
          <w:rFonts w:ascii="仿宋" w:hAnsi="仿宋" w:eastAsia="仿宋" w:cs="仿宋"/>
          <w:sz w:val="24"/>
          <w:szCs w:val="24"/>
          <w:highlight w:val="none"/>
        </w:rPr>
      </w:pPr>
      <w:bookmarkStart w:id="229" w:name="_Toc336091311"/>
      <w:bookmarkStart w:id="230" w:name="_Toc499378886"/>
      <w:bookmarkStart w:id="231" w:name="_Toc499379008"/>
      <w:r>
        <w:rPr>
          <w:rFonts w:hint="eastAsia" w:ascii="仿宋" w:hAnsi="仿宋" w:eastAsia="仿宋" w:cs="仿宋"/>
          <w:sz w:val="24"/>
          <w:szCs w:val="24"/>
          <w:highlight w:val="none"/>
        </w:rPr>
        <w:t>9.4对与评标活动有关的工作人员的纪律要求</w:t>
      </w:r>
      <w:bookmarkEnd w:id="229"/>
      <w:bookmarkEnd w:id="230"/>
      <w:bookmarkEnd w:id="231"/>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numPr>
          <w:ilvl w:val="0"/>
          <w:numId w:val="0"/>
        </w:numPr>
        <w:snapToGrid w:val="0"/>
        <w:spacing w:before="0" w:after="0" w:line="288" w:lineRule="auto"/>
        <w:rPr>
          <w:rFonts w:ascii="仿宋" w:hAnsi="仿宋" w:eastAsia="仿宋" w:cs="仿宋"/>
          <w:sz w:val="24"/>
          <w:szCs w:val="24"/>
          <w:highlight w:val="none"/>
        </w:rPr>
      </w:pPr>
      <w:bookmarkStart w:id="232" w:name="_Toc499379009"/>
      <w:bookmarkStart w:id="233" w:name="_Toc499378887"/>
      <w:bookmarkStart w:id="234" w:name="_Toc336091312"/>
      <w:r>
        <w:rPr>
          <w:rFonts w:hint="eastAsia" w:ascii="仿宋" w:hAnsi="仿宋" w:eastAsia="仿宋" w:cs="仿宋"/>
          <w:sz w:val="24"/>
          <w:szCs w:val="24"/>
          <w:highlight w:val="none"/>
        </w:rPr>
        <w:t>9.5投诉</w:t>
      </w:r>
      <w:bookmarkEnd w:id="232"/>
      <w:bookmarkEnd w:id="233"/>
      <w:bookmarkEnd w:id="234"/>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投标人和其他利害关系人认为本次招标活动违反法律、法规和规章规定的，有权向有关行政监督部门投诉，投诉方法详见投标人须知前附表。</w:t>
      </w:r>
    </w:p>
    <w:p>
      <w:pPr>
        <w:pStyle w:val="4"/>
        <w:tabs>
          <w:tab w:val="left" w:pos="567"/>
        </w:tabs>
        <w:snapToGrid w:val="0"/>
        <w:spacing w:before="0" w:after="0" w:line="288" w:lineRule="auto"/>
        <w:rPr>
          <w:rFonts w:ascii="仿宋" w:hAnsi="仿宋" w:eastAsia="仿宋" w:cs="仿宋"/>
          <w:sz w:val="24"/>
          <w:szCs w:val="24"/>
          <w:highlight w:val="none"/>
        </w:rPr>
      </w:pPr>
      <w:bookmarkStart w:id="235" w:name="_Toc499378888"/>
      <w:bookmarkStart w:id="236" w:name="_Toc499379010"/>
      <w:bookmarkStart w:id="237" w:name="_Toc184635080"/>
      <w:bookmarkStart w:id="238" w:name="_Toc336091313"/>
      <w:r>
        <w:rPr>
          <w:rFonts w:hint="eastAsia" w:ascii="仿宋" w:hAnsi="仿宋" w:eastAsia="仿宋" w:cs="仿宋"/>
          <w:sz w:val="24"/>
          <w:szCs w:val="24"/>
          <w:highlight w:val="none"/>
        </w:rPr>
        <w:t>10、需要补充的其他内容</w:t>
      </w:r>
      <w:bookmarkEnd w:id="235"/>
      <w:bookmarkEnd w:id="236"/>
      <w:bookmarkEnd w:id="237"/>
      <w:bookmarkEnd w:id="238"/>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1、需要补充的其他内容：见投标人须知前附表。</w:t>
      </w:r>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2、项目经理只承担本工程项目的承诺函 详见附件1。</w:t>
      </w:r>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3、与相关业务单位的协调、配合、申报、审核、验收及周边工农关系协调承诺书 详见附件2。</w:t>
      </w:r>
    </w:p>
    <w:p>
      <w:pPr>
        <w:pStyle w:val="25"/>
        <w:pageBreakBefore/>
        <w:numPr>
          <w:ilvl w:val="0"/>
          <w:numId w:val="0"/>
        </w:numPr>
        <w:outlineLvl w:val="1"/>
        <w:rPr>
          <w:rFonts w:ascii="仿宋" w:hAnsi="仿宋" w:eastAsia="仿宋" w:cs="仿宋"/>
          <w:sz w:val="21"/>
          <w:szCs w:val="21"/>
          <w:highlight w:val="none"/>
        </w:rPr>
      </w:pPr>
      <w:bookmarkStart w:id="239" w:name="_Toc496685627"/>
      <w:bookmarkStart w:id="240" w:name="_Toc499378889"/>
      <w:bookmarkStart w:id="241" w:name="_Toc499379011"/>
      <w:r>
        <w:rPr>
          <w:rFonts w:hint="eastAsia" w:ascii="仿宋" w:hAnsi="仿宋" w:eastAsia="仿宋" w:cs="仿宋"/>
          <w:sz w:val="21"/>
          <w:szCs w:val="21"/>
          <w:highlight w:val="none"/>
        </w:rPr>
        <w:t>附件：投标人资质条件、能力和信誉</w:t>
      </w:r>
      <w:bookmarkEnd w:id="239"/>
      <w:bookmarkEnd w:id="240"/>
      <w:bookmarkEnd w:id="241"/>
    </w:p>
    <w:tbl>
      <w:tblPr>
        <w:tblStyle w:val="15"/>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62"/>
        <w:gridCol w:w="1183"/>
        <w:gridCol w:w="3944"/>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w:t>
            </w:r>
          </w:p>
        </w:tc>
        <w:tc>
          <w:tcPr>
            <w:tcW w:w="638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要求</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资质条件</w:t>
            </w:r>
          </w:p>
        </w:tc>
        <w:tc>
          <w:tcPr>
            <w:tcW w:w="6389"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Cs w:val="21"/>
                <w:highlight w:val="none"/>
              </w:rPr>
            </w:pPr>
            <w:r>
              <w:rPr>
                <w:rFonts w:hint="eastAsia" w:ascii="仿宋" w:hAnsi="仿宋" w:eastAsia="仿宋" w:cs="仿宋"/>
                <w:highlight w:val="none"/>
              </w:rPr>
              <w:t>1.投标人具有独立承担民事责任的能力；</w:t>
            </w:r>
          </w:p>
          <w:p>
            <w:pPr>
              <w:spacing w:line="280" w:lineRule="exact"/>
              <w:rPr>
                <w:rFonts w:ascii="仿宋" w:hAnsi="仿宋" w:eastAsia="仿宋" w:cs="仿宋"/>
                <w:szCs w:val="21"/>
                <w:highlight w:val="none"/>
              </w:rPr>
            </w:pPr>
            <w:r>
              <w:rPr>
                <w:rFonts w:hint="eastAsia" w:ascii="仿宋" w:hAnsi="仿宋" w:eastAsia="仿宋" w:cs="仿宋"/>
                <w:szCs w:val="21"/>
                <w:highlight w:val="none"/>
              </w:rPr>
              <w:t>2.投标人须具备建设行政主管部门核发的</w:t>
            </w:r>
            <w:r>
              <w:rPr>
                <w:rFonts w:hint="eastAsia" w:ascii="仿宋" w:hAnsi="仿宋" w:eastAsia="仿宋" w:cs="仿宋"/>
                <w:szCs w:val="21"/>
                <w:highlight w:val="none"/>
                <w:lang w:eastAsia="zh-CN"/>
              </w:rPr>
              <w:t>建筑工程施工总承包叁级（含）以上资质</w:t>
            </w:r>
            <w:r>
              <w:rPr>
                <w:rFonts w:hint="eastAsia" w:ascii="仿宋" w:hAnsi="仿宋" w:eastAsia="仿宋" w:cs="仿宋"/>
                <w:szCs w:val="21"/>
                <w:highlight w:val="none"/>
              </w:rPr>
              <w:t>，具备有效的安全生产许可证，并在人员、设备等方面具有相应的施工能力。</w:t>
            </w:r>
          </w:p>
        </w:tc>
        <w:tc>
          <w:tcPr>
            <w:tcW w:w="21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bookmarkStart w:id="242" w:name="EB31dcf6ea692440a2bfe71c217efb7204"/>
            <w:r>
              <w:rPr>
                <w:rFonts w:hint="eastAsia" w:ascii="仿宋" w:hAnsi="仿宋" w:eastAsia="仿宋" w:cs="仿宋"/>
                <w:szCs w:val="21"/>
                <w:highlight w:val="none"/>
              </w:rPr>
              <w:t>按要求提供</w:t>
            </w:r>
            <w:bookmarkEnd w:id="242"/>
            <w:r>
              <w:rPr>
                <w:rFonts w:hint="eastAsia" w:ascii="仿宋" w:hAnsi="仿宋" w:eastAsia="仿宋" w:cs="仿宋"/>
                <w:szCs w:val="21"/>
                <w:highlight w:val="none"/>
              </w:rPr>
              <w:t>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财务要求</w:t>
            </w:r>
          </w:p>
        </w:tc>
        <w:tc>
          <w:tcPr>
            <w:tcW w:w="638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both"/>
              <w:rPr>
                <w:rFonts w:ascii="仿宋" w:hAnsi="仿宋" w:eastAsia="仿宋" w:cs="仿宋"/>
                <w:szCs w:val="21"/>
                <w:highlight w:val="none"/>
              </w:rPr>
            </w:pPr>
            <w:r>
              <w:rPr>
                <w:rFonts w:hint="eastAsia" w:ascii="仿宋" w:hAnsi="仿宋" w:eastAsia="仿宋" w:cs="仿宋"/>
                <w:highlight w:val="none"/>
              </w:rPr>
              <w:t>投标人需提供202</w:t>
            </w:r>
            <w:r>
              <w:rPr>
                <w:rFonts w:hint="eastAsia" w:ascii="仿宋" w:hAnsi="仿宋" w:eastAsia="仿宋" w:cs="仿宋"/>
                <w:highlight w:val="none"/>
                <w:lang w:val="en-US" w:eastAsia="zh-CN"/>
              </w:rPr>
              <w:t>3或2024</w:t>
            </w:r>
            <w:r>
              <w:rPr>
                <w:rFonts w:hint="eastAsia" w:ascii="仿宋" w:hAnsi="仿宋" w:eastAsia="仿宋" w:cs="仿宋"/>
                <w:highlight w:val="none"/>
              </w:rPr>
              <w:t>年度的财务审计报告（如成立不足1年的公司无需提供）</w:t>
            </w:r>
          </w:p>
        </w:tc>
        <w:tc>
          <w:tcPr>
            <w:tcW w:w="21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信誉要求</w:t>
            </w:r>
          </w:p>
        </w:tc>
        <w:tc>
          <w:tcPr>
            <w:tcW w:w="6389"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Cs w:val="21"/>
                <w:highlight w:val="none"/>
              </w:rPr>
            </w:pPr>
            <w:r>
              <w:rPr>
                <w:rFonts w:hint="eastAsia" w:ascii="仿宋" w:hAnsi="仿宋" w:eastAsia="仿宋" w:cs="仿宋"/>
                <w:szCs w:val="21"/>
                <w:highlight w:val="none"/>
              </w:rPr>
              <w:t>1.没有被责令停业；没有被暂停或取消投标资格；财产没有被接管或冻结；在最近三年内没有骗取中标或严重违约或重大工程质量问题（投标人提供信誉声明）。</w:t>
            </w:r>
          </w:p>
          <w:p>
            <w:pPr>
              <w:spacing w:line="280" w:lineRule="exact"/>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highlight w:val="none"/>
              </w:rPr>
              <w:t>投标人未被列入“信用中国”网站（www.creditchina.gov.cn）失信被执行人、</w:t>
            </w:r>
            <w:r>
              <w:rPr>
                <w:rFonts w:hint="eastAsia" w:ascii="仿宋" w:hAnsi="仿宋" w:eastAsia="仿宋" w:cs="仿宋"/>
                <w:highlight w:val="none"/>
                <w:lang w:val="zh-CN" w:eastAsia="zh-CN"/>
              </w:rPr>
              <w:t>重大税收违法失信主体</w:t>
            </w:r>
            <w:r>
              <w:rPr>
                <w:rFonts w:hint="eastAsia" w:ascii="仿宋" w:hAnsi="仿宋" w:eastAsia="仿宋" w:cs="仿宋"/>
                <w:highlight w:val="none"/>
              </w:rPr>
              <w:t>、政府采购严重违法失信行为记录名单的网页截图。</w:t>
            </w:r>
          </w:p>
        </w:tc>
        <w:tc>
          <w:tcPr>
            <w:tcW w:w="21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岗位</w:t>
            </w:r>
          </w:p>
        </w:tc>
        <w:tc>
          <w:tcPr>
            <w:tcW w:w="394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资格要求</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项目经理资格</w:t>
            </w:r>
          </w:p>
        </w:tc>
        <w:tc>
          <w:tcPr>
            <w:tcW w:w="2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w:t>
            </w:r>
          </w:p>
          <w:p>
            <w:pPr>
              <w:jc w:val="center"/>
              <w:rPr>
                <w:rFonts w:ascii="仿宋" w:hAnsi="仿宋" w:eastAsia="仿宋" w:cs="仿宋"/>
                <w:szCs w:val="21"/>
                <w:highlight w:val="none"/>
              </w:rPr>
            </w:pPr>
            <w:r>
              <w:rPr>
                <w:rFonts w:hint="eastAsia" w:ascii="仿宋" w:hAnsi="仿宋" w:eastAsia="仿宋" w:cs="仿宋"/>
                <w:szCs w:val="21"/>
                <w:highlight w:val="none"/>
              </w:rPr>
              <w:t>经理</w:t>
            </w:r>
          </w:p>
        </w:tc>
        <w:tc>
          <w:tcPr>
            <w:tcW w:w="39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s="仿宋"/>
                <w:szCs w:val="21"/>
                <w:highlight w:val="none"/>
              </w:rPr>
            </w:pPr>
            <w:r>
              <w:rPr>
                <w:rFonts w:hint="eastAsia" w:ascii="仿宋" w:hAnsi="仿宋" w:eastAsia="仿宋" w:cs="仿宋"/>
                <w:szCs w:val="21"/>
                <w:highlight w:val="none"/>
              </w:rPr>
              <w:t>具备建设行政主管部门核发的</w:t>
            </w:r>
            <w:r>
              <w:rPr>
                <w:rFonts w:hint="eastAsia" w:ascii="仿宋" w:hAnsi="仿宋" w:eastAsia="仿宋" w:cs="仿宋"/>
                <w:szCs w:val="21"/>
                <w:highlight w:val="none"/>
                <w:lang w:eastAsia="zh-CN"/>
              </w:rPr>
              <w:t>建筑工程专业贰级（含）以上注册建造师资格</w:t>
            </w:r>
            <w:r>
              <w:rPr>
                <w:rFonts w:hint="eastAsia" w:ascii="仿宋" w:hAnsi="仿宋" w:eastAsia="仿宋" w:cs="仿宋"/>
                <w:szCs w:val="21"/>
                <w:highlight w:val="none"/>
              </w:rPr>
              <w:t>（不含临时证），具备有效的安全考核合格证书（B证），且未担任其它在建工程的项目经理（提供承诺书，详见附件1）。</w:t>
            </w:r>
          </w:p>
          <w:p>
            <w:pPr>
              <w:autoSpaceDE w:val="0"/>
              <w:autoSpaceDN w:val="0"/>
              <w:adjustRightInd w:val="0"/>
              <w:rPr>
                <w:rFonts w:ascii="仿宋" w:hAnsi="仿宋" w:eastAsia="仿宋" w:cs="仿宋"/>
                <w:szCs w:val="21"/>
                <w:highlight w:val="none"/>
              </w:rPr>
            </w:pPr>
            <w:r>
              <w:rPr>
                <w:rFonts w:ascii="仿宋" w:hAnsi="仿宋" w:eastAsia="仿宋" w:cs="仿宋"/>
                <w:szCs w:val="21"/>
                <w:highlight w:val="none"/>
              </w:rPr>
              <w:t>项目经理需常驻施工现场，且每月在施工现场时间不得少于22天。项目实施过程中，未经招标人同意，投标人不得随意更换项目经理。（需提供承诺函并明确具体驻场时间）</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3"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其他要求</w:t>
            </w:r>
          </w:p>
        </w:tc>
        <w:tc>
          <w:tcPr>
            <w:tcW w:w="126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项目技术负责人</w:t>
            </w:r>
          </w:p>
        </w:tc>
        <w:tc>
          <w:tcPr>
            <w:tcW w:w="3944"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仿宋" w:hAnsi="仿宋" w:eastAsia="仿宋" w:cs="仿宋"/>
                <w:szCs w:val="21"/>
                <w:highlight w:val="none"/>
              </w:rPr>
            </w:pPr>
            <w:r>
              <w:rPr>
                <w:rFonts w:hint="eastAsia" w:ascii="仿宋" w:hAnsi="仿宋" w:eastAsia="仿宋" w:cs="仿宋"/>
                <w:szCs w:val="21"/>
                <w:highlight w:val="none"/>
              </w:rPr>
              <w:t>具有行政主管部门核发的</w:t>
            </w:r>
            <w:r>
              <w:rPr>
                <w:rFonts w:hint="eastAsia" w:ascii="仿宋" w:hAnsi="仿宋" w:eastAsia="仿宋" w:cs="仿宋"/>
                <w:szCs w:val="21"/>
                <w:highlight w:val="none"/>
                <w:lang w:eastAsia="zh-CN"/>
              </w:rPr>
              <w:t>建筑工程专业贰级（含）以上注册建造师资格</w:t>
            </w:r>
            <w:r>
              <w:rPr>
                <w:rFonts w:hint="eastAsia" w:ascii="仿宋" w:hAnsi="仿宋" w:eastAsia="仿宋" w:cs="仿宋"/>
                <w:szCs w:val="21"/>
                <w:highlight w:val="none"/>
              </w:rPr>
              <w:t>或建筑工程专业中级（含）以上职称。</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施工</w:t>
            </w:r>
          </w:p>
          <w:p>
            <w:pPr>
              <w:jc w:val="center"/>
              <w:rPr>
                <w:rFonts w:ascii="仿宋" w:hAnsi="仿宋" w:eastAsia="仿宋" w:cs="仿宋"/>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持有相关专业施工员岗位培训考核合格证书。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质量</w:t>
            </w:r>
          </w:p>
          <w:p>
            <w:pPr>
              <w:jc w:val="center"/>
              <w:rPr>
                <w:rFonts w:ascii="仿宋" w:hAnsi="仿宋" w:eastAsia="仿宋" w:cs="仿宋"/>
                <w:kern w:val="0"/>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持有相关专业质量员（质检员）岗位培训考核合格证书。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材料员</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持有材料员岗位培训考核合格证书。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资料员</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pacing w:val="-4"/>
                <w:szCs w:val="21"/>
                <w:highlight w:val="none"/>
              </w:rPr>
            </w:pPr>
            <w:r>
              <w:rPr>
                <w:rFonts w:hint="eastAsia" w:ascii="仿宋" w:hAnsi="仿宋" w:eastAsia="仿宋" w:cs="仿宋"/>
                <w:spacing w:val="-4"/>
                <w:szCs w:val="21"/>
                <w:highlight w:val="none"/>
              </w:rPr>
              <w:t>持有资料员</w:t>
            </w:r>
            <w:r>
              <w:rPr>
                <w:rFonts w:hint="eastAsia" w:ascii="仿宋" w:hAnsi="仿宋" w:eastAsia="仿宋" w:cs="仿宋"/>
                <w:kern w:val="0"/>
                <w:szCs w:val="21"/>
                <w:highlight w:val="none"/>
              </w:rPr>
              <w:t>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安全员</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pacing w:val="-4"/>
                <w:szCs w:val="21"/>
                <w:highlight w:val="none"/>
              </w:rPr>
            </w:pPr>
            <w:r>
              <w:rPr>
                <w:rFonts w:hint="eastAsia" w:ascii="仿宋" w:hAnsi="仿宋" w:eastAsia="仿宋" w:cs="仿宋"/>
                <w:spacing w:val="-4"/>
                <w:szCs w:val="21"/>
                <w:highlight w:val="none"/>
              </w:rPr>
              <w:t>持有</w:t>
            </w:r>
            <w:r>
              <w:rPr>
                <w:rFonts w:hint="eastAsia" w:ascii="仿宋" w:hAnsi="仿宋" w:eastAsia="仿宋" w:cs="仿宋"/>
                <w:szCs w:val="21"/>
                <w:highlight w:val="none"/>
              </w:rPr>
              <w:t>有效的</w:t>
            </w:r>
            <w:r>
              <w:rPr>
                <w:rFonts w:hint="eastAsia" w:ascii="仿宋" w:hAnsi="仿宋" w:eastAsia="仿宋" w:cs="仿宋"/>
                <w:kern w:val="0"/>
                <w:szCs w:val="21"/>
                <w:highlight w:val="none"/>
              </w:rPr>
              <w:t>安全生产考核合格证书（C证）。</w:t>
            </w:r>
            <w:r>
              <w:rPr>
                <w:rFonts w:hint="eastAsia" w:ascii="仿宋" w:hAnsi="仿宋" w:eastAsia="仿宋" w:cs="仿宋"/>
                <w:szCs w:val="21"/>
                <w:highlight w:val="none"/>
              </w:rPr>
              <w:t xml:space="preserve"> </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项目管理机构主要人员</w:t>
            </w:r>
          </w:p>
        </w:tc>
        <w:tc>
          <w:tcPr>
            <w:tcW w:w="6103"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color w:val="000000" w:themeColor="text1"/>
                <w:sz w:val="22"/>
                <w:szCs w:val="22"/>
                <w:highlight w:val="none"/>
                <w14:textFill>
                  <w14:solidFill>
                    <w14:schemeClr w14:val="tx1"/>
                  </w14:solidFill>
                </w14:textFill>
              </w:rPr>
              <w:t>项目管理机构主要人员不得相互兼职。</w:t>
            </w:r>
            <w:r>
              <w:rPr>
                <w:rFonts w:hint="eastAsia" w:ascii="仿宋" w:hAnsi="仿宋" w:eastAsia="仿宋" w:cs="仿宋"/>
                <w:color w:val="000000" w:themeColor="text1"/>
                <w:sz w:val="22"/>
                <w:szCs w:val="22"/>
                <w:highlight w:val="none"/>
                <w:lang w:eastAsia="zh-CN"/>
                <w14:textFill>
                  <w14:solidFill>
                    <w14:schemeClr w14:val="tx1"/>
                  </w14:solidFill>
                </w14:textFill>
              </w:rPr>
              <w:t>并提供人员劳动合同及所在单位为其缴纳的</w:t>
            </w:r>
            <w:r>
              <w:rPr>
                <w:rFonts w:hint="eastAsia" w:ascii="仿宋" w:hAnsi="仿宋" w:eastAsia="仿宋" w:cs="仿宋"/>
                <w:color w:val="000000" w:themeColor="text1"/>
                <w:sz w:val="22"/>
                <w:szCs w:val="22"/>
                <w:highlight w:val="none"/>
                <w:lang w:val="en-US" w:eastAsia="zh-CN"/>
                <w14:textFill>
                  <w14:solidFill>
                    <w14:schemeClr w14:val="tx1"/>
                  </w14:solidFill>
                </w14:textFill>
              </w:rPr>
              <w:t>半年内任意一个月社保缴费证明和社保人员名单。</w:t>
            </w:r>
          </w:p>
        </w:tc>
      </w:tr>
    </w:tbl>
    <w:p>
      <w:pPr>
        <w:ind w:left="630" w:hanging="630" w:hangingChars="300"/>
        <w:rPr>
          <w:rFonts w:ascii="仿宋" w:hAnsi="仿宋" w:eastAsia="仿宋" w:cs="仿宋"/>
          <w:szCs w:val="21"/>
          <w:highlight w:val="none"/>
        </w:rPr>
      </w:pPr>
    </w:p>
    <w:p>
      <w:pPr>
        <w:ind w:left="630" w:hanging="630" w:hangingChars="300"/>
        <w:rPr>
          <w:rFonts w:ascii="仿宋" w:hAnsi="仿宋" w:eastAsia="仿宋" w:cs="仿宋"/>
          <w:szCs w:val="21"/>
          <w:highlight w:val="none"/>
        </w:rPr>
      </w:pPr>
      <w:r>
        <w:rPr>
          <w:rFonts w:hint="eastAsia" w:ascii="仿宋" w:hAnsi="仿宋" w:eastAsia="仿宋" w:cs="仿宋"/>
          <w:szCs w:val="21"/>
          <w:highlight w:val="none"/>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pPr>
        <w:ind w:left="630" w:leftChars="300"/>
        <w:rPr>
          <w:rFonts w:ascii="仿宋" w:hAnsi="仿宋" w:eastAsia="仿宋" w:cs="仿宋"/>
          <w:szCs w:val="21"/>
          <w:highlight w:val="none"/>
        </w:rPr>
      </w:pPr>
      <w:r>
        <w:rPr>
          <w:rFonts w:hint="eastAsia" w:ascii="仿宋" w:hAnsi="仿宋" w:eastAsia="仿宋" w:cs="仿宋"/>
          <w:szCs w:val="21"/>
          <w:highlight w:val="none"/>
        </w:rPr>
        <w:t>2.建筑工程相关专业职称包括：土木工程、工民建、结构、建筑施工、市政公用工程、</w:t>
      </w:r>
      <w:r>
        <w:rPr>
          <w:rFonts w:hint="eastAsia" w:ascii="仿宋" w:hAnsi="仿宋" w:eastAsia="仿宋" w:cs="仿宋"/>
          <w:color w:val="auto"/>
          <w:szCs w:val="21"/>
          <w:highlight w:val="none"/>
        </w:rPr>
        <w:t>给排水、暖通、电气等专业职称。市政相关专业职称包括道路与桥梁、给排水、土木工程</w:t>
      </w:r>
      <w:r>
        <w:rPr>
          <w:rFonts w:hint="eastAsia" w:ascii="仿宋" w:hAnsi="仿宋" w:eastAsia="仿宋" w:cs="仿宋"/>
          <w:szCs w:val="21"/>
          <w:highlight w:val="none"/>
        </w:rPr>
        <w:t>、工民建、结构、建筑施工、市政公用工程、机电、燃气等专业职称。</w:t>
      </w:r>
    </w:p>
    <w:p>
      <w:pPr>
        <w:ind w:left="630" w:leftChars="300"/>
        <w:rPr>
          <w:rFonts w:ascii="仿宋" w:hAnsi="仿宋" w:eastAsia="仿宋" w:cs="仿宋"/>
          <w:szCs w:val="21"/>
          <w:highlight w:val="none"/>
        </w:rPr>
      </w:pPr>
      <w:r>
        <w:rPr>
          <w:rFonts w:hint="eastAsia" w:ascii="仿宋" w:hAnsi="仿宋" w:eastAsia="仿宋" w:cs="仿宋"/>
          <w:szCs w:val="21"/>
          <w:highlight w:val="none"/>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pPr>
        <w:ind w:left="630" w:leftChars="300"/>
        <w:rPr>
          <w:rFonts w:ascii="仿宋" w:hAnsi="仿宋" w:eastAsia="仿宋" w:cs="仿宋"/>
          <w:szCs w:val="21"/>
          <w:highlight w:val="none"/>
        </w:rPr>
      </w:pPr>
      <w:r>
        <w:rPr>
          <w:rFonts w:hint="eastAsia" w:ascii="仿宋" w:hAnsi="仿宋" w:eastAsia="仿宋" w:cs="仿宋"/>
          <w:szCs w:val="21"/>
          <w:highlight w:val="none"/>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pPr>
        <w:ind w:left="630" w:leftChars="300"/>
        <w:rPr>
          <w:rFonts w:ascii="仿宋" w:hAnsi="仿宋" w:eastAsia="仿宋" w:cs="仿宋"/>
          <w:szCs w:val="21"/>
          <w:highlight w:val="none"/>
        </w:rPr>
      </w:pPr>
    </w:p>
    <w:p>
      <w:pPr>
        <w:spacing w:line="440" w:lineRule="exact"/>
        <w:rPr>
          <w:rFonts w:ascii="仿宋" w:hAnsi="仿宋" w:eastAsia="仿宋" w:cs="仿宋"/>
          <w:highlight w:val="none"/>
          <w:lang w:bidi="en-US"/>
        </w:rPr>
        <w:sectPr>
          <w:footerReference r:id="rId10" w:type="first"/>
          <w:headerReference r:id="rId8" w:type="default"/>
          <w:footerReference r:id="rId9" w:type="default"/>
          <w:pgSz w:w="11905" w:h="16838"/>
          <w:pgMar w:top="1276" w:right="1417" w:bottom="1134" w:left="1531" w:header="851" w:footer="680" w:gutter="0"/>
          <w:pgNumType w:fmt="decimal" w:chapStyle="1"/>
          <w:cols w:space="0" w:num="1"/>
          <w:docGrid w:type="lines" w:linePitch="312" w:charSpace="0"/>
        </w:sectPr>
      </w:pPr>
      <w:r>
        <w:rPr>
          <w:rFonts w:hint="eastAsia" w:ascii="仿宋" w:hAnsi="仿宋" w:eastAsia="仿宋" w:cs="仿宋"/>
          <w:highlight w:val="none"/>
          <w:lang w:bidi="en-US"/>
        </w:rPr>
        <w:t>特别提醒:开标时评标小组网上查证本项目资格审查证明文件的真实性,如有提供假证件影响本项目的公平公正性,一律上报相关监督机构从重处理。</w:t>
      </w:r>
    </w:p>
    <w:p>
      <w:pPr>
        <w:pStyle w:val="4"/>
        <w:tabs>
          <w:tab w:val="left" w:pos="567"/>
        </w:tabs>
        <w:spacing w:before="0" w:after="0" w:line="440" w:lineRule="exact"/>
        <w:rPr>
          <w:rFonts w:ascii="仿宋" w:hAnsi="仿宋" w:eastAsia="仿宋" w:cs="仿宋"/>
          <w:sz w:val="24"/>
          <w:szCs w:val="24"/>
          <w:highlight w:val="none"/>
        </w:rPr>
      </w:pPr>
      <w:bookmarkStart w:id="243" w:name="_Toc184635081"/>
      <w:bookmarkStart w:id="244" w:name="_Toc499379012"/>
      <w:bookmarkStart w:id="245" w:name="_Toc499378890"/>
      <w:bookmarkStart w:id="246" w:name="_Toc336091314"/>
      <w:r>
        <w:rPr>
          <w:rFonts w:hint="eastAsia" w:ascii="仿宋" w:hAnsi="仿宋" w:eastAsia="仿宋" w:cs="仿宋"/>
          <w:sz w:val="24"/>
          <w:szCs w:val="24"/>
          <w:highlight w:val="none"/>
        </w:rPr>
        <w:t>附表一：开标记录表</w:t>
      </w:r>
      <w:bookmarkEnd w:id="243"/>
      <w:bookmarkEnd w:id="244"/>
      <w:bookmarkEnd w:id="245"/>
      <w:bookmarkEnd w:id="246"/>
    </w:p>
    <w:p>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（项目名称）标段施工开标记录表</w:t>
      </w:r>
    </w:p>
    <w:p>
      <w:pPr>
        <w:spacing w:line="360" w:lineRule="auto"/>
        <w:ind w:right="420"/>
        <w:rPr>
          <w:rFonts w:ascii="仿宋" w:hAnsi="仿宋" w:eastAsia="仿宋" w:cs="仿宋"/>
          <w:szCs w:val="21"/>
          <w:highlight w:val="none"/>
          <w:u w:val="single"/>
        </w:rPr>
      </w:pPr>
      <w:r>
        <w:rPr>
          <w:rFonts w:hint="eastAsia" w:ascii="仿宋" w:hAnsi="仿宋" w:eastAsia="仿宋" w:cs="仿宋"/>
          <w:szCs w:val="21"/>
          <w:highlight w:val="none"/>
        </w:rPr>
        <w:t>开标时间：   年  月  日  时  分                                         开标地点：</w:t>
      </w:r>
      <w:r>
        <w:rPr>
          <w:rFonts w:hint="eastAsia" w:ascii="仿宋" w:hAnsi="仿宋" w:eastAsia="仿宋" w:cs="仿宋"/>
          <w:kern w:val="0"/>
          <w:szCs w:val="21"/>
          <w:highlight w:val="none"/>
        </w:rPr>
        <w:t>大冶市农村综合产权交易中心开标室</w:t>
      </w:r>
    </w:p>
    <w:p>
      <w:pPr>
        <w:jc w:val="right"/>
        <w:rPr>
          <w:rFonts w:ascii="仿宋" w:hAnsi="仿宋" w:eastAsia="仿宋" w:cs="仿宋"/>
          <w:szCs w:val="21"/>
          <w:highlight w:val="none"/>
        </w:rPr>
      </w:pPr>
    </w:p>
    <w:tbl>
      <w:tblPr>
        <w:tblStyle w:val="15"/>
        <w:tblW w:w="13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111"/>
        <w:gridCol w:w="1417"/>
        <w:gridCol w:w="2126"/>
        <w:gridCol w:w="993"/>
        <w:gridCol w:w="374"/>
        <w:gridCol w:w="901"/>
        <w:gridCol w:w="1560"/>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07"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序号</w:t>
            </w:r>
          </w:p>
        </w:tc>
        <w:tc>
          <w:tcPr>
            <w:tcW w:w="5528" w:type="dxa"/>
            <w:gridSpan w:val="2"/>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投标人</w:t>
            </w:r>
          </w:p>
        </w:tc>
        <w:tc>
          <w:tcPr>
            <w:tcW w:w="2126"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投标报价（元）</w:t>
            </w:r>
          </w:p>
        </w:tc>
        <w:tc>
          <w:tcPr>
            <w:tcW w:w="993"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质量</w:t>
            </w:r>
          </w:p>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目标</w:t>
            </w:r>
          </w:p>
        </w:tc>
        <w:tc>
          <w:tcPr>
            <w:tcW w:w="1275" w:type="dxa"/>
            <w:gridSpan w:val="2"/>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工期</w:t>
            </w:r>
          </w:p>
        </w:tc>
        <w:tc>
          <w:tcPr>
            <w:tcW w:w="1560"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项目经理</w:t>
            </w:r>
          </w:p>
        </w:tc>
        <w:tc>
          <w:tcPr>
            <w:tcW w:w="1667"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18" w:type="dxa"/>
            <w:gridSpan w:val="2"/>
          </w:tcPr>
          <w:p>
            <w:pPr>
              <w:spacing w:line="492" w:lineRule="exact"/>
              <w:rPr>
                <w:rFonts w:ascii="仿宋" w:hAnsi="仿宋" w:eastAsia="仿宋" w:cs="仿宋"/>
                <w:sz w:val="22"/>
                <w:highlight w:val="none"/>
              </w:rPr>
            </w:pPr>
            <w:r>
              <w:rPr>
                <w:rFonts w:hint="eastAsia" w:ascii="仿宋" w:hAnsi="仿宋" w:eastAsia="仿宋" w:cs="仿宋"/>
                <w:sz w:val="22"/>
                <w:highlight w:val="none"/>
              </w:rPr>
              <w:t>本项目拦标价（最高限价）</w:t>
            </w:r>
          </w:p>
        </w:tc>
        <w:tc>
          <w:tcPr>
            <w:tcW w:w="9038" w:type="dxa"/>
            <w:gridSpan w:val="7"/>
          </w:tcPr>
          <w:p>
            <w:pPr>
              <w:spacing w:line="492" w:lineRule="exact"/>
              <w:rPr>
                <w:rFonts w:ascii="仿宋" w:hAnsi="仿宋" w:eastAsia="仿宋" w:cs="仿宋"/>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818" w:type="dxa"/>
            <w:gridSpan w:val="2"/>
          </w:tcPr>
          <w:p>
            <w:pPr>
              <w:spacing w:line="492" w:lineRule="exact"/>
              <w:rPr>
                <w:rFonts w:ascii="仿宋" w:hAnsi="仿宋" w:eastAsia="仿宋" w:cs="仿宋"/>
                <w:sz w:val="22"/>
                <w:highlight w:val="none"/>
              </w:rPr>
            </w:pPr>
            <w:r>
              <w:rPr>
                <w:rFonts w:hint="eastAsia" w:ascii="仿宋" w:hAnsi="仿宋" w:eastAsia="仿宋" w:cs="仿宋"/>
                <w:sz w:val="22"/>
                <w:highlight w:val="none"/>
              </w:rPr>
              <w:t>由投标人代表抽取F值</w:t>
            </w:r>
          </w:p>
        </w:tc>
        <w:tc>
          <w:tcPr>
            <w:tcW w:w="4910" w:type="dxa"/>
            <w:gridSpan w:val="4"/>
          </w:tcPr>
          <w:p>
            <w:pPr>
              <w:spacing w:line="492" w:lineRule="exact"/>
              <w:rPr>
                <w:rFonts w:ascii="仿宋" w:hAnsi="仿宋" w:eastAsia="仿宋" w:cs="仿宋"/>
                <w:sz w:val="22"/>
                <w:highlight w:val="none"/>
              </w:rPr>
            </w:pPr>
          </w:p>
        </w:tc>
        <w:tc>
          <w:tcPr>
            <w:tcW w:w="4128" w:type="dxa"/>
            <w:gridSpan w:val="3"/>
          </w:tcPr>
          <w:p>
            <w:pPr>
              <w:spacing w:line="492" w:lineRule="exact"/>
              <w:rPr>
                <w:rFonts w:ascii="仿宋" w:hAnsi="仿宋" w:eastAsia="仿宋" w:cs="仿宋"/>
                <w:sz w:val="22"/>
                <w:highlight w:val="none"/>
              </w:rPr>
            </w:pPr>
            <w:r>
              <w:rPr>
                <w:rFonts w:hint="eastAsia" w:ascii="仿宋" w:hAnsi="仿宋" w:eastAsia="仿宋" w:cs="仿宋"/>
                <w:sz w:val="22"/>
                <w:highlight w:val="none"/>
              </w:rPr>
              <w:t>抽取人：</w:t>
            </w:r>
          </w:p>
        </w:tc>
      </w:tr>
    </w:tbl>
    <w:p>
      <w:pPr>
        <w:spacing w:before="319" w:beforeLines="100" w:after="159" w:afterLines="50" w:line="492"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招标人代表：                                    记录人：                                 监标人：</w:t>
      </w:r>
    </w:p>
    <w:p>
      <w:pPr>
        <w:spacing w:before="319" w:beforeLines="100" w:after="159" w:afterLines="50" w:line="492" w:lineRule="exact"/>
        <w:jc w:val="right"/>
        <w:rPr>
          <w:rFonts w:ascii="仿宋" w:hAnsi="仿宋" w:eastAsia="仿宋" w:cs="仿宋"/>
          <w:sz w:val="24"/>
          <w:highlight w:val="none"/>
        </w:rPr>
      </w:pPr>
      <w:r>
        <w:rPr>
          <w:rFonts w:hint="eastAsia" w:ascii="仿宋" w:hAnsi="仿宋" w:eastAsia="仿宋" w:cs="仿宋"/>
          <w:sz w:val="24"/>
          <w:highlight w:val="none"/>
        </w:rPr>
        <w:t>年   月  日</w:t>
      </w:r>
    </w:p>
    <w:p>
      <w:pPr>
        <w:pStyle w:val="4"/>
        <w:tabs>
          <w:tab w:val="left" w:pos="567"/>
        </w:tabs>
        <w:spacing w:before="0" w:after="0" w:line="440" w:lineRule="exact"/>
        <w:rPr>
          <w:rFonts w:ascii="仿宋" w:hAnsi="仿宋" w:eastAsia="仿宋" w:cs="仿宋"/>
          <w:sz w:val="24"/>
          <w:szCs w:val="24"/>
          <w:highlight w:val="none"/>
        </w:rPr>
        <w:sectPr>
          <w:pgSz w:w="16838" w:h="11905" w:orient="landscape"/>
          <w:pgMar w:top="1247" w:right="1389" w:bottom="1134" w:left="1361" w:header="851" w:footer="680" w:gutter="0"/>
          <w:pgNumType w:fmt="decimal"/>
          <w:cols w:space="0" w:num="1"/>
          <w:titlePg/>
          <w:docGrid w:type="lines" w:linePitch="319" w:charSpace="0"/>
        </w:sectPr>
      </w:pPr>
      <w:bookmarkStart w:id="247" w:name="_Toc184635082"/>
      <w:bookmarkStart w:id="248" w:name="_Toc336091315"/>
    </w:p>
    <w:p>
      <w:pPr>
        <w:pStyle w:val="4"/>
        <w:tabs>
          <w:tab w:val="left" w:pos="567"/>
        </w:tabs>
        <w:spacing w:before="0" w:after="0" w:line="440" w:lineRule="exact"/>
        <w:rPr>
          <w:rFonts w:ascii="仿宋" w:hAnsi="仿宋" w:eastAsia="仿宋" w:cs="仿宋"/>
          <w:sz w:val="24"/>
          <w:szCs w:val="24"/>
          <w:highlight w:val="none"/>
        </w:rPr>
      </w:pPr>
      <w:bookmarkStart w:id="249" w:name="_Toc499379013"/>
      <w:bookmarkStart w:id="250" w:name="_Toc499378891"/>
      <w:r>
        <w:rPr>
          <w:rFonts w:hint="eastAsia" w:ascii="仿宋" w:hAnsi="仿宋" w:eastAsia="仿宋" w:cs="仿宋"/>
          <w:sz w:val="24"/>
          <w:szCs w:val="24"/>
          <w:highlight w:val="none"/>
        </w:rPr>
        <w:t>附表二：问题澄清通知</w:t>
      </w:r>
      <w:bookmarkEnd w:id="247"/>
      <w:bookmarkEnd w:id="248"/>
      <w:bookmarkEnd w:id="249"/>
      <w:bookmarkEnd w:id="250"/>
    </w:p>
    <w:p>
      <w:pPr>
        <w:spacing w:line="492" w:lineRule="exact"/>
        <w:ind w:firstLine="560" w:firstLineChars="200"/>
        <w:jc w:val="center"/>
        <w:rPr>
          <w:rFonts w:ascii="仿宋" w:hAnsi="仿宋" w:eastAsia="仿宋" w:cs="仿宋"/>
          <w:sz w:val="28"/>
          <w:szCs w:val="28"/>
          <w:highlight w:val="none"/>
        </w:rPr>
      </w:pPr>
    </w:p>
    <w:p>
      <w:pPr>
        <w:spacing w:line="492" w:lineRule="exact"/>
        <w:ind w:firstLine="880" w:firstLineChars="200"/>
        <w:jc w:val="center"/>
        <w:rPr>
          <w:rFonts w:ascii="仿宋" w:hAnsi="仿宋" w:eastAsia="仿宋" w:cs="仿宋"/>
          <w:sz w:val="36"/>
          <w:szCs w:val="36"/>
          <w:highlight w:val="none"/>
        </w:rPr>
      </w:pPr>
      <w:r>
        <w:rPr>
          <w:rFonts w:hint="eastAsia" w:ascii="仿宋" w:hAnsi="仿宋" w:eastAsia="仿宋" w:cs="仿宋"/>
          <w:spacing w:val="40"/>
          <w:sz w:val="36"/>
          <w:szCs w:val="36"/>
          <w:highlight w:val="none"/>
        </w:rPr>
        <w:t>问题澄清通</w:t>
      </w:r>
      <w:r>
        <w:rPr>
          <w:rFonts w:hint="eastAsia" w:ascii="仿宋" w:hAnsi="仿宋" w:eastAsia="仿宋" w:cs="仿宋"/>
          <w:sz w:val="36"/>
          <w:szCs w:val="36"/>
          <w:highlight w:val="none"/>
        </w:rPr>
        <w:t>知</w:t>
      </w:r>
    </w:p>
    <w:p>
      <w:pPr>
        <w:spacing w:before="156" w:beforeLines="50" w:line="492" w:lineRule="exact"/>
        <w:ind w:firstLine="4620" w:firstLineChars="1650"/>
        <w:rPr>
          <w:rFonts w:ascii="仿宋" w:hAnsi="仿宋" w:eastAsia="仿宋" w:cs="仿宋"/>
          <w:sz w:val="28"/>
          <w:szCs w:val="28"/>
          <w:highlight w:val="none"/>
        </w:rPr>
      </w:pPr>
      <w:r>
        <w:rPr>
          <w:rFonts w:hint="eastAsia" w:ascii="仿宋" w:hAnsi="仿宋" w:eastAsia="仿宋" w:cs="仿宋"/>
          <w:sz w:val="28"/>
          <w:szCs w:val="28"/>
          <w:highlight w:val="none"/>
        </w:rPr>
        <w:t>编号：</w:t>
      </w:r>
    </w:p>
    <w:p>
      <w:pPr>
        <w:spacing w:line="492" w:lineRule="exact"/>
        <w:ind w:firstLine="560" w:firstLineChars="200"/>
        <w:rPr>
          <w:rFonts w:ascii="仿宋" w:hAnsi="仿宋" w:eastAsia="仿宋" w:cs="仿宋"/>
          <w:sz w:val="28"/>
          <w:szCs w:val="28"/>
          <w:highlight w:val="none"/>
          <w:u w:val="single"/>
        </w:rPr>
      </w:pPr>
    </w:p>
    <w:p>
      <w:pPr>
        <w:spacing w:line="560" w:lineRule="exact"/>
        <w:rPr>
          <w:rFonts w:ascii="仿宋" w:hAnsi="仿宋" w:eastAsia="仿宋" w:cs="仿宋"/>
          <w:sz w:val="24"/>
          <w:highlight w:val="none"/>
        </w:rPr>
      </w:pPr>
      <w:r>
        <w:rPr>
          <w:rFonts w:hint="eastAsia" w:ascii="仿宋" w:hAnsi="仿宋" w:eastAsia="仿宋" w:cs="仿宋"/>
          <w:sz w:val="24"/>
          <w:highlight w:val="none"/>
        </w:rPr>
        <w:t xml:space="preserve">（投标人名称）: </w:t>
      </w:r>
    </w:p>
    <w:p>
      <w:pPr>
        <w:spacing w:line="560" w:lineRule="exact"/>
        <w:rPr>
          <w:rFonts w:ascii="仿宋" w:hAnsi="仿宋" w:eastAsia="仿宋" w:cs="仿宋"/>
          <w:sz w:val="24"/>
          <w:highlight w:val="none"/>
        </w:rPr>
      </w:pPr>
      <w:r>
        <w:rPr>
          <w:rFonts w:hint="eastAsia" w:ascii="仿宋" w:hAnsi="仿宋" w:eastAsia="仿宋" w:cs="仿宋"/>
          <w:sz w:val="24"/>
          <w:highlight w:val="none"/>
        </w:rPr>
        <w:t>（项目名称）标段施工招标的评标委员会，对你方的投标文件进行了仔细的审查，现需你方对下列问题以书面形式予以澄清：</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请将上述问题的澄清于年月日时前递交至（详细地址）或传真至（传真号码）。采用传真方式的，应在年月日时前将原件递交至（详细地址）。</w:t>
      </w:r>
    </w:p>
    <w:p>
      <w:pPr>
        <w:spacing w:line="492" w:lineRule="exact"/>
        <w:ind w:firstLine="5880" w:firstLineChars="2450"/>
        <w:rPr>
          <w:rFonts w:ascii="仿宋" w:hAnsi="仿宋" w:eastAsia="仿宋" w:cs="仿宋"/>
          <w:sz w:val="24"/>
          <w:highlight w:val="none"/>
        </w:rPr>
      </w:pPr>
    </w:p>
    <w:p>
      <w:pPr>
        <w:spacing w:line="492" w:lineRule="exact"/>
        <w:ind w:firstLine="5880" w:firstLineChars="2450"/>
        <w:rPr>
          <w:rFonts w:ascii="仿宋" w:hAnsi="仿宋" w:eastAsia="仿宋" w:cs="仿宋"/>
          <w:sz w:val="24"/>
          <w:highlight w:val="none"/>
        </w:rPr>
      </w:pPr>
    </w:p>
    <w:p>
      <w:pPr>
        <w:spacing w:line="492" w:lineRule="exact"/>
        <w:ind w:firstLine="5880" w:firstLineChars="2450"/>
        <w:rPr>
          <w:rFonts w:ascii="仿宋" w:hAnsi="仿宋" w:eastAsia="仿宋" w:cs="仿宋"/>
          <w:sz w:val="24"/>
          <w:highlight w:val="none"/>
        </w:rPr>
      </w:pPr>
    </w:p>
    <w:p>
      <w:pPr>
        <w:spacing w:line="492" w:lineRule="exact"/>
        <w:ind w:right="140"/>
        <w:jc w:val="center"/>
        <w:rPr>
          <w:rFonts w:ascii="仿宋" w:hAnsi="仿宋" w:eastAsia="仿宋" w:cs="仿宋"/>
          <w:sz w:val="24"/>
          <w:highlight w:val="none"/>
        </w:rPr>
      </w:pPr>
      <w:r>
        <w:rPr>
          <w:rFonts w:hint="eastAsia" w:ascii="仿宋" w:hAnsi="仿宋" w:eastAsia="仿宋" w:cs="仿宋"/>
          <w:sz w:val="24"/>
          <w:highlight w:val="none"/>
        </w:rPr>
        <w:t>评标委员会负责人：（签字）</w:t>
      </w:r>
    </w:p>
    <w:p>
      <w:pPr>
        <w:spacing w:line="492" w:lineRule="exact"/>
        <w:rPr>
          <w:rFonts w:ascii="仿宋" w:hAnsi="仿宋" w:eastAsia="仿宋" w:cs="仿宋"/>
          <w:sz w:val="24"/>
          <w:highlight w:val="none"/>
          <w:u w:val="single"/>
        </w:rPr>
      </w:pPr>
    </w:p>
    <w:p>
      <w:pPr>
        <w:spacing w:line="492" w:lineRule="exact"/>
        <w:ind w:firstLine="5880" w:firstLineChars="2450"/>
        <w:rPr>
          <w:rFonts w:ascii="仿宋" w:hAnsi="仿宋" w:eastAsia="仿宋" w:cs="仿宋"/>
          <w:sz w:val="24"/>
          <w:highlight w:val="none"/>
        </w:rPr>
      </w:pPr>
      <w:r>
        <w:rPr>
          <w:rFonts w:hint="eastAsia" w:ascii="仿宋" w:hAnsi="仿宋" w:eastAsia="仿宋" w:cs="仿宋"/>
          <w:sz w:val="24"/>
          <w:highlight w:val="none"/>
        </w:rPr>
        <w:t>年    月    日</w:t>
      </w:r>
    </w:p>
    <w:p>
      <w:pPr>
        <w:pStyle w:val="4"/>
        <w:tabs>
          <w:tab w:val="left" w:pos="567"/>
        </w:tabs>
        <w:spacing w:before="0" w:after="0" w:line="440" w:lineRule="exact"/>
        <w:rPr>
          <w:rFonts w:ascii="仿宋" w:hAnsi="仿宋" w:eastAsia="仿宋" w:cs="仿宋"/>
          <w:sz w:val="24"/>
          <w:szCs w:val="24"/>
          <w:highlight w:val="none"/>
        </w:rPr>
      </w:pPr>
      <w:bookmarkStart w:id="251" w:name="_Toc336091316"/>
      <w:bookmarkStart w:id="252" w:name="_Toc184635083"/>
      <w:r>
        <w:rPr>
          <w:rFonts w:hint="eastAsia" w:ascii="仿宋" w:hAnsi="仿宋" w:eastAsia="仿宋" w:cs="仿宋"/>
          <w:sz w:val="24"/>
          <w:szCs w:val="24"/>
          <w:highlight w:val="none"/>
        </w:rPr>
        <w:br w:type="page"/>
      </w:r>
      <w:bookmarkStart w:id="253" w:name="_Toc499378892"/>
      <w:bookmarkStart w:id="254" w:name="_Toc499379014"/>
      <w:r>
        <w:rPr>
          <w:rFonts w:hint="eastAsia" w:ascii="仿宋" w:hAnsi="仿宋" w:eastAsia="仿宋" w:cs="仿宋"/>
          <w:sz w:val="24"/>
          <w:szCs w:val="24"/>
          <w:highlight w:val="none"/>
        </w:rPr>
        <w:t>附表三：问题的澄清</w:t>
      </w:r>
      <w:bookmarkEnd w:id="251"/>
      <w:bookmarkEnd w:id="252"/>
      <w:bookmarkEnd w:id="253"/>
      <w:bookmarkEnd w:id="254"/>
    </w:p>
    <w:p>
      <w:pPr>
        <w:spacing w:line="492" w:lineRule="exact"/>
        <w:ind w:firstLine="560" w:firstLineChars="200"/>
        <w:jc w:val="center"/>
        <w:rPr>
          <w:rFonts w:ascii="仿宋" w:hAnsi="仿宋" w:eastAsia="仿宋" w:cs="仿宋"/>
          <w:sz w:val="28"/>
          <w:szCs w:val="28"/>
          <w:highlight w:val="none"/>
        </w:rPr>
      </w:pPr>
    </w:p>
    <w:p>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问题的澄清</w:t>
      </w:r>
    </w:p>
    <w:p>
      <w:pPr>
        <w:spacing w:before="312" w:beforeLines="100" w:line="492" w:lineRule="exact"/>
        <w:ind w:firstLine="6580" w:firstLineChars="2350"/>
        <w:rPr>
          <w:rFonts w:ascii="仿宋" w:hAnsi="仿宋" w:eastAsia="仿宋" w:cs="仿宋"/>
          <w:sz w:val="28"/>
          <w:szCs w:val="28"/>
          <w:highlight w:val="none"/>
        </w:rPr>
      </w:pPr>
      <w:r>
        <w:rPr>
          <w:rFonts w:hint="eastAsia" w:ascii="仿宋" w:hAnsi="仿宋" w:eastAsia="仿宋" w:cs="仿宋"/>
          <w:sz w:val="28"/>
          <w:szCs w:val="28"/>
          <w:highlight w:val="none"/>
        </w:rPr>
        <w:t>编号：</w:t>
      </w:r>
    </w:p>
    <w:p>
      <w:pPr>
        <w:spacing w:line="492" w:lineRule="exact"/>
        <w:ind w:firstLine="560" w:firstLineChars="200"/>
        <w:rPr>
          <w:rFonts w:ascii="仿宋" w:hAnsi="仿宋" w:eastAsia="仿宋" w:cs="仿宋"/>
          <w:sz w:val="28"/>
          <w:szCs w:val="28"/>
          <w:highlight w:val="none"/>
          <w:u w:val="single"/>
        </w:rPr>
      </w:pPr>
    </w:p>
    <w:p>
      <w:pPr>
        <w:spacing w:line="492" w:lineRule="exact"/>
        <w:rPr>
          <w:rFonts w:ascii="仿宋" w:hAnsi="仿宋" w:eastAsia="仿宋" w:cs="仿宋"/>
          <w:sz w:val="24"/>
          <w:highlight w:val="none"/>
        </w:rPr>
      </w:pPr>
      <w:r>
        <w:rPr>
          <w:rFonts w:hint="eastAsia" w:ascii="仿宋" w:hAnsi="仿宋" w:eastAsia="仿宋" w:cs="仿宋"/>
          <w:sz w:val="24"/>
          <w:highlight w:val="none"/>
        </w:rPr>
        <w:t xml:space="preserve"> （项目名称）标段施工招标评标委员会：</w:t>
      </w:r>
    </w:p>
    <w:p>
      <w:pPr>
        <w:spacing w:line="492" w:lineRule="exact"/>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问题澄清通知（编号：）已收悉，现澄清如下：</w:t>
      </w: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pPr>
        <w:spacing w:line="492" w:lineRule="exact"/>
        <w:rPr>
          <w:rFonts w:ascii="仿宋" w:hAnsi="仿宋" w:eastAsia="仿宋" w:cs="仿宋"/>
          <w:sz w:val="24"/>
          <w:highlight w:val="none"/>
          <w:u w:val="single"/>
        </w:rPr>
      </w:pPr>
    </w:p>
    <w:p>
      <w:pPr>
        <w:spacing w:line="492" w:lineRule="exact"/>
        <w:rPr>
          <w:rFonts w:ascii="仿宋" w:hAnsi="仿宋" w:eastAsia="仿宋" w:cs="仿宋"/>
          <w:sz w:val="24"/>
          <w:highlight w:val="none"/>
          <w:u w:val="single"/>
        </w:rPr>
      </w:pPr>
    </w:p>
    <w:p>
      <w:pPr>
        <w:spacing w:line="492" w:lineRule="exact"/>
        <w:ind w:firstLine="5040" w:firstLineChars="2100"/>
        <w:rPr>
          <w:rFonts w:ascii="仿宋" w:hAnsi="仿宋" w:eastAsia="仿宋" w:cs="仿宋"/>
          <w:sz w:val="24"/>
          <w:highlight w:val="none"/>
        </w:rPr>
      </w:pPr>
      <w:r>
        <w:rPr>
          <w:rFonts w:hint="eastAsia" w:ascii="仿宋" w:hAnsi="仿宋" w:eastAsia="仿宋" w:cs="仿宋"/>
          <w:sz w:val="24"/>
          <w:highlight w:val="none"/>
        </w:rPr>
        <w:t>年   月  日</w:t>
      </w:r>
    </w:p>
    <w:p>
      <w:pPr>
        <w:pStyle w:val="4"/>
        <w:tabs>
          <w:tab w:val="left" w:pos="567"/>
        </w:tabs>
        <w:spacing w:before="0" w:after="0" w:line="440" w:lineRule="exact"/>
        <w:rPr>
          <w:rFonts w:ascii="仿宋" w:hAnsi="仿宋" w:eastAsia="仿宋" w:cs="仿宋"/>
          <w:sz w:val="24"/>
          <w:szCs w:val="24"/>
          <w:highlight w:val="none"/>
        </w:rPr>
      </w:pPr>
      <w:bookmarkStart w:id="255" w:name="_Toc336091317"/>
      <w:bookmarkStart w:id="256" w:name="_Toc184635084"/>
      <w:r>
        <w:rPr>
          <w:rFonts w:hint="eastAsia" w:ascii="仿宋" w:hAnsi="仿宋" w:eastAsia="仿宋" w:cs="仿宋"/>
          <w:sz w:val="24"/>
          <w:szCs w:val="24"/>
          <w:highlight w:val="none"/>
        </w:rPr>
        <w:br w:type="page"/>
      </w:r>
      <w:bookmarkStart w:id="257" w:name="_Toc499378893"/>
      <w:bookmarkStart w:id="258" w:name="_Toc499379015"/>
      <w:r>
        <w:rPr>
          <w:rFonts w:hint="eastAsia" w:ascii="仿宋" w:hAnsi="仿宋" w:eastAsia="仿宋" w:cs="仿宋"/>
          <w:sz w:val="24"/>
          <w:szCs w:val="24"/>
          <w:highlight w:val="none"/>
        </w:rPr>
        <w:t>附表四：中标通知书</w:t>
      </w:r>
      <w:bookmarkEnd w:id="255"/>
      <w:bookmarkEnd w:id="256"/>
      <w:bookmarkEnd w:id="257"/>
      <w:bookmarkEnd w:id="258"/>
    </w:p>
    <w:p>
      <w:pPr>
        <w:spacing w:line="492" w:lineRule="exact"/>
        <w:ind w:firstLine="720" w:firstLineChars="200"/>
        <w:jc w:val="center"/>
        <w:rPr>
          <w:rFonts w:ascii="仿宋" w:hAnsi="仿宋" w:eastAsia="仿宋" w:cs="仿宋"/>
          <w:sz w:val="36"/>
          <w:szCs w:val="36"/>
          <w:highlight w:val="none"/>
        </w:rPr>
      </w:pPr>
    </w:p>
    <w:p>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中标通知书</w:t>
      </w:r>
    </w:p>
    <w:p>
      <w:pPr>
        <w:spacing w:line="492" w:lineRule="exact"/>
        <w:ind w:firstLine="560" w:firstLineChars="200"/>
        <w:jc w:val="center"/>
        <w:rPr>
          <w:rFonts w:ascii="仿宋" w:hAnsi="仿宋" w:eastAsia="仿宋" w:cs="仿宋"/>
          <w:sz w:val="28"/>
          <w:szCs w:val="28"/>
          <w:highlight w:val="none"/>
        </w:rPr>
      </w:pPr>
    </w:p>
    <w:p>
      <w:pPr>
        <w:spacing w:line="560" w:lineRule="exact"/>
        <w:rPr>
          <w:rFonts w:ascii="仿宋" w:hAnsi="仿宋" w:eastAsia="仿宋" w:cs="仿宋"/>
          <w:sz w:val="24"/>
          <w:highlight w:val="none"/>
        </w:rPr>
      </w:pPr>
      <w:bookmarkStart w:id="259" w:name="_Toc184635085"/>
      <w:r>
        <w:rPr>
          <w:rFonts w:hint="eastAsia" w:ascii="仿宋" w:hAnsi="仿宋" w:eastAsia="仿宋" w:cs="仿宋"/>
          <w:sz w:val="24"/>
          <w:highlight w:val="none"/>
        </w:rPr>
        <w:t xml:space="preserve">（中标人名称）： </w:t>
      </w:r>
    </w:p>
    <w:p>
      <w:pPr>
        <w:spacing w:line="560" w:lineRule="exact"/>
        <w:ind w:firstLine="600" w:firstLineChars="250"/>
        <w:rPr>
          <w:rFonts w:ascii="仿宋" w:hAnsi="仿宋" w:eastAsia="仿宋" w:cs="仿宋"/>
          <w:sz w:val="24"/>
          <w:highlight w:val="none"/>
        </w:rPr>
      </w:pP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rPr>
        <w:t xml:space="preserve"> ，于年月日开标后，经评标委员会评审，你单位被确定为中标人。中标价格为：元（大写），工期日历天，工程质量目标：。项目经理（建造师）：（姓名），专业级别：  ，证号：  。</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请你单位在接到本中标通知书后，于年月日前与招标人签订施工承包合同，签订合同地点：。</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特此通知。</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附：《湖北省大冶市招投标项目进场交易证明书》</w:t>
      </w:r>
    </w:p>
    <w:p>
      <w:pPr>
        <w:spacing w:line="492" w:lineRule="exact"/>
        <w:ind w:firstLine="4800" w:firstLineChars="2000"/>
        <w:rPr>
          <w:rFonts w:ascii="仿宋" w:hAnsi="仿宋" w:eastAsia="仿宋" w:cs="仿宋"/>
          <w:sz w:val="24"/>
          <w:highlight w:val="none"/>
        </w:rPr>
      </w:pPr>
    </w:p>
    <w:p>
      <w:pPr>
        <w:spacing w:line="492" w:lineRule="exact"/>
        <w:ind w:firstLine="2186" w:firstLineChars="911"/>
        <w:rPr>
          <w:rFonts w:ascii="仿宋" w:hAnsi="仿宋" w:eastAsia="仿宋" w:cs="仿宋"/>
          <w:sz w:val="24"/>
          <w:highlight w:val="none"/>
        </w:rPr>
      </w:pP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招标人（盖章）：</w:t>
      </w: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法定代表人（签字）：</w:t>
      </w: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联系人：</w:t>
      </w: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联系电话：</w:t>
      </w:r>
    </w:p>
    <w:p>
      <w:pPr>
        <w:spacing w:line="492" w:lineRule="exact"/>
        <w:ind w:firstLine="3720" w:firstLineChars="1550"/>
        <w:rPr>
          <w:rFonts w:ascii="仿宋" w:hAnsi="仿宋" w:eastAsia="仿宋" w:cs="仿宋"/>
          <w:sz w:val="24"/>
          <w:highlight w:val="none"/>
        </w:rPr>
      </w:pPr>
    </w:p>
    <w:p>
      <w:pPr>
        <w:spacing w:line="492" w:lineRule="exact"/>
        <w:ind w:firstLine="3720" w:firstLineChars="1550"/>
        <w:rPr>
          <w:rFonts w:ascii="仿宋" w:hAnsi="仿宋" w:eastAsia="仿宋" w:cs="仿宋"/>
          <w:sz w:val="24"/>
          <w:highlight w:val="none"/>
        </w:rPr>
      </w:pPr>
    </w:p>
    <w:p>
      <w:pPr>
        <w:spacing w:line="492" w:lineRule="exact"/>
        <w:ind w:right="560" w:firstLine="5128" w:firstLineChars="2137"/>
        <w:rPr>
          <w:rFonts w:ascii="仿宋" w:hAnsi="仿宋" w:eastAsia="仿宋" w:cs="仿宋"/>
          <w:sz w:val="24"/>
          <w:highlight w:val="none"/>
        </w:rPr>
      </w:pPr>
      <w:r>
        <w:rPr>
          <w:rFonts w:hint="eastAsia" w:ascii="仿宋" w:hAnsi="仿宋" w:eastAsia="仿宋" w:cs="仿宋"/>
          <w:sz w:val="24"/>
          <w:highlight w:val="none"/>
        </w:rPr>
        <w:t>年   月   日</w:t>
      </w:r>
    </w:p>
    <w:p>
      <w:pPr>
        <w:spacing w:line="492" w:lineRule="exact"/>
        <w:ind w:right="560" w:firstLine="3928" w:firstLineChars="1637"/>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rPr>
          <w:rFonts w:ascii="仿宋" w:hAnsi="仿宋" w:eastAsia="仿宋" w:cs="仿宋"/>
          <w:szCs w:val="21"/>
          <w:highlight w:val="none"/>
        </w:rPr>
      </w:pPr>
      <w:r>
        <w:rPr>
          <w:rFonts w:hint="eastAsia" w:ascii="仿宋" w:hAnsi="仿宋" w:eastAsia="仿宋" w:cs="仿宋"/>
          <w:szCs w:val="21"/>
          <w:highlight w:val="none"/>
        </w:rPr>
        <w:t>（注：本通知书一式五份，招标单位、代理机构、中标单位、交易监管局行业主管部门各一份。）</w:t>
      </w:r>
      <w:bookmarkEnd w:id="259"/>
    </w:p>
    <w:p>
      <w:pPr>
        <w:pStyle w:val="4"/>
        <w:tabs>
          <w:tab w:val="left" w:pos="567"/>
        </w:tabs>
        <w:spacing w:before="0" w:after="0" w:line="440" w:lineRule="exact"/>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260" w:name="_Toc336091319"/>
      <w:bookmarkStart w:id="261" w:name="_Toc184635086"/>
      <w:bookmarkStart w:id="262" w:name="_Toc499379017"/>
      <w:bookmarkStart w:id="263" w:name="_Toc499378895"/>
      <w:r>
        <w:rPr>
          <w:rFonts w:hint="eastAsia" w:ascii="仿宋" w:hAnsi="仿宋" w:eastAsia="仿宋" w:cs="仿宋"/>
          <w:sz w:val="24"/>
          <w:szCs w:val="24"/>
          <w:highlight w:val="none"/>
        </w:rPr>
        <w:t>附表五：确认通知</w:t>
      </w:r>
      <w:bookmarkEnd w:id="260"/>
      <w:bookmarkEnd w:id="261"/>
      <w:bookmarkEnd w:id="262"/>
      <w:bookmarkEnd w:id="263"/>
    </w:p>
    <w:p>
      <w:pPr>
        <w:spacing w:line="492" w:lineRule="exact"/>
        <w:ind w:firstLine="560" w:firstLineChars="200"/>
        <w:jc w:val="center"/>
        <w:rPr>
          <w:rFonts w:ascii="仿宋" w:hAnsi="仿宋" w:eastAsia="仿宋" w:cs="仿宋"/>
          <w:sz w:val="28"/>
          <w:szCs w:val="28"/>
          <w:highlight w:val="none"/>
        </w:rPr>
      </w:pPr>
    </w:p>
    <w:p>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确认通知</w:t>
      </w:r>
    </w:p>
    <w:p>
      <w:pPr>
        <w:spacing w:line="492" w:lineRule="exact"/>
        <w:ind w:firstLine="560" w:firstLineChars="200"/>
        <w:rPr>
          <w:rFonts w:ascii="仿宋" w:hAnsi="仿宋" w:eastAsia="仿宋" w:cs="仿宋"/>
          <w:sz w:val="28"/>
          <w:szCs w:val="28"/>
          <w:highlight w:val="none"/>
          <w:u w:val="single"/>
        </w:rPr>
      </w:pPr>
    </w:p>
    <w:p>
      <w:pPr>
        <w:spacing w:line="492" w:lineRule="exact"/>
        <w:ind w:firstLine="560" w:firstLineChars="200"/>
        <w:rPr>
          <w:rFonts w:ascii="仿宋" w:hAnsi="仿宋" w:eastAsia="仿宋" w:cs="仿宋"/>
          <w:sz w:val="28"/>
          <w:szCs w:val="28"/>
          <w:highlight w:val="none"/>
          <w:u w:val="single"/>
        </w:rPr>
      </w:pPr>
    </w:p>
    <w:p>
      <w:pPr>
        <w:spacing w:line="640" w:lineRule="exact"/>
        <w:rPr>
          <w:rFonts w:ascii="仿宋" w:hAnsi="仿宋" w:eastAsia="仿宋" w:cs="仿宋"/>
          <w:sz w:val="24"/>
          <w:highlight w:val="none"/>
        </w:rPr>
      </w:pPr>
      <w:r>
        <w:rPr>
          <w:rFonts w:hint="eastAsia" w:ascii="仿宋" w:hAnsi="仿宋" w:eastAsia="仿宋" w:cs="仿宋"/>
          <w:sz w:val="24"/>
          <w:highlight w:val="none"/>
        </w:rPr>
        <w:t xml:space="preserve">（招标人名称）: </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我方已接到你方   年  月  日发出的</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（项目名称）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标段施工招标关于</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的通知，我方已于年月日收到。</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特此确认。</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jc w:val="right"/>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92" w:lineRule="exact"/>
        <w:ind w:firstLine="480" w:firstLineChars="200"/>
        <w:rPr>
          <w:rFonts w:ascii="仿宋" w:hAnsi="仿宋" w:eastAsia="仿宋" w:cs="仿宋"/>
          <w:sz w:val="24"/>
          <w:highlight w:val="none"/>
          <w:u w:val="single"/>
        </w:rPr>
      </w:pPr>
    </w:p>
    <w:p>
      <w:pPr>
        <w:spacing w:line="492" w:lineRule="exact"/>
        <w:ind w:firstLine="480" w:firstLineChars="200"/>
        <w:rPr>
          <w:rFonts w:ascii="仿宋" w:hAnsi="仿宋" w:eastAsia="仿宋" w:cs="仿宋"/>
          <w:sz w:val="24"/>
          <w:highlight w:val="none"/>
          <w:u w:val="single"/>
        </w:rPr>
      </w:pPr>
    </w:p>
    <w:p>
      <w:pPr>
        <w:spacing w:line="492" w:lineRule="exact"/>
        <w:ind w:firstLine="5160" w:firstLineChars="2150"/>
        <w:rPr>
          <w:rFonts w:ascii="仿宋" w:hAnsi="仿宋" w:eastAsia="仿宋" w:cs="仿宋"/>
          <w:sz w:val="24"/>
          <w:highlight w:val="none"/>
        </w:rPr>
      </w:pPr>
      <w:r>
        <w:rPr>
          <w:rFonts w:hint="eastAsia" w:ascii="仿宋" w:hAnsi="仿宋" w:eastAsia="仿宋" w:cs="仿宋"/>
          <w:sz w:val="24"/>
          <w:highlight w:val="none"/>
        </w:rPr>
        <w:t>年   月  日</w:t>
      </w:r>
    </w:p>
    <w:p>
      <w:pPr>
        <w:pStyle w:val="3"/>
        <w:spacing w:before="220" w:line="360" w:lineRule="auto"/>
        <w:jc w:val="center"/>
        <w:rPr>
          <w:rFonts w:ascii="仿宋" w:hAnsi="仿宋" w:eastAsia="仿宋" w:cs="仿宋"/>
          <w:highlight w:val="none"/>
        </w:rPr>
      </w:pPr>
      <w:bookmarkStart w:id="264" w:name="_Toc328406184"/>
      <w:bookmarkStart w:id="265" w:name="_Toc319832780"/>
      <w:bookmarkStart w:id="266" w:name="_Toc360690759"/>
      <w:r>
        <w:rPr>
          <w:rFonts w:hint="eastAsia" w:ascii="仿宋" w:hAnsi="仿宋" w:eastAsia="仿宋" w:cs="仿宋"/>
          <w:sz w:val="24"/>
          <w:szCs w:val="24"/>
          <w:highlight w:val="none"/>
        </w:rPr>
        <w:br w:type="page"/>
      </w:r>
      <w:bookmarkStart w:id="267" w:name="_Toc499379018"/>
      <w:r>
        <w:rPr>
          <w:rFonts w:hint="eastAsia" w:ascii="仿宋" w:hAnsi="仿宋" w:eastAsia="仿宋" w:cs="仿宋"/>
          <w:highlight w:val="none"/>
        </w:rPr>
        <w:t>第三章  评标办法</w:t>
      </w:r>
      <w:bookmarkEnd w:id="267"/>
    </w:p>
    <w:p>
      <w:pPr>
        <w:pStyle w:val="4"/>
        <w:spacing w:before="156" w:beforeLines="50" w:after="156" w:afterLines="50"/>
        <w:jc w:val="center"/>
        <w:rPr>
          <w:rFonts w:ascii="仿宋" w:hAnsi="仿宋" w:eastAsia="仿宋" w:cs="仿宋"/>
          <w:sz w:val="24"/>
          <w:szCs w:val="24"/>
          <w:highlight w:val="none"/>
        </w:rPr>
      </w:pPr>
      <w:bookmarkStart w:id="268" w:name="_Toc499379019"/>
      <w:bookmarkStart w:id="269" w:name="_Toc499378897"/>
      <w:r>
        <w:rPr>
          <w:rFonts w:hint="eastAsia" w:ascii="仿宋" w:hAnsi="仿宋" w:eastAsia="仿宋" w:cs="仿宋"/>
          <w:sz w:val="24"/>
          <w:szCs w:val="24"/>
          <w:highlight w:val="none"/>
        </w:rPr>
        <w:t>评标办法前附表</w:t>
      </w:r>
      <w:bookmarkEnd w:id="264"/>
      <w:bookmarkEnd w:id="265"/>
      <w:bookmarkEnd w:id="266"/>
      <w:bookmarkEnd w:id="268"/>
      <w:bookmarkEnd w:id="269"/>
    </w:p>
    <w:p>
      <w:pPr>
        <w:rPr>
          <w:rFonts w:ascii="仿宋" w:hAnsi="仿宋" w:eastAsia="仿宋" w:cs="仿宋"/>
          <w:highlight w:val="none"/>
        </w:rPr>
      </w:pPr>
      <w:r>
        <w:rPr>
          <w:rFonts w:hint="eastAsia" w:ascii="仿宋" w:hAnsi="仿宋" w:eastAsia="仿宋" w:cs="仿宋"/>
          <w:highlight w:val="none"/>
        </w:rPr>
        <w:t>投标人应</w:t>
      </w:r>
      <w:r>
        <w:rPr>
          <w:rFonts w:hint="eastAsia" w:ascii="仿宋" w:hAnsi="仿宋" w:eastAsia="仿宋" w:cs="仿宋"/>
          <w:bCs/>
          <w:highlight w:val="none"/>
        </w:rPr>
        <w:t>仔细</w:t>
      </w:r>
      <w:r>
        <w:rPr>
          <w:rFonts w:hint="eastAsia" w:ascii="仿宋" w:hAnsi="仿宋" w:eastAsia="仿宋" w:cs="仿宋"/>
          <w:highlight w:val="none"/>
        </w:rPr>
        <w:t>对照“评标办法前附表”中的要求提供相对应资料</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013"/>
        <w:gridCol w:w="465"/>
        <w:gridCol w:w="722"/>
        <w:gridCol w:w="5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条款号</w:t>
            </w:r>
          </w:p>
        </w:tc>
        <w:tc>
          <w:tcPr>
            <w:tcW w:w="2624" w:type="dxa"/>
            <w:gridSpan w:val="5"/>
            <w:vAlign w:val="center"/>
          </w:tcPr>
          <w:p>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评审因素</w:t>
            </w:r>
          </w:p>
        </w:tc>
        <w:tc>
          <w:tcPr>
            <w:tcW w:w="5668" w:type="dxa"/>
            <w:vAlign w:val="center"/>
          </w:tcPr>
          <w:p>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2.1.1</w:t>
            </w:r>
          </w:p>
        </w:tc>
        <w:tc>
          <w:tcPr>
            <w:tcW w:w="354" w:type="dxa"/>
            <w:vMerge w:val="restart"/>
            <w:vAlign w:val="center"/>
          </w:tcPr>
          <w:p>
            <w:pPr>
              <w:rPr>
                <w:rFonts w:ascii="仿宋" w:hAnsi="仿宋" w:eastAsia="仿宋" w:cs="仿宋"/>
                <w:szCs w:val="21"/>
                <w:highlight w:val="none"/>
              </w:rPr>
            </w:pPr>
            <w:r>
              <w:rPr>
                <w:rFonts w:hint="eastAsia" w:ascii="仿宋" w:hAnsi="仿宋" w:eastAsia="仿宋" w:cs="仿宋"/>
                <w:szCs w:val="21"/>
                <w:highlight w:val="none"/>
              </w:rPr>
              <w:t>形式评审标准</w:t>
            </w: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投标人名称</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投标文件的签字盖章</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符合第二章投标人须知第3.7.3款规定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投标文件格式、内容</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报价唯一</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参加开标会</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符合第二章“投标人须知”第5.1.1项规定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投标文件份数</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符合第二章投标人须知第3.7.4款规定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投标文件的编制</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符合第二章“投标人须知”第3.7项规定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2.1.2</w:t>
            </w:r>
          </w:p>
        </w:tc>
        <w:tc>
          <w:tcPr>
            <w:tcW w:w="354" w:type="dxa"/>
            <w:vMerge w:val="restart"/>
            <w:vAlign w:val="center"/>
          </w:tcPr>
          <w:p>
            <w:pPr>
              <w:rPr>
                <w:rFonts w:ascii="仿宋" w:hAnsi="仿宋" w:eastAsia="仿宋" w:cs="仿宋"/>
                <w:b/>
                <w:szCs w:val="21"/>
                <w:highlight w:val="none"/>
              </w:rPr>
            </w:pPr>
            <w:r>
              <w:rPr>
                <w:rFonts w:hint="eastAsia" w:ascii="仿宋" w:hAnsi="仿宋" w:eastAsia="仿宋" w:cs="仿宋"/>
                <w:szCs w:val="21"/>
                <w:highlight w:val="none"/>
              </w:rPr>
              <w:t>资格评审标准</w:t>
            </w: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投标人具有独立承担民事责任的能力</w:t>
            </w:r>
          </w:p>
        </w:tc>
        <w:tc>
          <w:tcPr>
            <w:tcW w:w="5668" w:type="dxa"/>
            <w:vAlign w:val="center"/>
          </w:tcPr>
          <w:p>
            <w:pPr>
              <w:rPr>
                <w:rFonts w:ascii="仿宋" w:hAnsi="仿宋" w:eastAsia="仿宋" w:cs="仿宋"/>
                <w:szCs w:val="21"/>
                <w:highlight w:val="none"/>
              </w:rPr>
            </w:pPr>
            <w:r>
              <w:rPr>
                <w:rFonts w:hint="eastAsia" w:ascii="仿宋" w:hAnsi="仿宋" w:eastAsia="仿宋" w:cs="仿宋"/>
                <w:highlight w:val="none"/>
              </w:rPr>
              <w:t>投标人具有独立承担民事责任的能力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安全生产许可证</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资质等级</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财务状况</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信誉</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项目经理资格</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其他要求</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投标人身份</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不存在第二章“投标人须知”第1.4.3项规定的情形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利益冲突</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不存在第二章“投标人须知”第1.4.4项规定的情形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pPr>
              <w:jc w:val="center"/>
              <w:rPr>
                <w:rFonts w:ascii="仿宋" w:hAnsi="仿宋" w:eastAsia="仿宋" w:cs="仿宋"/>
                <w:szCs w:val="21"/>
                <w:highlight w:val="none"/>
              </w:rPr>
            </w:pPr>
          </w:p>
          <w:p>
            <w:pPr>
              <w:jc w:val="center"/>
              <w:rPr>
                <w:rFonts w:ascii="仿宋" w:hAnsi="仿宋" w:eastAsia="仿宋" w:cs="仿宋"/>
                <w:szCs w:val="21"/>
                <w:highlight w:val="none"/>
              </w:rPr>
            </w:pPr>
            <w:r>
              <w:rPr>
                <w:rFonts w:hint="eastAsia" w:ascii="仿宋" w:hAnsi="仿宋" w:eastAsia="仿宋" w:cs="仿宋"/>
                <w:szCs w:val="21"/>
                <w:highlight w:val="none"/>
              </w:rPr>
              <w:t>2.1.3</w:t>
            </w:r>
          </w:p>
        </w:tc>
        <w:tc>
          <w:tcPr>
            <w:tcW w:w="354" w:type="dxa"/>
            <w:vMerge w:val="restart"/>
            <w:vAlign w:val="center"/>
          </w:tcPr>
          <w:p>
            <w:pPr>
              <w:rPr>
                <w:rFonts w:ascii="仿宋" w:hAnsi="仿宋" w:eastAsia="仿宋" w:cs="仿宋"/>
                <w:szCs w:val="21"/>
                <w:highlight w:val="none"/>
              </w:rPr>
            </w:pPr>
            <w:r>
              <w:rPr>
                <w:rFonts w:hint="eastAsia" w:ascii="仿宋" w:hAnsi="仿宋" w:eastAsia="仿宋" w:cs="仿宋"/>
                <w:szCs w:val="21"/>
                <w:highlight w:val="none"/>
              </w:rPr>
              <w:t>响应性评审标准</w:t>
            </w: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投标内容</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工期</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工程质量</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投标有效期</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权利义务</w:t>
            </w:r>
          </w:p>
        </w:tc>
        <w:tc>
          <w:tcPr>
            <w:tcW w:w="5668" w:type="dxa"/>
            <w:vAlign w:val="center"/>
          </w:tcPr>
          <w:p>
            <w:pPr>
              <w:rPr>
                <w:rFonts w:ascii="仿宋" w:hAnsi="仿宋" w:eastAsia="仿宋" w:cs="仿宋"/>
                <w:szCs w:val="21"/>
                <w:highlight w:val="none"/>
              </w:rPr>
            </w:pPr>
            <w:r>
              <w:rPr>
                <w:rFonts w:hint="eastAsia" w:ascii="仿宋" w:hAnsi="仿宋" w:eastAsia="仿宋" w:cs="仿宋"/>
                <w:highlight w:val="none"/>
              </w:rPr>
              <w:t>投标函附录中的相关承诺符合或优于第四章“合同条款及格式”的相关规定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技术标准和要求</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符合第七章“技术标准和要求”规定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投标报价</w:t>
            </w:r>
          </w:p>
        </w:tc>
        <w:tc>
          <w:tcPr>
            <w:tcW w:w="5668" w:type="dxa"/>
            <w:vAlign w:val="center"/>
          </w:tcPr>
          <w:p>
            <w:pPr>
              <w:rPr>
                <w:rFonts w:ascii="仿宋" w:hAnsi="仿宋" w:eastAsia="仿宋" w:cs="仿宋"/>
                <w:szCs w:val="21"/>
                <w:highlight w:val="none"/>
              </w:rPr>
            </w:pPr>
            <w:r>
              <w:rPr>
                <w:rFonts w:hint="eastAsia" w:ascii="仿宋" w:hAnsi="仿宋" w:eastAsia="仿宋" w:cs="仿宋"/>
                <w:highlight w:val="none"/>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已标价的工程量清单</w:t>
            </w:r>
          </w:p>
        </w:tc>
        <w:tc>
          <w:tcPr>
            <w:tcW w:w="5668" w:type="dxa"/>
            <w:vAlign w:val="center"/>
          </w:tcPr>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1）已标价工程量清单项目编码顺序与第五章“工程量清单”给出的项目编码顺序一致；</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2）已标价工程量清单符合第五章“工程量清单”给出的项目编码、项目名称、项目特征、计量单位和工程量；</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3）暂列金额符合第五章“工程量清单”列出的金额；</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4）专业工程暂估价符合第五章“工程量清单”列出的金额；</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5）材料（工程设备）暂估价符合第五章“工程量清单”列出的单价并计入综合单价；</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6）安全文明施工费、规费和税金等不可竞争费用，按照规定的标准计取；</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7）计税方法符合招标文件的约定；</w:t>
            </w:r>
          </w:p>
          <w:p>
            <w:pPr>
              <w:spacing w:line="280" w:lineRule="exact"/>
              <w:rPr>
                <w:rFonts w:ascii="仿宋" w:hAnsi="仿宋" w:eastAsia="仿宋" w:cs="仿宋"/>
                <w:color w:val="FF0000"/>
                <w:szCs w:val="21"/>
                <w:highlight w:val="none"/>
              </w:rPr>
            </w:pPr>
            <w:r>
              <w:rPr>
                <w:rFonts w:hint="eastAsia" w:ascii="仿宋" w:hAnsi="仿宋" w:eastAsia="仿宋" w:cs="仿宋"/>
                <w:color w:val="000000" w:themeColor="text1"/>
                <w:highlight w:val="none"/>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994" w:type="dxa"/>
            <w:vAlign w:val="center"/>
          </w:tcPr>
          <w:p>
            <w:pPr>
              <w:rPr>
                <w:rFonts w:ascii="仿宋" w:hAnsi="仿宋" w:eastAsia="仿宋" w:cs="仿宋"/>
                <w:szCs w:val="21"/>
                <w:highlight w:val="none"/>
              </w:rPr>
            </w:pPr>
            <w:r>
              <w:rPr>
                <w:rFonts w:hint="eastAsia" w:ascii="仿宋" w:hAnsi="仿宋" w:eastAsia="仿宋" w:cs="仿宋"/>
                <w:szCs w:val="21"/>
                <w:highlight w:val="none"/>
              </w:rPr>
              <w:t>2.2.1</w:t>
            </w:r>
          </w:p>
        </w:tc>
        <w:tc>
          <w:tcPr>
            <w:tcW w:w="2624" w:type="dxa"/>
            <w:gridSpan w:val="5"/>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分值构成（总分100分）</w:t>
            </w:r>
          </w:p>
        </w:tc>
        <w:tc>
          <w:tcPr>
            <w:tcW w:w="5668" w:type="dxa"/>
            <w:vAlign w:val="center"/>
          </w:tcPr>
          <w:p>
            <w:pPr>
              <w:spacing w:line="280" w:lineRule="exact"/>
              <w:rPr>
                <w:rFonts w:ascii="仿宋" w:hAnsi="仿宋" w:eastAsia="仿宋" w:cs="仿宋"/>
                <w:szCs w:val="21"/>
                <w:highlight w:val="none"/>
              </w:rPr>
            </w:pPr>
            <w:r>
              <w:rPr>
                <w:rFonts w:hint="eastAsia" w:ascii="仿宋" w:hAnsi="仿宋" w:eastAsia="仿宋" w:cs="仿宋"/>
                <w:szCs w:val="21"/>
                <w:highlight w:val="none"/>
              </w:rPr>
              <w:t>1、百分法评标内容由技术标、综合标、商务标三部分组成；设定三部分不同的权重，经加权后，总分值为100分；</w:t>
            </w:r>
          </w:p>
          <w:p>
            <w:pPr>
              <w:spacing w:line="280" w:lineRule="exact"/>
              <w:rPr>
                <w:rFonts w:ascii="仿宋" w:hAnsi="仿宋" w:eastAsia="仿宋" w:cs="仿宋"/>
                <w:szCs w:val="21"/>
                <w:highlight w:val="none"/>
              </w:rPr>
            </w:pPr>
            <w:r>
              <w:rPr>
                <w:rFonts w:hint="eastAsia" w:ascii="仿宋" w:hAnsi="仿宋" w:eastAsia="仿宋" w:cs="仿宋"/>
                <w:szCs w:val="21"/>
                <w:highlight w:val="none"/>
              </w:rPr>
              <w:t>2、技术标、综合标、商务标权重按下列比例选用：</w:t>
            </w:r>
            <w:r>
              <w:rPr>
                <w:rFonts w:hint="eastAsia" w:ascii="仿宋" w:hAnsi="仿宋" w:eastAsia="仿宋" w:cs="仿宋"/>
                <w:szCs w:val="21"/>
                <w:highlight w:val="none"/>
                <w:u w:val="single"/>
              </w:rPr>
              <w:t>20</w:t>
            </w:r>
            <w:r>
              <w:rPr>
                <w:rFonts w:hint="eastAsia" w:ascii="仿宋" w:hAnsi="仿宋" w:eastAsia="仿宋" w:cs="仿宋"/>
                <w:szCs w:val="21"/>
                <w:highlight w:val="none"/>
              </w:rPr>
              <w:t>%：</w:t>
            </w:r>
            <w:r>
              <w:rPr>
                <w:rFonts w:hint="eastAsia" w:ascii="仿宋" w:hAnsi="仿宋" w:eastAsia="仿宋" w:cs="仿宋"/>
                <w:szCs w:val="21"/>
                <w:highlight w:val="none"/>
                <w:u w:val="single"/>
              </w:rPr>
              <w:t>10</w:t>
            </w:r>
            <w:r>
              <w:rPr>
                <w:rFonts w:hint="eastAsia" w:ascii="仿宋" w:hAnsi="仿宋" w:eastAsia="仿宋" w:cs="仿宋"/>
                <w:szCs w:val="21"/>
                <w:highlight w:val="none"/>
              </w:rPr>
              <w:t>%：</w:t>
            </w:r>
            <w:r>
              <w:rPr>
                <w:rFonts w:hint="eastAsia" w:ascii="仿宋" w:hAnsi="仿宋" w:eastAsia="仿宋" w:cs="仿宋"/>
                <w:szCs w:val="21"/>
                <w:highlight w:val="none"/>
                <w:u w:val="single"/>
              </w:rPr>
              <w:t>70</w:t>
            </w:r>
            <w:r>
              <w:rPr>
                <w:rFonts w:hint="eastAsia" w:ascii="仿宋" w:hAnsi="仿宋" w:eastAsia="仿宋" w:cs="仿宋"/>
                <w:szCs w:val="21"/>
                <w:highlight w:val="none"/>
              </w:rPr>
              <w:t>%；</w:t>
            </w:r>
          </w:p>
          <w:p>
            <w:pPr>
              <w:spacing w:line="280" w:lineRule="exact"/>
              <w:rPr>
                <w:rFonts w:ascii="仿宋" w:hAnsi="仿宋" w:eastAsia="仿宋" w:cs="仿宋"/>
                <w:szCs w:val="21"/>
                <w:highlight w:val="none"/>
                <w:u w:val="single"/>
              </w:rPr>
            </w:pPr>
            <w:r>
              <w:rPr>
                <w:rFonts w:hint="eastAsia" w:ascii="仿宋" w:hAnsi="仿宋" w:eastAsia="仿宋" w:cs="仿宋"/>
                <w:szCs w:val="21"/>
                <w:highlight w:val="none"/>
              </w:rPr>
              <w:t>3、即：技术标：</w:t>
            </w:r>
            <w:r>
              <w:rPr>
                <w:rFonts w:hint="eastAsia" w:ascii="仿宋" w:hAnsi="仿宋" w:eastAsia="仿宋" w:cs="仿宋"/>
                <w:szCs w:val="21"/>
                <w:highlight w:val="none"/>
                <w:u w:val="single"/>
              </w:rPr>
              <w:t>20</w:t>
            </w:r>
            <w:r>
              <w:rPr>
                <w:rFonts w:hint="eastAsia" w:ascii="仿宋" w:hAnsi="仿宋" w:eastAsia="仿宋" w:cs="仿宋"/>
                <w:szCs w:val="21"/>
                <w:highlight w:val="none"/>
              </w:rPr>
              <w:t>分，综合标：</w:t>
            </w:r>
            <w:r>
              <w:rPr>
                <w:rFonts w:hint="eastAsia" w:ascii="仿宋" w:hAnsi="仿宋" w:eastAsia="仿宋" w:cs="仿宋"/>
                <w:szCs w:val="21"/>
                <w:highlight w:val="none"/>
                <w:u w:val="single"/>
              </w:rPr>
              <w:t>10</w:t>
            </w:r>
            <w:r>
              <w:rPr>
                <w:rFonts w:hint="eastAsia" w:ascii="仿宋" w:hAnsi="仿宋" w:eastAsia="仿宋" w:cs="仿宋"/>
                <w:szCs w:val="21"/>
                <w:highlight w:val="none"/>
              </w:rPr>
              <w:t>分，商务标：</w:t>
            </w:r>
            <w:r>
              <w:rPr>
                <w:rFonts w:hint="eastAsia" w:ascii="仿宋" w:hAnsi="仿宋" w:eastAsia="仿宋" w:cs="仿宋"/>
                <w:szCs w:val="21"/>
                <w:highlight w:val="none"/>
                <w:u w:val="single"/>
              </w:rPr>
              <w:t>70</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pPr>
              <w:rPr>
                <w:rFonts w:ascii="仿宋" w:hAnsi="仿宋" w:eastAsia="仿宋" w:cs="仿宋"/>
                <w:szCs w:val="21"/>
                <w:highlight w:val="none"/>
              </w:rPr>
            </w:pPr>
            <w:r>
              <w:rPr>
                <w:rFonts w:hint="eastAsia" w:ascii="仿宋" w:hAnsi="仿宋" w:eastAsia="仿宋" w:cs="仿宋"/>
                <w:szCs w:val="21"/>
                <w:highlight w:val="none"/>
              </w:rPr>
              <w:t>2.2.2</w:t>
            </w:r>
          </w:p>
        </w:tc>
        <w:tc>
          <w:tcPr>
            <w:tcW w:w="2624" w:type="dxa"/>
            <w:gridSpan w:val="5"/>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评标基准价计算办法</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见2.2.3（3）投标报价评分标准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pPr>
              <w:rPr>
                <w:rFonts w:ascii="仿宋" w:hAnsi="仿宋" w:eastAsia="仿宋" w:cs="仿宋"/>
                <w:szCs w:val="21"/>
                <w:highlight w:val="none"/>
              </w:rPr>
            </w:pPr>
            <w:r>
              <w:rPr>
                <w:rFonts w:hint="eastAsia" w:ascii="仿宋" w:hAnsi="仿宋" w:eastAsia="仿宋" w:cs="仿宋"/>
                <w:szCs w:val="21"/>
                <w:highlight w:val="none"/>
              </w:rPr>
              <w:t>2.2.3（1）</w:t>
            </w:r>
          </w:p>
          <w:p>
            <w:pPr>
              <w:rPr>
                <w:rFonts w:ascii="仿宋" w:hAnsi="仿宋" w:eastAsia="仿宋" w:cs="仿宋"/>
                <w:szCs w:val="21"/>
                <w:highlight w:val="none"/>
              </w:rPr>
            </w:pPr>
            <w:r>
              <w:rPr>
                <w:rFonts w:hint="eastAsia" w:ascii="仿宋" w:hAnsi="仿宋" w:eastAsia="仿宋" w:cs="仿宋"/>
                <w:szCs w:val="21"/>
                <w:highlight w:val="none"/>
              </w:rPr>
              <w:t>技术标</w:t>
            </w: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工程概况</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描述准确、清晰                5</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描述基本准确                </w:t>
            </w:r>
            <w:r>
              <w:rPr>
                <w:rFonts w:hint="eastAsia" w:ascii="仿宋" w:hAnsi="仿宋" w:eastAsia="仿宋" w:cs="仿宋"/>
                <w:szCs w:val="21"/>
                <w:highlight w:val="none"/>
                <w:lang w:val="en-US" w:eastAsia="zh-CN"/>
              </w:rPr>
              <w:t xml:space="preserve">  2-1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描述不准确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施工部署</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15-1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不可行，不能满足工程需要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施工进度</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计划</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15-1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不可行，不能满足招标文件要求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施工准备</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与资源配置</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计划</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10分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内容完备，合理、针对性强     10-</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内容完备，可行                </w:t>
            </w:r>
            <w:r>
              <w:rPr>
                <w:rFonts w:hint="eastAsia" w:ascii="仿宋" w:hAnsi="仿宋" w:eastAsia="仿宋" w:cs="仿宋"/>
                <w:szCs w:val="21"/>
                <w:highlight w:val="none"/>
                <w:lang w:val="en-US" w:eastAsia="zh-CN"/>
              </w:rPr>
              <w:t>6-4</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内容欠完备，基本可行          </w:t>
            </w:r>
            <w:r>
              <w:rPr>
                <w:rFonts w:hint="eastAsia" w:ascii="仿宋" w:hAnsi="仿宋" w:eastAsia="仿宋" w:cs="仿宋"/>
                <w:szCs w:val="21"/>
                <w:highlight w:val="none"/>
                <w:lang w:val="en-US" w:eastAsia="zh-CN"/>
              </w:rPr>
              <w:t>3-1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主要施工</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方案</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25分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25-</w:t>
            </w:r>
            <w:r>
              <w:rPr>
                <w:rFonts w:hint="eastAsia" w:ascii="仿宋" w:hAnsi="仿宋" w:eastAsia="仿宋" w:cs="仿宋"/>
                <w:szCs w:val="21"/>
                <w:highlight w:val="none"/>
                <w:lang w:val="en-US" w:eastAsia="zh-CN"/>
              </w:rPr>
              <w:t>17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16</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8</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不可行，不能满足工程需要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施工现场</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平面布置</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10分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现场布置合理                 10-</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现场布置可行                  </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现场布置基本可行              </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现场布置不可行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主要施工</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管理计划</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20分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内容完备，合理、针对性强</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20-</w:t>
            </w:r>
            <w:r>
              <w:rPr>
                <w:rFonts w:hint="eastAsia" w:ascii="仿宋" w:hAnsi="仿宋" w:eastAsia="仿宋" w:cs="仿宋"/>
                <w:szCs w:val="21"/>
                <w:highlight w:val="none"/>
                <w:lang w:val="en-US" w:eastAsia="zh-CN"/>
              </w:rPr>
              <w:t>14</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内容完备，可行              </w:t>
            </w:r>
            <w:r>
              <w:rPr>
                <w:rFonts w:hint="eastAsia" w:ascii="仿宋" w:hAnsi="仿宋" w:eastAsia="仿宋" w:cs="仿宋"/>
                <w:szCs w:val="21"/>
                <w:highlight w:val="none"/>
                <w:lang w:val="en-US" w:eastAsia="zh-CN"/>
              </w:rPr>
              <w:t xml:space="preserve"> 13</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内容欠完备，基本可行        </w:t>
            </w:r>
            <w:r>
              <w:rPr>
                <w:rFonts w:hint="eastAsia" w:ascii="仿宋" w:hAnsi="仿宋" w:eastAsia="仿宋" w:cs="仿宋"/>
                <w:szCs w:val="21"/>
                <w:highlight w:val="none"/>
                <w:lang w:val="en-US" w:eastAsia="zh-CN"/>
              </w:rPr>
              <w:t xml:space="preserve">  6</w:t>
            </w:r>
            <w:r>
              <w:rPr>
                <w:rFonts w:hint="eastAsia" w:ascii="仿宋" w:hAnsi="仿宋" w:eastAsia="仿宋" w:cs="仿宋"/>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pPr>
              <w:jc w:val="center"/>
              <w:rPr>
                <w:rFonts w:ascii="仿宋" w:hAnsi="仿宋" w:eastAsia="仿宋" w:cs="仿宋"/>
                <w:b/>
                <w:szCs w:val="21"/>
                <w:highlight w:val="none"/>
              </w:rPr>
            </w:pPr>
          </w:p>
        </w:tc>
        <w:tc>
          <w:tcPr>
            <w:tcW w:w="8292" w:type="dxa"/>
            <w:gridSpan w:val="6"/>
            <w:vAlign w:val="center"/>
          </w:tcPr>
          <w:p>
            <w:pPr>
              <w:rPr>
                <w:rFonts w:ascii="仿宋" w:hAnsi="仿宋" w:eastAsia="仿宋" w:cs="仿宋"/>
                <w:b/>
                <w:szCs w:val="21"/>
                <w:highlight w:val="none"/>
              </w:rPr>
            </w:pPr>
            <w:r>
              <w:rPr>
                <w:rFonts w:hint="eastAsia" w:ascii="仿宋" w:hAnsi="仿宋" w:eastAsia="仿宋" w:cs="仿宋"/>
                <w:b/>
                <w:szCs w:val="21"/>
                <w:highlight w:val="none"/>
              </w:rPr>
              <w:t>关于技术标评审的有关规定：</w:t>
            </w:r>
          </w:p>
          <w:p>
            <w:pPr>
              <w:rPr>
                <w:rFonts w:ascii="仿宋" w:hAnsi="仿宋" w:eastAsia="仿宋" w:cs="仿宋"/>
                <w:szCs w:val="21"/>
                <w:highlight w:val="none"/>
              </w:rPr>
            </w:pPr>
            <w:r>
              <w:rPr>
                <w:rFonts w:hint="eastAsia" w:ascii="仿宋" w:hAnsi="仿宋" w:eastAsia="仿宋" w:cs="仿宋"/>
                <w:szCs w:val="21"/>
                <w:highlight w:val="none"/>
              </w:rPr>
              <w:t>（1）在评标前，由招标人或招标代理机构在招投标监管人员监督下将技术标书打乱后随机编号，编号标识于技术标书封面上；</w:t>
            </w:r>
          </w:p>
          <w:p>
            <w:pPr>
              <w:rPr>
                <w:rFonts w:ascii="仿宋" w:hAnsi="仿宋" w:eastAsia="仿宋" w:cs="仿宋"/>
                <w:szCs w:val="21"/>
                <w:highlight w:val="none"/>
              </w:rPr>
            </w:pPr>
            <w:r>
              <w:rPr>
                <w:rFonts w:hint="eastAsia" w:ascii="仿宋" w:hAnsi="仿宋" w:eastAsia="仿宋" w:cs="仿宋"/>
                <w:szCs w:val="21"/>
                <w:highlight w:val="none"/>
              </w:rPr>
              <w:t>（2）评委在不知道投标人的情况下对技术标进行评审，按照编号统计分数；</w:t>
            </w:r>
          </w:p>
          <w:p>
            <w:pPr>
              <w:rPr>
                <w:rFonts w:ascii="仿宋" w:hAnsi="仿宋" w:eastAsia="仿宋" w:cs="仿宋"/>
                <w:szCs w:val="21"/>
                <w:highlight w:val="none"/>
              </w:rPr>
            </w:pPr>
            <w:r>
              <w:rPr>
                <w:rFonts w:hint="eastAsia" w:ascii="仿宋" w:hAnsi="仿宋" w:eastAsia="仿宋" w:cs="仿宋"/>
                <w:szCs w:val="21"/>
                <w:highlight w:val="none"/>
              </w:rPr>
              <w:t>（3）评标完成后，由评委代表和监管人员当场对技术标书密封处进行拆封，宣布投标人与对应的编号；</w:t>
            </w:r>
          </w:p>
          <w:p>
            <w:pPr>
              <w:rPr>
                <w:rFonts w:ascii="仿宋" w:hAnsi="仿宋" w:eastAsia="仿宋" w:cs="仿宋"/>
                <w:szCs w:val="21"/>
                <w:highlight w:val="none"/>
              </w:rPr>
            </w:pPr>
            <w:r>
              <w:rPr>
                <w:rFonts w:hint="eastAsia" w:ascii="仿宋" w:hAnsi="仿宋" w:eastAsia="仿宋" w:cs="仿宋"/>
                <w:szCs w:val="21"/>
                <w:highlight w:val="none"/>
              </w:rPr>
              <w:t>（4）投标文件其它部分评分完成后，总计得分。</w:t>
            </w:r>
          </w:p>
          <w:p>
            <w:pPr>
              <w:rPr>
                <w:rFonts w:ascii="仿宋" w:hAnsi="仿宋" w:eastAsia="仿宋" w:cs="仿宋"/>
                <w:b/>
                <w:szCs w:val="21"/>
                <w:highlight w:val="none"/>
              </w:rPr>
            </w:pPr>
            <w:r>
              <w:rPr>
                <w:rFonts w:hint="eastAsia" w:ascii="仿宋" w:hAnsi="仿宋" w:eastAsia="仿宋" w:cs="仿宋"/>
                <w:szCs w:val="21"/>
                <w:highlight w:val="none"/>
              </w:rPr>
              <w:t>（5）技术标总分少于60分，视为技术标不合格，评委应注明评分理由。多数评委认为技术标不合格的，则该投标文件作无效投标处理。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286" w:type="dxa"/>
            <w:gridSpan w:val="7"/>
            <w:vAlign w:val="center"/>
          </w:tcPr>
          <w:p>
            <w:pPr>
              <w:jc w:val="center"/>
              <w:rPr>
                <w:rFonts w:ascii="仿宋" w:hAnsi="仿宋" w:eastAsia="仿宋" w:cs="仿宋"/>
                <w:b/>
                <w:szCs w:val="21"/>
                <w:highlight w:val="none"/>
              </w:rPr>
            </w:pPr>
            <w:r>
              <w:rPr>
                <w:rFonts w:hint="eastAsia" w:ascii="仿宋" w:hAnsi="仿宋" w:eastAsia="仿宋" w:cs="仿宋"/>
                <w:b/>
                <w:szCs w:val="21"/>
                <w:highlight w:val="none"/>
              </w:rPr>
              <w:t>技术标得分=施工组织设计合计得分×20%（权重）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94" w:type="dxa"/>
            <w:vMerge w:val="restart"/>
            <w:vAlign w:val="center"/>
          </w:tcPr>
          <w:p>
            <w:pPr>
              <w:jc w:val="center"/>
              <w:rPr>
                <w:rFonts w:hint="eastAsia" w:ascii="仿宋" w:hAnsi="仿宋" w:eastAsia="仿宋" w:cs="仿宋"/>
                <w:szCs w:val="21"/>
                <w:highlight w:val="none"/>
              </w:rPr>
            </w:pPr>
          </w:p>
        </w:tc>
        <w:tc>
          <w:tcPr>
            <w:tcW w:w="1902" w:type="dxa"/>
            <w:gridSpan w:val="4"/>
            <w:vAlign w:val="center"/>
          </w:tcPr>
          <w:p>
            <w:pPr>
              <w:ind w:firstLine="420" w:firstLineChars="200"/>
              <w:rPr>
                <w:rFonts w:hint="eastAsia" w:ascii="仿宋" w:hAnsi="仿宋" w:eastAsia="仿宋" w:cs="宋体"/>
                <w:color w:val="auto"/>
                <w:kern w:val="2"/>
                <w:sz w:val="21"/>
                <w:szCs w:val="21"/>
                <w:highlight w:val="none"/>
                <w:lang w:val="en-US" w:eastAsia="zh-CN" w:bidi="ar-SA"/>
              </w:rPr>
            </w:pPr>
            <w:r>
              <w:rPr>
                <w:rFonts w:hint="eastAsia" w:ascii="仿宋" w:hAnsi="仿宋" w:eastAsia="仿宋" w:cs="仿宋"/>
                <w:sz w:val="21"/>
                <w:szCs w:val="21"/>
              </w:rPr>
              <w:t>人员配备</w:t>
            </w:r>
          </w:p>
        </w:tc>
        <w:tc>
          <w:tcPr>
            <w:tcW w:w="722" w:type="dxa"/>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sz w:val="21"/>
                <w:szCs w:val="21"/>
              </w:rPr>
              <w:t>20分</w:t>
            </w:r>
          </w:p>
        </w:tc>
        <w:tc>
          <w:tcPr>
            <w:tcW w:w="5668" w:type="dxa"/>
            <w:vAlign w:val="center"/>
          </w:tcPr>
          <w:p>
            <w:pPr>
              <w:rPr>
                <w:rFonts w:hint="default"/>
                <w:sz w:val="21"/>
                <w:szCs w:val="21"/>
                <w:lang w:val="en-US" w:eastAsia="zh-CN"/>
              </w:rPr>
            </w:pPr>
            <w:r>
              <w:rPr>
                <w:rFonts w:hint="eastAsia" w:ascii="仿宋" w:hAnsi="仿宋" w:eastAsia="仿宋" w:cs="仿宋"/>
                <w:sz w:val="21"/>
                <w:szCs w:val="21"/>
              </w:rPr>
              <w:t>人员配备合理， 满足需要：20分；人员配备基本合理,基本满足需要10分；人员配备不合理：0分。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94" w:type="dxa"/>
            <w:vMerge w:val="continue"/>
            <w:vAlign w:val="center"/>
          </w:tcPr>
          <w:p>
            <w:pPr>
              <w:rPr>
                <w:rFonts w:ascii="仿宋" w:hAnsi="仿宋" w:eastAsia="仿宋" w:cs="仿宋"/>
                <w:szCs w:val="21"/>
                <w:highlight w:val="none"/>
              </w:rPr>
            </w:pPr>
          </w:p>
        </w:tc>
        <w:tc>
          <w:tcPr>
            <w:tcW w:w="1902" w:type="dxa"/>
            <w:gridSpan w:val="4"/>
            <w:vAlign w:val="center"/>
          </w:tcPr>
          <w:p>
            <w:pPr>
              <w:jc w:val="center"/>
              <w:rPr>
                <w:rFonts w:ascii="仿宋" w:hAnsi="仿宋" w:eastAsia="仿宋" w:cs="仿宋"/>
                <w:sz w:val="21"/>
                <w:szCs w:val="21"/>
                <w:highlight w:val="none"/>
              </w:rPr>
            </w:pPr>
            <w:r>
              <w:rPr>
                <w:rFonts w:hint="eastAsia" w:ascii="仿宋" w:hAnsi="仿宋" w:eastAsia="仿宋" w:cs="仿宋"/>
                <w:szCs w:val="21"/>
              </w:rPr>
              <w:t>企业信誉</w:t>
            </w:r>
          </w:p>
        </w:tc>
        <w:tc>
          <w:tcPr>
            <w:tcW w:w="722" w:type="dxa"/>
            <w:vAlign w:val="center"/>
          </w:tcPr>
          <w:p>
            <w:pPr>
              <w:jc w:val="center"/>
              <w:rPr>
                <w:rFonts w:ascii="仿宋" w:hAnsi="仿宋" w:eastAsia="仿宋" w:cs="仿宋"/>
                <w:sz w:val="21"/>
                <w:szCs w:val="21"/>
                <w:highlight w:val="none"/>
              </w:rPr>
            </w:pPr>
            <w:r>
              <w:rPr>
                <w:rFonts w:hint="eastAsia" w:ascii="仿宋" w:hAnsi="仿宋" w:eastAsia="仿宋" w:cs="仿宋"/>
                <w:color w:val="000000" w:themeColor="text1"/>
                <w:szCs w:val="21"/>
                <w14:textFill>
                  <w14:solidFill>
                    <w14:schemeClr w14:val="tx1"/>
                  </w14:solidFill>
                </w14:textFill>
              </w:rPr>
              <w:t>30分</w:t>
            </w:r>
          </w:p>
        </w:tc>
        <w:tc>
          <w:tcPr>
            <w:tcW w:w="5668" w:type="dxa"/>
            <w:vAlign w:val="center"/>
          </w:tcPr>
          <w:p>
            <w:pPr>
              <w:spacing w:line="260" w:lineRule="exact"/>
              <w:rPr>
                <w:rFonts w:ascii="仿宋" w:hAnsi="仿宋" w:eastAsia="仿宋" w:cs="仿宋"/>
                <w:sz w:val="21"/>
                <w:szCs w:val="21"/>
                <w:highlight w:val="none"/>
              </w:rPr>
            </w:pPr>
            <w:r>
              <w:rPr>
                <w:rFonts w:hint="eastAsia" w:ascii="仿宋" w:hAnsi="仿宋" w:eastAsia="仿宋" w:cs="仿宋"/>
                <w:szCs w:val="21"/>
              </w:rPr>
              <w:t>未受到行政监管部门做出的行政处罚的得30分；被行政监管部门做出行政处罚的，每个扣10分，扣完为止。（行政处罚是指开标当天通过在“信用中国”查询投标人有行政处罚记录信息且在公示期内的予以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994" w:type="dxa"/>
            <w:vAlign w:val="center"/>
          </w:tcPr>
          <w:p>
            <w:pPr>
              <w:rPr>
                <w:rFonts w:ascii="仿宋" w:hAnsi="仿宋" w:eastAsia="仿宋" w:cs="仿宋"/>
                <w:szCs w:val="21"/>
                <w:highlight w:val="none"/>
              </w:rPr>
            </w:pPr>
          </w:p>
        </w:tc>
        <w:tc>
          <w:tcPr>
            <w:tcW w:w="1902" w:type="dxa"/>
            <w:gridSpan w:val="4"/>
            <w:vAlign w:val="center"/>
          </w:tcPr>
          <w:p>
            <w:pPr>
              <w:jc w:val="center"/>
              <w:rPr>
                <w:rFonts w:hint="eastAsia" w:ascii="仿宋" w:hAnsi="仿宋" w:eastAsia="仿宋"/>
                <w:color w:val="auto"/>
                <w:sz w:val="21"/>
                <w:szCs w:val="21"/>
                <w:highlight w:val="none"/>
                <w:u w:val="none"/>
                <w:lang w:val="en-US" w:eastAsia="zh-CN"/>
              </w:rPr>
            </w:pPr>
            <w:r>
              <w:rPr>
                <w:rFonts w:hint="eastAsia" w:ascii="仿宋" w:hAnsi="仿宋" w:eastAsia="仿宋" w:cs="仿宋"/>
                <w:sz w:val="21"/>
                <w:szCs w:val="21"/>
              </w:rPr>
              <w:t>机械设备配备</w:t>
            </w:r>
          </w:p>
        </w:tc>
        <w:tc>
          <w:tcPr>
            <w:tcW w:w="722"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lang w:val="en-US" w:eastAsia="zh-CN"/>
              </w:rPr>
              <w:t>2</w:t>
            </w:r>
            <w:r>
              <w:rPr>
                <w:rFonts w:hint="eastAsia" w:ascii="仿宋" w:hAnsi="仿宋" w:eastAsia="仿宋" w:cs="仿宋"/>
                <w:sz w:val="21"/>
                <w:szCs w:val="21"/>
              </w:rPr>
              <w:t>0分</w:t>
            </w:r>
          </w:p>
        </w:tc>
        <w:tc>
          <w:tcPr>
            <w:tcW w:w="5668" w:type="dxa"/>
            <w:vAlign w:val="center"/>
          </w:tcPr>
          <w:p>
            <w:pPr>
              <w:spacing w:line="260" w:lineRule="exact"/>
              <w:rPr>
                <w:rFonts w:hint="eastAsia" w:ascii="仿宋" w:hAnsi="仿宋" w:eastAsia="仿宋"/>
                <w:color w:val="auto"/>
                <w:sz w:val="21"/>
                <w:szCs w:val="21"/>
                <w:highlight w:val="none"/>
                <w:u w:val="none"/>
                <w:lang w:val="en-US" w:eastAsia="zh-CN"/>
              </w:rPr>
            </w:pPr>
            <w:r>
              <w:rPr>
                <w:rFonts w:hint="eastAsia" w:ascii="仿宋" w:hAnsi="仿宋" w:eastAsia="仿宋" w:cs="仿宋"/>
                <w:sz w:val="21"/>
                <w:szCs w:val="21"/>
              </w:rPr>
              <w:t>主要机械设备配备合理，满足本项目实际需要得</w:t>
            </w:r>
            <w:r>
              <w:rPr>
                <w:rFonts w:hint="eastAsia" w:ascii="仿宋" w:hAnsi="仿宋" w:eastAsia="仿宋" w:cs="仿宋"/>
                <w:sz w:val="21"/>
                <w:szCs w:val="21"/>
                <w:lang w:val="en-US" w:eastAsia="zh-CN"/>
              </w:rPr>
              <w:t>2</w:t>
            </w:r>
            <w:r>
              <w:rPr>
                <w:rFonts w:hint="eastAsia" w:ascii="仿宋" w:hAnsi="仿宋" w:eastAsia="仿宋" w:cs="仿宋"/>
                <w:sz w:val="21"/>
                <w:szCs w:val="21"/>
              </w:rPr>
              <w:t>0分； 主要机械设备配备</w:t>
            </w:r>
            <w:r>
              <w:rPr>
                <w:rFonts w:hint="eastAsia" w:ascii="仿宋" w:hAnsi="仿宋" w:eastAsia="仿宋" w:cs="仿宋"/>
                <w:sz w:val="21"/>
                <w:szCs w:val="21"/>
                <w:lang w:val="en-US" w:eastAsia="zh-CN"/>
              </w:rPr>
              <w:t>较</w:t>
            </w:r>
            <w:r>
              <w:rPr>
                <w:rFonts w:hint="eastAsia" w:ascii="仿宋" w:hAnsi="仿宋" w:eastAsia="仿宋" w:cs="仿宋"/>
                <w:sz w:val="21"/>
                <w:szCs w:val="21"/>
              </w:rPr>
              <w:t>合理得</w:t>
            </w:r>
            <w:r>
              <w:rPr>
                <w:rFonts w:hint="eastAsia" w:ascii="仿宋" w:hAnsi="仿宋" w:eastAsia="仿宋" w:cs="仿宋"/>
                <w:sz w:val="21"/>
                <w:szCs w:val="21"/>
                <w:lang w:val="en-US" w:eastAsia="zh-CN"/>
              </w:rPr>
              <w:t>10</w:t>
            </w:r>
            <w:r>
              <w:rPr>
                <w:rFonts w:hint="eastAsia" w:ascii="仿宋" w:hAnsi="仿宋" w:eastAsia="仿宋" w:cs="仿宋"/>
                <w:sz w:val="21"/>
                <w:szCs w:val="21"/>
              </w:rPr>
              <w:t>分； 主要机械设备配备基本合理</w:t>
            </w:r>
            <w:r>
              <w:rPr>
                <w:rFonts w:hint="eastAsia" w:ascii="仿宋" w:hAnsi="仿宋" w:eastAsia="仿宋" w:cs="仿宋"/>
                <w:sz w:val="21"/>
                <w:szCs w:val="21"/>
                <w:lang w:val="en-US" w:eastAsia="zh-CN"/>
              </w:rPr>
              <w:t>得5分，</w:t>
            </w:r>
            <w:r>
              <w:rPr>
                <w:rFonts w:hint="eastAsia" w:ascii="仿宋" w:hAnsi="仿宋" w:eastAsia="仿宋" w:cs="仿宋"/>
                <w:sz w:val="21"/>
                <w:szCs w:val="21"/>
              </w:rPr>
              <w:t>主要机械设备配备不合理得0分。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94" w:type="dxa"/>
            <w:vAlign w:val="center"/>
          </w:tcPr>
          <w:p>
            <w:pPr>
              <w:rPr>
                <w:rFonts w:ascii="仿宋" w:hAnsi="仿宋" w:eastAsia="仿宋" w:cs="仿宋"/>
                <w:szCs w:val="21"/>
                <w:highlight w:val="none"/>
              </w:rPr>
            </w:pPr>
          </w:p>
        </w:tc>
        <w:tc>
          <w:tcPr>
            <w:tcW w:w="1902" w:type="dxa"/>
            <w:gridSpan w:val="4"/>
            <w:vAlign w:val="center"/>
          </w:tcPr>
          <w:p>
            <w:pPr>
              <w:rPr>
                <w:rFonts w:hint="eastAsia" w:ascii="宋体" w:hAnsi="宋体" w:cs="宋体"/>
                <w:sz w:val="21"/>
                <w:szCs w:val="21"/>
              </w:rPr>
            </w:pPr>
            <w:r>
              <w:rPr>
                <w:rFonts w:hint="eastAsia" w:ascii="仿宋" w:hAnsi="仿宋" w:eastAsia="仿宋"/>
                <w:sz w:val="21"/>
                <w:szCs w:val="21"/>
              </w:rPr>
              <w:t>工程质量、文明施工、安全生产管理目标</w:t>
            </w:r>
          </w:p>
        </w:tc>
        <w:tc>
          <w:tcPr>
            <w:tcW w:w="722" w:type="dxa"/>
            <w:vAlign w:val="center"/>
          </w:tcPr>
          <w:p>
            <w:pPr>
              <w:jc w:val="center"/>
              <w:rPr>
                <w:rFonts w:hint="eastAsia" w:ascii="宋体" w:hAnsi="宋体" w:cs="宋体"/>
                <w:kern w:val="0"/>
                <w:sz w:val="21"/>
                <w:szCs w:val="21"/>
                <w:shd w:val="clear" w:color="auto" w:fill="FFFFFF"/>
                <w:lang w:val="en-US" w:eastAsia="zh-CN"/>
              </w:rPr>
            </w:pPr>
            <w:r>
              <w:rPr>
                <w:rFonts w:hint="eastAsia" w:ascii="仿宋" w:hAnsi="仿宋" w:eastAsia="仿宋"/>
                <w:sz w:val="21"/>
                <w:szCs w:val="21"/>
              </w:rPr>
              <w:t>30分</w:t>
            </w:r>
          </w:p>
        </w:tc>
        <w:tc>
          <w:tcPr>
            <w:tcW w:w="5668" w:type="dxa"/>
            <w:vAlign w:val="center"/>
          </w:tcPr>
          <w:p>
            <w:pPr>
              <w:rPr>
                <w:rFonts w:hint="eastAsia" w:ascii="仿宋" w:hAnsi="仿宋" w:eastAsia="仿宋" w:cs="Times New Roman"/>
                <w:color w:val="auto"/>
                <w:sz w:val="21"/>
                <w:szCs w:val="21"/>
                <w:highlight w:val="none"/>
              </w:rPr>
            </w:pPr>
            <w:r>
              <w:rPr>
                <w:rFonts w:hint="eastAsia" w:ascii="仿宋" w:hAnsi="仿宋" w:eastAsia="仿宋"/>
                <w:sz w:val="21"/>
                <w:szCs w:val="21"/>
              </w:rPr>
              <w:t>对工程质量、文明施工、安全生产管理目标有相应承诺以及经济处罚措施，一般得10分，较好得20分，最高得30分。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286" w:type="dxa"/>
            <w:gridSpan w:val="7"/>
            <w:vAlign w:val="center"/>
          </w:tcPr>
          <w:p>
            <w:pPr>
              <w:jc w:val="center"/>
              <w:rPr>
                <w:rFonts w:ascii="仿宋" w:hAnsi="仿宋" w:eastAsia="仿宋" w:cs="仿宋"/>
                <w:szCs w:val="21"/>
                <w:highlight w:val="none"/>
              </w:rPr>
            </w:pPr>
            <w:r>
              <w:rPr>
                <w:rFonts w:hint="eastAsia" w:ascii="仿宋" w:hAnsi="仿宋" w:eastAsia="仿宋" w:cs="仿宋"/>
                <w:b/>
                <w:szCs w:val="21"/>
                <w:highlight w:val="none"/>
              </w:rPr>
              <w:t>综合标得分=项目管理机构合计得分×</w:t>
            </w:r>
            <w:r>
              <w:rPr>
                <w:rFonts w:hint="eastAsia" w:ascii="仿宋" w:hAnsi="仿宋" w:eastAsia="仿宋" w:cs="仿宋"/>
                <w:b/>
                <w:color w:val="000000" w:themeColor="text1"/>
                <w:szCs w:val="21"/>
                <w:highlight w:val="none"/>
                <w14:textFill>
                  <w14:solidFill>
                    <w14:schemeClr w14:val="tx1"/>
                  </w14:solidFill>
                </w14:textFill>
              </w:rPr>
              <w:t>10</w:t>
            </w:r>
            <w:r>
              <w:rPr>
                <w:rFonts w:hint="eastAsia" w:ascii="仿宋" w:hAnsi="仿宋" w:eastAsia="仿宋" w:cs="仿宋"/>
                <w:b/>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2.2.3（3）</w:t>
            </w:r>
          </w:p>
          <w:p>
            <w:pPr>
              <w:jc w:val="center"/>
              <w:rPr>
                <w:rFonts w:ascii="仿宋" w:hAnsi="仿宋" w:eastAsia="仿宋" w:cs="仿宋"/>
                <w:szCs w:val="21"/>
                <w:highlight w:val="none"/>
              </w:rPr>
            </w:pPr>
            <w:r>
              <w:rPr>
                <w:rFonts w:hint="eastAsia" w:ascii="仿宋" w:hAnsi="仿宋" w:eastAsia="仿宋" w:cs="仿宋"/>
                <w:szCs w:val="21"/>
                <w:highlight w:val="none"/>
              </w:rPr>
              <w:t>商务标</w:t>
            </w:r>
          </w:p>
        </w:tc>
        <w:tc>
          <w:tcPr>
            <w:tcW w:w="424" w:type="dxa"/>
            <w:gridSpan w:val="2"/>
            <w:vAlign w:val="center"/>
          </w:tcPr>
          <w:p>
            <w:pPr>
              <w:jc w:val="center"/>
              <w:rPr>
                <w:rFonts w:ascii="仿宋" w:hAnsi="仿宋" w:eastAsia="仿宋" w:cs="仿宋"/>
                <w:szCs w:val="21"/>
                <w:highlight w:val="none"/>
              </w:rPr>
            </w:pPr>
            <w:r>
              <w:rPr>
                <w:rFonts w:hint="eastAsia" w:ascii="仿宋" w:hAnsi="仿宋" w:eastAsia="仿宋" w:cs="仿宋"/>
                <w:spacing w:val="1"/>
                <w:kern w:val="0"/>
                <w:szCs w:val="21"/>
                <w:highlight w:val="none"/>
              </w:rPr>
              <w:t>投标报价评分标准</w:t>
            </w:r>
          </w:p>
        </w:tc>
        <w:tc>
          <w:tcPr>
            <w:tcW w:w="7868" w:type="dxa"/>
            <w:gridSpan w:val="4"/>
            <w:vAlign w:val="center"/>
          </w:tcPr>
          <w:p>
            <w:pPr>
              <w:widowControl/>
              <w:rPr>
                <w:rFonts w:ascii="仿宋" w:hAnsi="仿宋" w:eastAsia="仿宋" w:cs="仿宋"/>
                <w:highlight w:val="none"/>
              </w:rPr>
            </w:pPr>
            <w:r>
              <w:rPr>
                <w:rFonts w:hint="eastAsia" w:ascii="仿宋" w:hAnsi="仿宋" w:eastAsia="仿宋" w:cs="仿宋"/>
                <w:highlight w:val="none"/>
              </w:rPr>
              <w:t>1、报价得分＝100-（投标人评标价-评标基准价）÷评标基准价×100×0.02 （评标价＞基准价时）</w:t>
            </w:r>
          </w:p>
          <w:p>
            <w:pPr>
              <w:widowControl/>
              <w:rPr>
                <w:rFonts w:ascii="仿宋" w:hAnsi="仿宋" w:eastAsia="仿宋" w:cs="仿宋"/>
                <w:highlight w:val="none"/>
              </w:rPr>
            </w:pPr>
            <w:r>
              <w:rPr>
                <w:rFonts w:hint="eastAsia" w:ascii="仿宋" w:hAnsi="仿宋" w:eastAsia="仿宋" w:cs="仿宋"/>
                <w:highlight w:val="none"/>
              </w:rPr>
              <w:t>2、报价得分＝100-（评标基准价-投标人评标价）÷评标基准价×100×0.01 （评标价≤基准价时）</w:t>
            </w:r>
          </w:p>
          <w:p>
            <w:pPr>
              <w:widowControl/>
              <w:rPr>
                <w:rFonts w:ascii="仿宋" w:hAnsi="仿宋" w:eastAsia="仿宋" w:cs="仿宋"/>
                <w:highlight w:val="none"/>
              </w:rPr>
            </w:pPr>
            <w:r>
              <w:rPr>
                <w:rFonts w:hint="eastAsia" w:ascii="仿宋" w:hAnsi="仿宋" w:eastAsia="仿宋" w:cs="仿宋"/>
                <w:highlight w:val="none"/>
              </w:rPr>
              <w:t>评标基准价计算方法：所有有效投标的评标价去掉六分之一（不能整除的按数前整数取整，不足六家报价则不去掉）的最低价和相同数量的最高价后的算术平均值下浮 F%，作为评标基准价。</w:t>
            </w:r>
          </w:p>
          <w:p>
            <w:pPr>
              <w:widowControl/>
              <w:rPr>
                <w:rFonts w:ascii="仿宋" w:hAnsi="仿宋" w:eastAsia="仿宋" w:cs="仿宋"/>
                <w:highlight w:val="none"/>
              </w:rPr>
            </w:pPr>
            <w:r>
              <w:rPr>
                <w:rFonts w:hint="eastAsia" w:ascii="仿宋" w:hAnsi="仿宋" w:eastAsia="仿宋" w:cs="仿宋"/>
                <w:highlight w:val="none"/>
              </w:rPr>
              <w:t>F:为评标基准价下浮系数，范围为 1-3 的整数，由招标人推荐代表于开标会现场随机抽取确定。</w:t>
            </w:r>
          </w:p>
          <w:p>
            <w:pPr>
              <w:pStyle w:val="2"/>
              <w:jc w:val="left"/>
            </w:pPr>
            <w:r>
              <w:rPr>
                <w:rFonts w:hint="eastAsia" w:ascii="仿宋" w:hAnsi="仿宋" w:eastAsia="仿宋" w:cs="仿宋"/>
                <w:kern w:val="2"/>
                <w:sz w:val="21"/>
                <w:szCs w:val="22"/>
                <w:highlight w:val="none"/>
                <w:lang w:val="en-US" w:eastAsia="zh-CN" w:bidi="ar-SA"/>
              </w:rPr>
              <w:t>制作说明：潜在投标人必须使用本单位品茗造价软件锁制作商务标并生成评标格式文件（大冶三农格式*.SNTB），U盘存储且不得设置密码。如未按规定格式和要求制作提交，导致不能导入清标系统清标评审的，一切后果由投标人自行承担。（具体步骤按照操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86" w:type="dxa"/>
            <w:gridSpan w:val="7"/>
            <w:vAlign w:val="center"/>
          </w:tcPr>
          <w:p>
            <w:pPr>
              <w:jc w:val="center"/>
              <w:rPr>
                <w:rFonts w:ascii="仿宋" w:hAnsi="仿宋" w:eastAsia="仿宋" w:cs="仿宋"/>
                <w:b/>
                <w:szCs w:val="21"/>
                <w:highlight w:val="none"/>
              </w:rPr>
            </w:pPr>
            <w:r>
              <w:rPr>
                <w:rFonts w:hint="eastAsia" w:ascii="仿宋" w:hAnsi="仿宋" w:eastAsia="仿宋" w:cs="仿宋"/>
                <w:b/>
                <w:szCs w:val="21"/>
                <w:highlight w:val="none"/>
              </w:rPr>
              <w:t>商务标得分=投标报价合计得分 × 70%（权重）</w:t>
            </w:r>
          </w:p>
        </w:tc>
      </w:tr>
    </w:tbl>
    <w:p>
      <w:pPr>
        <w:pStyle w:val="4"/>
        <w:spacing w:before="0" w:after="0" w:line="336" w:lineRule="auto"/>
        <w:jc w:val="left"/>
        <w:rPr>
          <w:rFonts w:ascii="仿宋" w:hAnsi="仿宋" w:eastAsia="仿宋" w:cs="仿宋"/>
          <w:sz w:val="24"/>
          <w:szCs w:val="24"/>
          <w:highlight w:val="none"/>
        </w:rPr>
      </w:pPr>
      <w:bookmarkStart w:id="270" w:name="_Toc499378898"/>
      <w:bookmarkStart w:id="271" w:name="_Toc499379020"/>
      <w:bookmarkStart w:id="272" w:name="_Toc319832781"/>
      <w:bookmarkStart w:id="273" w:name="_Toc336091322"/>
    </w:p>
    <w:p>
      <w:pPr>
        <w:pStyle w:val="4"/>
        <w:spacing w:before="0" w:after="0" w:line="336"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1.评标方法</w:t>
      </w:r>
      <w:bookmarkEnd w:id="270"/>
      <w:bookmarkEnd w:id="271"/>
      <w:bookmarkEnd w:id="272"/>
      <w:bookmarkEnd w:id="273"/>
      <w:bookmarkStart w:id="274" w:name="_Toc319832782"/>
      <w:bookmarkStart w:id="275" w:name="_Toc336091323"/>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本次评标采用综合评估法</w:t>
      </w:r>
      <w:r>
        <w:rPr>
          <w:rFonts w:hint="eastAsia" w:ascii="仿宋" w:hAnsi="仿宋" w:eastAsia="仿宋" w:cs="仿宋"/>
          <w:bCs/>
          <w:szCs w:val="21"/>
          <w:highlight w:val="none"/>
        </w:rPr>
        <w:t>。</w:t>
      </w:r>
      <w:r>
        <w:rPr>
          <w:rFonts w:hint="eastAsia" w:ascii="仿宋" w:hAnsi="仿宋" w:eastAsia="仿宋" w:cs="仿宋"/>
          <w:szCs w:val="21"/>
          <w:highlight w:val="none"/>
        </w:rPr>
        <w:t>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4"/>
        <w:spacing w:before="0" w:after="0" w:line="336" w:lineRule="auto"/>
        <w:ind w:left="567" w:hanging="567"/>
        <w:jc w:val="left"/>
        <w:rPr>
          <w:rFonts w:ascii="仿宋" w:hAnsi="仿宋" w:eastAsia="仿宋" w:cs="仿宋"/>
          <w:sz w:val="24"/>
          <w:szCs w:val="24"/>
          <w:highlight w:val="none"/>
        </w:rPr>
      </w:pPr>
      <w:bookmarkStart w:id="276" w:name="_Toc499379021"/>
      <w:bookmarkStart w:id="277" w:name="_Toc499378899"/>
      <w:r>
        <w:rPr>
          <w:rFonts w:hint="eastAsia" w:ascii="仿宋" w:hAnsi="仿宋" w:eastAsia="仿宋" w:cs="仿宋"/>
          <w:sz w:val="24"/>
          <w:szCs w:val="24"/>
          <w:highlight w:val="none"/>
        </w:rPr>
        <w:t>2.评审标准</w:t>
      </w:r>
      <w:bookmarkEnd w:id="274"/>
      <w:bookmarkEnd w:id="275"/>
      <w:bookmarkEnd w:id="276"/>
      <w:bookmarkEnd w:id="277"/>
    </w:p>
    <w:p>
      <w:pPr>
        <w:pStyle w:val="6"/>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2.1 初步评审标准</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2.1.1 形式评审标准：见评标办法前附表。</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2.1.2 资格评审标准：见评标办法前附表。</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2.1.3 响应性评审标准：见评标办法前附表。</w:t>
      </w:r>
    </w:p>
    <w:p>
      <w:pPr>
        <w:pStyle w:val="6"/>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2.2 分值构成与评分标准</w:t>
      </w:r>
    </w:p>
    <w:p>
      <w:pPr>
        <w:ind w:firstLine="420" w:firstLineChars="200"/>
        <w:rPr>
          <w:rFonts w:ascii="仿宋" w:hAnsi="仿宋" w:eastAsia="仿宋" w:cs="仿宋"/>
          <w:highlight w:val="none"/>
        </w:rPr>
      </w:pPr>
      <w:r>
        <w:rPr>
          <w:rFonts w:hint="eastAsia" w:ascii="仿宋" w:hAnsi="仿宋" w:eastAsia="仿宋" w:cs="仿宋"/>
          <w:szCs w:val="21"/>
          <w:highlight w:val="none"/>
        </w:rPr>
        <w:t>2.2.1 分值构成：技术标20分，综合标10分，商务标70分；</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 评标基准价计算</w:t>
      </w:r>
    </w:p>
    <w:p>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（1）评标价确定方法：见评标办法前附表。</w:t>
      </w:r>
    </w:p>
    <w:p>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（2）评标基准价计算方法：见评标办法前附表。</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2.2.3 投标报价偏差率计算公式：见评标办法前附表。</w:t>
      </w:r>
    </w:p>
    <w:p>
      <w:pPr>
        <w:pStyle w:val="4"/>
        <w:spacing w:before="0" w:after="0" w:line="336" w:lineRule="auto"/>
        <w:jc w:val="left"/>
        <w:rPr>
          <w:rFonts w:ascii="仿宋" w:hAnsi="仿宋" w:eastAsia="仿宋" w:cs="仿宋"/>
          <w:sz w:val="24"/>
          <w:szCs w:val="24"/>
          <w:highlight w:val="none"/>
        </w:rPr>
      </w:pPr>
      <w:bookmarkStart w:id="278" w:name="_Toc319832783"/>
      <w:bookmarkStart w:id="279" w:name="_Toc499378900"/>
      <w:bookmarkStart w:id="280" w:name="_Toc499379022"/>
      <w:bookmarkStart w:id="281" w:name="_Toc336091324"/>
      <w:r>
        <w:rPr>
          <w:rFonts w:hint="eastAsia" w:ascii="仿宋" w:hAnsi="仿宋" w:eastAsia="仿宋" w:cs="仿宋"/>
          <w:sz w:val="24"/>
          <w:szCs w:val="24"/>
          <w:highlight w:val="none"/>
        </w:rPr>
        <w:t>3.评标程序</w:t>
      </w:r>
      <w:bookmarkEnd w:id="278"/>
      <w:bookmarkEnd w:id="279"/>
      <w:bookmarkEnd w:id="280"/>
      <w:bookmarkEnd w:id="281"/>
    </w:p>
    <w:p>
      <w:pPr>
        <w:pStyle w:val="6"/>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3.1 初步评审</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3.1.2 投标人有以下情形之一的，否决投标：</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（l）第二章“投标人须知”第1.4.3 项规定的任何一种情形的：</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（2）投标文件未经投标单位盖章和单位负责人签字；</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（3）投标联合体没有提交共同投标协议；</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（4）同一投标人提交两个以上不同的投标文件或者投标报价，但招标文件要求提交备选投标文件的除外；</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（5）投标报价低于成本价或者高于招标文件设定的最高投标限价的；</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（6）投标文件没有对招标文件的实质性要求和条件作出相应；</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（7）投标人有串通投标、弄虚作假、行贿等违法行为。</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3.1.3 投标报价有算术错误的，评标委员会按以下原则对投标报价进行修正，修正的价格经投标人书面确认后具有约束力。投标人不接受修正价格的，否决投标。</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（1）投标文件中的大写金额与小写金额不一致的，以大写金额为准；</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（2）总价金额与依据单价计算出的结果不一致的，以单价金额为准修正总价，但单价金额小数点有明显错误的除外。</w:t>
      </w:r>
    </w:p>
    <w:p>
      <w:pPr>
        <w:pStyle w:val="6"/>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3.2 详细评审</w:t>
      </w:r>
    </w:p>
    <w:p>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   3.2.1  评标委员会按本章第 2.2 款规定的量化因素和分值进行打分，并计算出综合评估得</w:t>
      </w:r>
    </w:p>
    <w:p>
      <w:pPr>
        <w:spacing w:line="336" w:lineRule="auto"/>
        <w:rPr>
          <w:rFonts w:ascii="仿宋" w:hAnsi="仿宋" w:eastAsia="仿宋" w:cs="仿宋"/>
          <w:szCs w:val="21"/>
          <w:highlight w:val="none"/>
        </w:rPr>
      </w:pPr>
      <w:r>
        <w:rPr>
          <w:rFonts w:hint="eastAsia" w:ascii="仿宋" w:hAnsi="仿宋" w:eastAsia="仿宋" w:cs="仿宋"/>
          <w:szCs w:val="21"/>
          <w:highlight w:val="none"/>
        </w:rPr>
        <w:t>分。</w:t>
      </w:r>
    </w:p>
    <w:p>
      <w:pPr>
        <w:spacing w:line="336" w:lineRule="auto"/>
        <w:rPr>
          <w:rFonts w:ascii="仿宋" w:hAnsi="仿宋" w:eastAsia="仿宋" w:cs="仿宋"/>
          <w:szCs w:val="21"/>
          <w:highlight w:val="none"/>
        </w:rPr>
      </w:pPr>
      <w:r>
        <w:rPr>
          <w:rFonts w:hint="eastAsia" w:ascii="仿宋" w:hAnsi="仿宋" w:eastAsia="仿宋" w:cs="仿宋"/>
          <w:szCs w:val="21"/>
          <w:highlight w:val="none"/>
        </w:rPr>
        <w:t>（1）按本章第  2.2.3（1）目规定的评审因素和分值对施工组织设计计算出得分  A；</w:t>
      </w:r>
    </w:p>
    <w:p>
      <w:pPr>
        <w:spacing w:line="336" w:lineRule="auto"/>
        <w:rPr>
          <w:rFonts w:ascii="仿宋" w:hAnsi="仿宋" w:eastAsia="仿宋" w:cs="仿宋"/>
          <w:szCs w:val="21"/>
          <w:highlight w:val="none"/>
        </w:rPr>
      </w:pPr>
      <w:r>
        <w:rPr>
          <w:rFonts w:hint="eastAsia" w:ascii="仿宋" w:hAnsi="仿宋" w:eastAsia="仿宋" w:cs="仿宋"/>
          <w:szCs w:val="21"/>
          <w:highlight w:val="none"/>
        </w:rPr>
        <w:t>（2）按本章第  2.2.3（2）目规定的评审因素和分值对项目管理机构计算出得分  B ；</w:t>
      </w:r>
    </w:p>
    <w:p>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（3）按本章第  2.2.3（3）目规定的评审因素和分值对投标报价计算出得分  C； </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3.2.2  评分分值计算保留小数点后两位，小数点后第三位“四舍五入”。</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3.2.3  投标人得分=A+B+C。</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3.2.4  评标委员会发现投标人的报价（含修正后的最终投标报价），超过最高投标限价的，否决其投标。</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pPr>
        <w:pStyle w:val="6"/>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3.3 投标文件的澄清和补正</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3.3.2  澄清、说明和补正不得改变投标文件的实质性内容（算术性错误修正的除外）。投标人的书面澄清、说明和补正属于投标文件的组成部分。</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3.3.3  评标委员会对投标人提交的澄清、说明或补正有疑问的，可以要求投标人进一步澄清、说明或补正，直至满足评标委员会的要求。</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3.3.4  凡超出招标文件规定的或给发包人带来未曾要求的利益的变化、偏差或其他因素在评标时不予考虑。</w:t>
      </w:r>
    </w:p>
    <w:p>
      <w:pPr>
        <w:pStyle w:val="4"/>
        <w:rPr>
          <w:rFonts w:ascii="仿宋" w:hAnsi="仿宋" w:eastAsia="仿宋" w:cs="仿宋"/>
          <w:b w:val="0"/>
          <w:color w:val="000000" w:themeColor="text1"/>
          <w:sz w:val="28"/>
          <w:szCs w:val="28"/>
          <w:highlight w:val="none"/>
          <w14:textFill>
            <w14:solidFill>
              <w14:schemeClr w14:val="tx1"/>
            </w14:solidFill>
          </w14:textFill>
        </w:rPr>
      </w:pPr>
      <w:bookmarkStart w:id="282" w:name="_Toc499378906"/>
      <w:bookmarkStart w:id="283" w:name="_Toc499379028"/>
      <w:r>
        <w:rPr>
          <w:rFonts w:hint="eastAsia" w:ascii="仿宋" w:hAnsi="仿宋" w:eastAsia="仿宋" w:cs="仿宋"/>
          <w:b w:val="0"/>
          <w:color w:val="000000" w:themeColor="text1"/>
          <w:sz w:val="28"/>
          <w:szCs w:val="28"/>
          <w:highlight w:val="none"/>
          <w14:textFill>
            <w14:solidFill>
              <w14:schemeClr w14:val="tx1"/>
            </w14:solidFill>
          </w14:textFill>
        </w:rPr>
        <w:t>2.投标报价说明</w:t>
      </w:r>
      <w:bookmarkEnd w:id="282"/>
      <w:bookmarkEnd w:id="283"/>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工程量清单中的每一子目须填入单价或价格，且只允许有一个报价。</w:t>
      </w:r>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工程量清单中标价的单价或金额，应包括所需的人工费、材料和施工机具使用费和企业管理费、利润以及一定范围内的风险费用等。</w:t>
      </w:r>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 工程量清单中投标人没有填入单价或价格的子目，其费用视为已分摊在工程量清单中其他相关子目的单价或价格之中。</w:t>
      </w:r>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 暂列金额的数量及拟用子目的说明：</w:t>
      </w:r>
      <w:r>
        <w:rPr>
          <w:rFonts w:hint="eastAsia" w:ascii="仿宋" w:hAnsi="仿宋" w:eastAsia="仿宋" w:cs="仿宋"/>
          <w:color w:val="000000" w:themeColor="text1"/>
          <w:szCs w:val="21"/>
          <w:highlight w:val="none"/>
          <w:u w:val="single"/>
          <w14:textFill>
            <w14:solidFill>
              <w14:schemeClr w14:val="tx1"/>
            </w14:solidFill>
          </w14:textFill>
        </w:rPr>
        <w:t>详见工程量清单</w:t>
      </w:r>
      <w:r>
        <w:rPr>
          <w:rFonts w:hint="eastAsia" w:ascii="仿宋" w:hAnsi="仿宋" w:eastAsia="仿宋" w:cs="仿宋"/>
          <w:color w:val="000000" w:themeColor="text1"/>
          <w:szCs w:val="21"/>
          <w:highlight w:val="none"/>
          <w14:textFill>
            <w14:solidFill>
              <w14:schemeClr w14:val="tx1"/>
            </w14:solidFill>
          </w14:textFill>
        </w:rPr>
        <w:t>。</w:t>
      </w:r>
      <w:bookmarkStart w:id="284" w:name="_Toc499379029"/>
      <w:bookmarkStart w:id="285" w:name="_Toc499378907"/>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 其他补充说明</w:t>
      </w:r>
      <w:bookmarkEnd w:id="284"/>
      <w:bookmarkEnd w:id="285"/>
    </w:p>
    <w:p>
      <w:pPr>
        <w:spacing w:line="360" w:lineRule="auto"/>
        <w:ind w:firstLine="420" w:firstLineChars="200"/>
        <w:rPr>
          <w:rFonts w:ascii="仿宋" w:hAnsi="仿宋" w:eastAsia="仿宋" w:cs="仿宋"/>
          <w:szCs w:val="21"/>
          <w:highlight w:val="none"/>
        </w:rPr>
      </w:pPr>
      <w:r>
        <w:rPr>
          <w:rFonts w:hint="eastAsia" w:ascii="仿宋" w:hAnsi="仿宋" w:eastAsia="仿宋"/>
          <w:color w:val="auto"/>
          <w:szCs w:val="21"/>
          <w:highlight w:val="none"/>
          <w:lang w:val="en-US" w:eastAsia="zh-CN"/>
        </w:rPr>
        <w:t>在</w:t>
      </w:r>
      <w:r>
        <w:rPr>
          <w:rFonts w:hint="eastAsia" w:ascii="仿宋" w:hAnsi="仿宋" w:eastAsia="仿宋" w:cs="仿宋"/>
          <w:highlight w:val="none"/>
        </w:rPr>
        <w:t>云上大冶聚焦三农模块</w:t>
      </w:r>
      <w:r>
        <w:rPr>
          <w:rFonts w:hint="eastAsia" w:ascii="仿宋" w:hAnsi="仿宋" w:eastAsia="仿宋"/>
          <w:color w:val="auto"/>
          <w:szCs w:val="21"/>
          <w:highlight w:val="none"/>
          <w:lang w:val="en-US" w:eastAsia="zh-CN"/>
        </w:rPr>
        <w:t>本项目公告页面</w:t>
      </w:r>
      <w:r>
        <w:rPr>
          <w:rFonts w:hint="eastAsia" w:ascii="仿宋" w:hAnsi="仿宋" w:eastAsia="仿宋"/>
          <w:color w:val="auto"/>
          <w:szCs w:val="21"/>
          <w:highlight w:val="none"/>
        </w:rPr>
        <w:t>下载工程量清单</w:t>
      </w:r>
      <w:r>
        <w:rPr>
          <w:rFonts w:hint="eastAsia" w:ascii="仿宋" w:hAnsi="仿宋" w:eastAsia="仿宋"/>
          <w:color w:val="auto"/>
          <w:szCs w:val="21"/>
          <w:highlight w:val="none"/>
          <w:lang w:eastAsia="zh-CN"/>
        </w:rPr>
        <w:t>。</w:t>
      </w:r>
    </w:p>
    <w:p>
      <w:pPr>
        <w:pStyle w:val="6"/>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3.4 评标结果</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3.4.1  除第二章“投标人须知”前附表授权直接确定中标人外，评标委员会按照得分由高到低的顺序推荐中标候选人。</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3.4.2  评标委员会完成评标后，应当向招标人提交书面评标报告。</w:t>
      </w:r>
      <w:bookmarkStart w:id="286" w:name="_Toc351203652"/>
    </w:p>
    <w:p>
      <w:pPr>
        <w:pStyle w:val="3"/>
        <w:spacing w:line="360" w:lineRule="auto"/>
        <w:jc w:val="center"/>
        <w:rPr>
          <w:rFonts w:hint="eastAsia" w:ascii="仿宋" w:hAnsi="仿宋" w:eastAsia="仿宋" w:cs="仿宋"/>
          <w:highlight w:val="none"/>
          <w:lang w:eastAsia="zh-CN"/>
        </w:rPr>
      </w:pPr>
      <w:bookmarkStart w:id="287" w:name="_Toc429314958"/>
      <w:bookmarkStart w:id="288" w:name="_Toc114376972"/>
      <w:bookmarkStart w:id="289" w:name="_Toc114375838"/>
      <w:bookmarkStart w:id="290" w:name="_Toc114371648"/>
      <w:bookmarkStart w:id="291" w:name="_Toc78098309"/>
      <w:bookmarkStart w:id="292" w:name="_Toc114371497"/>
      <w:bookmarkStart w:id="293" w:name="_Toc114887875"/>
      <w:bookmarkStart w:id="294" w:name="_Toc411255947"/>
      <w:bookmarkStart w:id="295" w:name="_Toc112752869"/>
      <w:bookmarkStart w:id="296" w:name="_Toc114916868"/>
      <w:bookmarkStart w:id="297" w:name="_Toc114916929"/>
      <w:bookmarkStart w:id="298" w:name="_Toc58665098"/>
      <w:r>
        <w:rPr>
          <w:rFonts w:hint="eastAsia" w:ascii="仿宋" w:hAnsi="仿宋" w:eastAsia="仿宋" w:cs="仿宋"/>
          <w:b w:val="0"/>
          <w:bCs w:val="0"/>
          <w:sz w:val="30"/>
          <w:szCs w:val="30"/>
          <w:highlight w:val="none"/>
        </w:rPr>
        <w:br w:type="page"/>
      </w:r>
      <w:bookmarkEnd w:id="287"/>
      <w:bookmarkStart w:id="299" w:name="_Toc499379023"/>
      <w:bookmarkStart w:id="300" w:name="_Toc436304322"/>
      <w:r>
        <w:rPr>
          <w:rFonts w:hint="eastAsia" w:ascii="仿宋" w:hAnsi="仿宋" w:eastAsia="仿宋" w:cs="仿宋"/>
          <w:bCs w:val="0"/>
          <w:highlight w:val="none"/>
        </w:rPr>
        <w:t xml:space="preserve">第四章 </w:t>
      </w:r>
      <w:r>
        <w:rPr>
          <w:rFonts w:hint="eastAsia" w:ascii="仿宋" w:hAnsi="仿宋" w:eastAsia="仿宋" w:cs="仿宋"/>
          <w:highlight w:val="none"/>
        </w:rPr>
        <w:t>合同条款及格式</w:t>
      </w:r>
      <w:bookmarkEnd w:id="299"/>
      <w:bookmarkEnd w:id="300"/>
      <w:r>
        <w:rPr>
          <w:rFonts w:hint="eastAsia" w:ascii="仿宋" w:hAnsi="仿宋" w:eastAsia="仿宋" w:cs="仿宋"/>
          <w:highlight w:val="none"/>
          <w:lang w:eastAsia="zh-CN"/>
        </w:rPr>
        <w:t>（</w:t>
      </w:r>
      <w:r>
        <w:rPr>
          <w:rFonts w:hint="eastAsia" w:ascii="仿宋" w:hAnsi="仿宋" w:eastAsia="仿宋" w:cs="仿宋"/>
          <w:highlight w:val="none"/>
          <w:lang w:val="en-US" w:eastAsia="zh-CN"/>
        </w:rPr>
        <w:t>参考</w:t>
      </w:r>
      <w:r>
        <w:rPr>
          <w:rFonts w:hint="eastAsia" w:ascii="仿宋" w:hAnsi="仿宋" w:eastAsia="仿宋" w:cs="仿宋"/>
          <w:highlight w:val="none"/>
          <w:lang w:eastAsia="zh-CN"/>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t>第一部分    合同协议书</w:t>
      </w:r>
    </w:p>
    <w:p>
      <w:pPr>
        <w:tabs>
          <w:tab w:val="right" w:pos="8306"/>
        </w:tabs>
        <w:ind w:firstLine="600" w:firstLineChars="250"/>
        <w:jc w:val="left"/>
        <w:rPr>
          <w:rFonts w:ascii="仿宋" w:hAnsi="仿宋" w:eastAsia="仿宋" w:cs="仿宋"/>
          <w:sz w:val="24"/>
          <w:highlight w:val="none"/>
        </w:rPr>
      </w:pPr>
    </w:p>
    <w:p>
      <w:pPr>
        <w:tabs>
          <w:tab w:val="right" w:pos="8306"/>
        </w:tabs>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发包人（全称）：</w:t>
      </w:r>
      <w:r>
        <w:rPr>
          <w:rFonts w:hint="eastAsia" w:ascii="仿宋" w:hAnsi="仿宋" w:eastAsia="仿宋" w:cs="仿宋"/>
          <w:szCs w:val="21"/>
          <w:highlight w:val="none"/>
          <w:u w:val="single"/>
        </w:rPr>
        <w:t xml:space="preserve">                                         </w:t>
      </w:r>
    </w:p>
    <w:p>
      <w:pPr>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承包人（全称）：</w:t>
      </w:r>
      <w:r>
        <w:rPr>
          <w:rFonts w:hint="eastAsia" w:ascii="仿宋" w:hAnsi="仿宋" w:eastAsia="仿宋" w:cs="仿宋"/>
          <w:szCs w:val="21"/>
          <w:highlight w:val="none"/>
          <w:u w:val="single"/>
        </w:rPr>
        <w:t xml:space="preserve">                                         </w:t>
      </w:r>
    </w:p>
    <w:p>
      <w:pPr>
        <w:pStyle w:val="7"/>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依照《中华人民共和国</w:t>
      </w:r>
      <w:r>
        <w:rPr>
          <w:rFonts w:hint="eastAsia" w:ascii="仿宋" w:hAnsi="仿宋" w:eastAsia="仿宋" w:cs="仿宋"/>
          <w:szCs w:val="21"/>
          <w:highlight w:val="none"/>
          <w:lang w:val="en-US" w:eastAsia="zh-CN"/>
        </w:rPr>
        <w:t>民法典</w:t>
      </w:r>
      <w:r>
        <w:rPr>
          <w:rFonts w:hint="eastAsia" w:ascii="仿宋" w:hAnsi="仿宋" w:eastAsia="仿宋" w:cs="仿宋"/>
          <w:szCs w:val="21"/>
          <w:highlight w:val="none"/>
        </w:rPr>
        <w:t>》及其他有关法律、行政法规，遵循平等、自愿、公平和诚实信用的原则，双方就本建设工程施工协商一致，订立本合同。</w:t>
      </w:r>
    </w:p>
    <w:p>
      <w:pPr>
        <w:pStyle w:val="7"/>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一、工程概况</w:t>
      </w:r>
    </w:p>
    <w:p>
      <w:pPr>
        <w:pStyle w:val="7"/>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工程名称：</w:t>
      </w:r>
      <w:r>
        <w:rPr>
          <w:rFonts w:hint="eastAsia" w:ascii="仿宋" w:hAnsi="仿宋" w:eastAsia="仿宋" w:cs="Times New Roman"/>
          <w:color w:val="auto"/>
          <w:kern w:val="2"/>
          <w:sz w:val="21"/>
          <w:szCs w:val="21"/>
          <w:highlight w:val="none"/>
          <w:u w:val="single"/>
          <w:lang w:val="en-US" w:eastAsia="zh-CN" w:bidi="ar-SA"/>
        </w:rPr>
        <w:t>陈贵镇养老服务综合体</w:t>
      </w:r>
    </w:p>
    <w:p>
      <w:pPr>
        <w:pStyle w:val="7"/>
        <w:spacing w:after="0" w:line="324" w:lineRule="auto"/>
        <w:ind w:leftChars="0" w:rightChars="0" w:firstLine="420" w:firstLineChars="200"/>
        <w:jc w:val="left"/>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工程地点：</w:t>
      </w:r>
      <w:r>
        <w:rPr>
          <w:rFonts w:hint="eastAsia" w:ascii="仿宋" w:hAnsi="仿宋" w:eastAsia="仿宋" w:cs="Times New Roman"/>
          <w:color w:val="auto"/>
          <w:kern w:val="2"/>
          <w:sz w:val="21"/>
          <w:szCs w:val="21"/>
          <w:highlight w:val="none"/>
          <w:u w:val="single"/>
          <w:lang w:val="en-US" w:eastAsia="zh-CN" w:bidi="ar-SA"/>
        </w:rPr>
        <w:t>大冶市陈贵镇刘家畈村</w:t>
      </w:r>
    </w:p>
    <w:p>
      <w:pPr>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工程内容：</w:t>
      </w:r>
      <w:r>
        <w:rPr>
          <w:rFonts w:hint="eastAsia" w:ascii="仿宋" w:hAnsi="仿宋" w:eastAsia="仿宋"/>
          <w:color w:val="auto"/>
          <w:szCs w:val="21"/>
          <w:highlight w:val="none"/>
          <w:u w:val="single"/>
        </w:rPr>
        <w:t>施工设计图纸和工程量清单内全部内容</w:t>
      </w:r>
    </w:p>
    <w:p>
      <w:pPr>
        <w:pStyle w:val="7"/>
        <w:tabs>
          <w:tab w:val="left" w:pos="8210"/>
        </w:tabs>
        <w:spacing w:after="0" w:line="324" w:lineRule="auto"/>
        <w:ind w:leftChars="0" w:rightChars="0" w:firstLine="420" w:firstLineChars="200"/>
        <w:jc w:val="left"/>
        <w:rPr>
          <w:rFonts w:hint="default" w:ascii="仿宋" w:hAnsi="仿宋" w:eastAsia="仿宋" w:cs="仿宋"/>
          <w:bCs/>
          <w:kern w:val="2"/>
          <w:sz w:val="21"/>
          <w:szCs w:val="21"/>
          <w:highlight w:val="none"/>
          <w:u w:val="single"/>
          <w:lang w:val="en-US" w:eastAsia="zh-CN" w:bidi="ar-SA"/>
        </w:rPr>
      </w:pPr>
      <w:r>
        <w:rPr>
          <w:rFonts w:hint="eastAsia" w:ascii="仿宋" w:hAnsi="仿宋" w:eastAsia="仿宋" w:cs="仿宋"/>
          <w:szCs w:val="21"/>
          <w:highlight w:val="none"/>
        </w:rPr>
        <w:t>资金来源</w:t>
      </w:r>
      <w:r>
        <w:rPr>
          <w:rFonts w:hint="eastAsia" w:ascii="仿宋" w:hAnsi="仿宋" w:eastAsia="仿宋" w:cs="仿宋"/>
          <w:bCs/>
          <w:kern w:val="2"/>
          <w:sz w:val="21"/>
          <w:szCs w:val="21"/>
          <w:highlight w:val="none"/>
          <w:lang w:val="en-US" w:eastAsia="zh-CN" w:bidi="ar-SA"/>
        </w:rPr>
        <w:t>：</w:t>
      </w:r>
      <w:r>
        <w:rPr>
          <w:rFonts w:hint="eastAsia" w:ascii="仿宋" w:hAnsi="仿宋" w:eastAsia="仿宋" w:cs="仿宋"/>
          <w:bCs/>
          <w:kern w:val="2"/>
          <w:sz w:val="21"/>
          <w:szCs w:val="21"/>
          <w:highlight w:val="none"/>
          <w:u w:val="single"/>
          <w:lang w:val="en-US" w:eastAsia="zh-CN" w:bidi="ar-SA"/>
        </w:rPr>
        <w:t>上级补助</w:t>
      </w:r>
    </w:p>
    <w:p>
      <w:pPr>
        <w:pStyle w:val="7"/>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二、工程承包范围</w:t>
      </w:r>
    </w:p>
    <w:p>
      <w:pPr>
        <w:pStyle w:val="7"/>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承包范围：</w:t>
      </w:r>
      <w:r>
        <w:rPr>
          <w:rFonts w:hint="eastAsia" w:ascii="仿宋" w:hAnsi="仿宋" w:eastAsia="仿宋" w:cs="仿宋"/>
          <w:szCs w:val="21"/>
          <w:highlight w:val="none"/>
          <w:u w:val="single"/>
        </w:rPr>
        <w:t>施工设计图纸和工程量清单内全部内容</w:t>
      </w:r>
    </w:p>
    <w:p>
      <w:pPr>
        <w:pStyle w:val="7"/>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三、合同工期</w:t>
      </w:r>
    </w:p>
    <w:p>
      <w:pPr>
        <w:pStyle w:val="7"/>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 xml:space="preserve">开工日期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pPr>
        <w:spacing w:line="324" w:lineRule="auto"/>
        <w:ind w:firstLine="420" w:firstLineChars="200"/>
        <w:rPr>
          <w:rFonts w:ascii="仿宋" w:hAnsi="仿宋" w:eastAsia="仿宋" w:cs="仿宋"/>
          <w:sz w:val="30"/>
          <w:szCs w:val="30"/>
          <w:highlight w:val="none"/>
        </w:rPr>
      </w:pPr>
      <w:r>
        <w:rPr>
          <w:rFonts w:hint="eastAsia" w:ascii="仿宋" w:hAnsi="仿宋" w:eastAsia="仿宋" w:cs="仿宋"/>
          <w:color w:val="auto"/>
          <w:szCs w:val="21"/>
          <w:highlight w:val="none"/>
        </w:rPr>
        <w:t>合同工期总日历天数</w:t>
      </w:r>
      <w:r>
        <w:rPr>
          <w:rFonts w:hint="eastAsia" w:ascii="仿宋" w:hAnsi="仿宋" w:eastAsia="仿宋" w:cs="仿宋"/>
          <w:color w:val="auto"/>
          <w:szCs w:val="21"/>
          <w:highlight w:val="none"/>
          <w:u w:val="single"/>
          <w:lang w:val="en-US" w:eastAsia="zh-CN"/>
        </w:rPr>
        <w:t>45</w:t>
      </w:r>
      <w:r>
        <w:rPr>
          <w:rFonts w:hint="eastAsia" w:ascii="仿宋" w:hAnsi="仿宋" w:eastAsia="仿宋" w:cs="仿宋"/>
          <w:color w:val="auto"/>
          <w:szCs w:val="21"/>
          <w:highlight w:val="none"/>
        </w:rPr>
        <w:t>天</w:t>
      </w:r>
      <w:r>
        <w:rPr>
          <w:rFonts w:hint="eastAsia" w:ascii="仿宋" w:hAnsi="仿宋" w:eastAsia="仿宋" w:cs="仿宋"/>
          <w:szCs w:val="21"/>
          <w:highlight w:val="none"/>
        </w:rPr>
        <w:t>。工期总日历天数与根据前述计划开竣工日期计算的工期天数不一致的，以工期总日历天数为准。</w:t>
      </w:r>
    </w:p>
    <w:p>
      <w:pPr>
        <w:pStyle w:val="7"/>
        <w:tabs>
          <w:tab w:val="center" w:pos="4378"/>
        </w:tabs>
        <w:spacing w:after="0" w:line="324" w:lineRule="auto"/>
        <w:ind w:leftChars="0" w:rightChars="0" w:firstLine="420" w:firstLineChars="200"/>
        <w:jc w:val="left"/>
        <w:rPr>
          <w:rFonts w:ascii="仿宋" w:hAnsi="仿宋" w:eastAsia="仿宋" w:cs="仿宋"/>
          <w:szCs w:val="21"/>
          <w:highlight w:val="none"/>
        </w:rPr>
      </w:pPr>
    </w:p>
    <w:p>
      <w:pPr>
        <w:pStyle w:val="7"/>
        <w:tabs>
          <w:tab w:val="center" w:pos="4422"/>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四、质量标准</w:t>
      </w:r>
    </w:p>
    <w:p>
      <w:pPr>
        <w:pStyle w:val="7"/>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工程质量标准：</w:t>
      </w:r>
      <w:r>
        <w:rPr>
          <w:rFonts w:hint="eastAsia" w:ascii="仿宋" w:hAnsi="仿宋" w:eastAsia="仿宋" w:cs="仿宋"/>
          <w:szCs w:val="21"/>
          <w:highlight w:val="none"/>
          <w:u w:val="single"/>
        </w:rPr>
        <w:t xml:space="preserve">   合格</w:t>
      </w:r>
      <w:r>
        <w:rPr>
          <w:rFonts w:hint="eastAsia" w:ascii="仿宋" w:hAnsi="仿宋" w:eastAsia="仿宋" w:cs="仿宋"/>
          <w:szCs w:val="21"/>
          <w:highlight w:val="none"/>
          <w:u w:val="single"/>
        </w:rPr>
        <w:tab/>
      </w:r>
    </w:p>
    <w:p>
      <w:pPr>
        <w:pStyle w:val="7"/>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五、合同价款</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金额（大写）：（人民币）￥：  元</w:t>
      </w:r>
    </w:p>
    <w:p>
      <w:pPr>
        <w:pStyle w:val="7"/>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六、组成合同的文件</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组成本合同的文件包括：</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1、本合同协议书</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2、中标通知书</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3、投标书及其附件</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4、本合同专用条款</w:t>
      </w:r>
    </w:p>
    <w:p>
      <w:pPr>
        <w:pStyle w:val="7"/>
        <w:tabs>
          <w:tab w:val="left" w:pos="6825"/>
        </w:tabs>
        <w:spacing w:after="0" w:line="324" w:lineRule="auto"/>
        <w:ind w:leftChars="0" w:rightChars="0" w:firstLine="420" w:firstLineChars="200"/>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rPr>
        <w:t>5、本合同通用条款</w:t>
      </w:r>
      <w:r>
        <w:rPr>
          <w:rFonts w:hint="eastAsia" w:ascii="仿宋" w:hAnsi="仿宋" w:eastAsia="仿宋" w:cs="仿宋"/>
          <w:szCs w:val="21"/>
          <w:highlight w:val="none"/>
          <w:lang w:val="en-US" w:eastAsia="zh-CN"/>
        </w:rPr>
        <w:t xml:space="preserve">        </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6、标准、规范及有关技术文件</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7、图纸</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8、工程量清单</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9、工程报价单或预算书</w:t>
      </w:r>
    </w:p>
    <w:p>
      <w:pPr>
        <w:pStyle w:val="7"/>
        <w:tabs>
          <w:tab w:val="left" w:pos="0"/>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双方有关工程的洽商、变更等书面协议或文件视为本合同的组成部分。</w:t>
      </w:r>
    </w:p>
    <w:p>
      <w:pPr>
        <w:pStyle w:val="7"/>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七、本协议书中有关词语含义与本合同第二部分《通用条款》中分别赋予它们的定义相同。</w:t>
      </w:r>
    </w:p>
    <w:p>
      <w:pPr>
        <w:pStyle w:val="7"/>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八、承包人向发包人承诺按照合同约定进行施工、竣工并在质量保修期内承担工程质量保修责任。</w:t>
      </w:r>
    </w:p>
    <w:p>
      <w:pPr>
        <w:pStyle w:val="7"/>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九、发包人向承包人承诺按照合同约定的期限和方式支付合同价款及其他应当支付的款项。</w:t>
      </w:r>
    </w:p>
    <w:p>
      <w:pPr>
        <w:pStyle w:val="7"/>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十、合同生效</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合同订立时间：  年  月  日</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合同订立地点：</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本合同双方约定  后生效。</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7"/>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发包人：（公章）承包人（公章）：</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7"/>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住所：  住所：</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7"/>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法定代表人：法定代表人：</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委托代理人： 委托代理人：</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电话：电话：</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传真：传真：</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开户银行：开户银行：</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账号：账号：</w:t>
      </w:r>
    </w:p>
    <w:p>
      <w:pPr>
        <w:pStyle w:val="7"/>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邮政编号： 邮政编号：</w:t>
      </w:r>
    </w:p>
    <w:p>
      <w:pPr>
        <w:rPr>
          <w:rFonts w:ascii="仿宋" w:hAnsi="仿宋" w:eastAsia="仿宋" w:cs="仿宋"/>
          <w:highlight w:val="none"/>
        </w:rPr>
      </w:pPr>
      <w:r>
        <w:rPr>
          <w:rFonts w:hint="eastAsia" w:ascii="仿宋" w:hAnsi="仿宋" w:eastAsia="仿宋" w:cs="仿宋"/>
          <w:b/>
          <w:bCs/>
          <w:kern w:val="44"/>
          <w:sz w:val="44"/>
          <w:szCs w:val="44"/>
          <w:highlight w:val="none"/>
        </w:rPr>
        <w:br w:type="page"/>
      </w:r>
    </w:p>
    <w:p>
      <w:pPr>
        <w:pStyle w:val="26"/>
        <w:jc w:val="center"/>
        <w:rPr>
          <w:rFonts w:ascii="仿宋" w:hAnsi="仿宋" w:eastAsia="仿宋" w:cs="仿宋"/>
          <w:color w:val="auto"/>
          <w:sz w:val="21"/>
          <w:szCs w:val="22"/>
          <w:highlight w:val="none"/>
        </w:rPr>
      </w:pPr>
      <w:bookmarkStart w:id="301" w:name="_Toc429314959"/>
      <w:bookmarkStart w:id="302" w:name="_Toc499378902"/>
      <w:bookmarkStart w:id="303" w:name="_Toc499379024"/>
      <w:bookmarkStart w:id="304" w:name="_Toc358271709"/>
      <w:r>
        <w:rPr>
          <w:rFonts w:hint="eastAsia" w:ascii="仿宋" w:hAnsi="仿宋" w:eastAsia="仿宋" w:cs="仿宋"/>
          <w:color w:val="auto"/>
          <w:highlight w:val="none"/>
        </w:rPr>
        <w:t>专用条款</w:t>
      </w:r>
      <w:bookmarkEnd w:id="301"/>
      <w:bookmarkEnd w:id="302"/>
      <w:bookmarkEnd w:id="303"/>
      <w:bookmarkEnd w:id="304"/>
    </w:p>
    <w:bookmarkEnd w:id="288"/>
    <w:bookmarkEnd w:id="289"/>
    <w:bookmarkEnd w:id="290"/>
    <w:bookmarkEnd w:id="291"/>
    <w:bookmarkEnd w:id="292"/>
    <w:bookmarkEnd w:id="293"/>
    <w:bookmarkEnd w:id="294"/>
    <w:bookmarkEnd w:id="295"/>
    <w:bookmarkEnd w:id="296"/>
    <w:bookmarkEnd w:id="297"/>
    <w:bookmarkEnd w:id="298"/>
    <w:p>
      <w:pPr>
        <w:pStyle w:val="7"/>
        <w:tabs>
          <w:tab w:val="left" w:pos="6825"/>
        </w:tabs>
        <w:ind w:left="63" w:right="63" w:firstLine="482" w:firstLineChars="200"/>
        <w:rPr>
          <w:rFonts w:ascii="仿宋" w:hAnsi="仿宋" w:eastAsia="仿宋" w:cs="仿宋"/>
          <w:highlight w:val="none"/>
        </w:rPr>
      </w:pPr>
      <w:r>
        <w:rPr>
          <w:rFonts w:hint="eastAsia" w:ascii="仿宋" w:hAnsi="仿宋" w:eastAsia="仿宋" w:cs="仿宋"/>
          <w:b/>
          <w:bCs/>
          <w:sz w:val="24"/>
          <w:szCs w:val="24"/>
          <w:highlight w:val="none"/>
        </w:rPr>
        <w:t>第二部分 通用合同条款</w:t>
      </w:r>
    </w:p>
    <w:p>
      <w:pPr>
        <w:pStyle w:val="7"/>
        <w:tabs>
          <w:tab w:val="left" w:pos="6825"/>
        </w:tabs>
        <w:spacing w:line="400" w:lineRule="exact"/>
        <w:ind w:left="63" w:right="63"/>
        <w:jc w:val="left"/>
        <w:rPr>
          <w:rFonts w:ascii="仿宋" w:hAnsi="仿宋" w:eastAsia="仿宋" w:cs="仿宋"/>
          <w:sz w:val="24"/>
          <w:highlight w:val="none"/>
        </w:rPr>
      </w:pPr>
      <w:r>
        <w:rPr>
          <w:rFonts w:hint="eastAsia" w:ascii="仿宋" w:hAnsi="仿宋" w:eastAsia="仿宋" w:cs="仿宋"/>
          <w:highlight w:val="none"/>
        </w:rPr>
        <w:t>参照《建设工程施工合同（示范文本）》（GF-2013-0201）通用合同条款执行，本招标文件省略。</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 xml:space="preserve">1.一般约定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 xml:space="preserve">1.1词语定义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1.1.1合同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1.1.1.10其他合同文件包括：</w:t>
      </w:r>
      <w:r>
        <w:rPr>
          <w:rFonts w:hint="eastAsia" w:ascii="仿宋" w:hAnsi="仿宋" w:eastAsia="仿宋" w:cs="仿宋"/>
          <w:iCs/>
          <w:szCs w:val="21"/>
          <w:highlight w:val="none"/>
          <w:u w:val="single"/>
        </w:rPr>
        <w:t>合同协议书、中标通知书、投标函及其附录、专用合同条款及其附件、通用合同条款、技术标准和要求、图纸、已标价工程量清单或预算书以及其他合同文件</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 合同当事人及其他相关方发包人、承包人、监理人、设计人及其他相关方。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1.1.2.4监理人： </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1.1.2.5设计人：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1.1.3工程和设备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1.1.3.7作为施工现场组成部分的其他场所包括：</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1.1.3.9永久占地包括：</w:t>
      </w:r>
      <w:r>
        <w:rPr>
          <w:rFonts w:hint="eastAsia" w:ascii="仿宋" w:hAnsi="仿宋" w:eastAsia="仿宋" w:cs="仿宋"/>
          <w:iCs/>
          <w:szCs w:val="21"/>
          <w:highlight w:val="none"/>
          <w:u w:val="single"/>
        </w:rPr>
        <w:t>是指专用合同条款中指明为实施工程需永久占用的土地</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1.1.3.10临时占地包括：</w:t>
      </w:r>
      <w:r>
        <w:rPr>
          <w:rFonts w:hint="eastAsia" w:ascii="仿宋" w:hAnsi="仿宋" w:eastAsia="仿宋" w:cs="仿宋"/>
          <w:iCs/>
          <w:szCs w:val="21"/>
          <w:highlight w:val="none"/>
          <w:u w:val="single"/>
        </w:rPr>
        <w:t>是指专用合同条款中指明为实施工程需要临时占用的土地</w:t>
      </w:r>
      <w:r>
        <w:rPr>
          <w:rFonts w:hint="eastAsia" w:ascii="仿宋" w:hAnsi="仿宋" w:eastAsia="仿宋" w:cs="仿宋"/>
          <w:iCs/>
          <w:szCs w:val="21"/>
          <w:highlight w:val="non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1.3法律</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适用于合同的其他规范性文件：</w:t>
      </w:r>
      <w:r>
        <w:rPr>
          <w:rFonts w:hint="eastAsia" w:ascii="仿宋" w:hAnsi="仿宋" w:eastAsia="仿宋" w:cs="仿宋"/>
          <w:iCs/>
          <w:szCs w:val="21"/>
          <w:highlight w:val="none"/>
          <w:u w:val="single"/>
        </w:rPr>
        <w:t xml:space="preserve">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1.4标准和规范</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1.4.1适用于工程的标准规范包括：</w:t>
      </w:r>
      <w:r>
        <w:rPr>
          <w:rFonts w:hint="eastAsia" w:ascii="仿宋" w:hAnsi="仿宋" w:eastAsia="仿宋" w:cs="仿宋"/>
          <w:iCs/>
          <w:szCs w:val="21"/>
          <w:highlight w:val="none"/>
          <w:u w:val="single"/>
        </w:rPr>
        <w:t>国家标准、行业标准、工程所在地的地方性标准，以及相应的规范、规程等</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1.4.2发包人提供国外标准、规范的名称：</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发包人提供国外标准、规范的份数：</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发包人提供国外标准、规范的名称：</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1.4.3发包人对工程的技术标准和功能要求的特殊要求：</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1.5合同文件的优先顺序</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合同文件组成及优先顺序为：</w:t>
      </w:r>
      <w:r>
        <w:rPr>
          <w:rFonts w:hint="eastAsia" w:ascii="仿宋" w:hAnsi="仿宋" w:eastAsia="仿宋" w:cs="仿宋"/>
          <w:iCs/>
          <w:szCs w:val="21"/>
          <w:highlight w:val="none"/>
          <w:u w:val="single"/>
        </w:rPr>
        <w:t>（1）合同协议书；（2）中标通知书；（3）投标函及其附录；（4）专用合同条款及其附件；（5）通用合同条款；（6）技术标准和要求；（7）图纸；（8）工程量清单；（9）其他合同文件。</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1.6图纸和承包人文件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1.6.1图纸的提供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发包人向承包人提供图纸的期限：</w:t>
      </w:r>
      <w:r>
        <w:rPr>
          <w:rFonts w:hint="eastAsia" w:ascii="仿宋" w:hAnsi="仿宋" w:eastAsia="仿宋" w:cs="仿宋"/>
          <w:iCs/>
          <w:szCs w:val="21"/>
          <w:highlight w:val="none"/>
          <w:u w:val="single"/>
        </w:rPr>
        <w:t>合同备案后7天内</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发包人向承包人提供图纸的数量：</w:t>
      </w:r>
      <w:r>
        <w:rPr>
          <w:rFonts w:hint="eastAsia" w:ascii="仿宋" w:hAnsi="仿宋" w:eastAsia="仿宋" w:cs="仿宋"/>
          <w:iCs/>
          <w:szCs w:val="21"/>
          <w:highlight w:val="none"/>
          <w:u w:val="single"/>
        </w:rPr>
        <w:t xml:space="preserve">    双方约定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发包人向承包人提供图纸的内容：</w:t>
      </w:r>
      <w:r>
        <w:rPr>
          <w:rFonts w:hint="eastAsia" w:ascii="仿宋" w:hAnsi="仿宋" w:eastAsia="仿宋" w:cs="仿宋"/>
          <w:iCs/>
          <w:szCs w:val="21"/>
          <w:highlight w:val="none"/>
          <w:u w:val="single"/>
        </w:rPr>
        <w:t>设计施工图纸范围内全部内容</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1.6.4承包人文件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需要由承包人提供的文件，包括：</w:t>
      </w:r>
      <w:r>
        <w:rPr>
          <w:rFonts w:hint="eastAsia" w:ascii="仿宋" w:hAnsi="仿宋" w:eastAsia="仿宋" w:cs="仿宋"/>
          <w:iCs/>
          <w:szCs w:val="21"/>
          <w:highlight w:val="none"/>
          <w:u w:val="single"/>
        </w:rPr>
        <w:t>按照专用合同条款的约定提供应当由其编制的与工程施工有关的文件。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承包人提供的文件的期限为：</w:t>
      </w:r>
      <w:r>
        <w:rPr>
          <w:rFonts w:hint="eastAsia" w:ascii="仿宋" w:hAnsi="仿宋" w:eastAsia="仿宋" w:cs="仿宋"/>
          <w:iCs/>
          <w:szCs w:val="21"/>
          <w:highlight w:val="none"/>
          <w:u w:val="single"/>
        </w:rPr>
        <w:t>合同备案后7日内；</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承包人提供的文件的数量为：</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承包人提供的文件的形式为：</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发包人审批承包人文件的期限：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1.6.5现场图纸准备</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关于现场图纸准备的约定：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1.7联络</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1.7.1发包人和承包人应当在</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天内将与合同有关的通知、批准、证明、证书、指示、指令、</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要求、请求、同意、意见、确定和决定等书面函件送达对方当事人。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1.7.2发包人接收文件的地点：；</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发包人指定的接收人为：。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承包人接收文件的地点：；</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承包人指定的接收人为：。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监理人接收文件的地点：；</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监理人指定的接收人为：。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1.10交通运输</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1.10.1出入现场的权利</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关于出入现场的权利的约定：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1.10.3场内交通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关于场外交通和场内交通的边界的约定：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关于发包人向承包人免费提供满足工程施工需要的场内道路和交通设施的约定：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1.10.4超大件和超重件的运输</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运输超大件或超重件所需的道路和桥梁临时加固改造费用和其他有关费用由</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承担。</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1.11知识产权</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iCs/>
          <w:szCs w:val="21"/>
          <w:highlight w:val="none"/>
          <w:u w:val="single"/>
        </w:rPr>
        <w:t>发包人</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关于发包人提供的上述文件的使用限制的要求：</w:t>
      </w:r>
      <w:r>
        <w:rPr>
          <w:rFonts w:hint="eastAsia" w:ascii="仿宋" w:hAnsi="仿宋" w:eastAsia="仿宋" w:cs="仿宋"/>
          <w:iCs/>
          <w:szCs w:val="21"/>
          <w:highlight w:val="none"/>
          <w:u w:val="single"/>
        </w:rPr>
        <w:t>发包人可以为实现合同目的而复制、使用此类文件，但不能用于与合同无关的其它事项</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1.11.2关于承包人为实施工程所编制文件的著作权的归属：</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关于承包人提供的上述文件的使用限制的要求：</w:t>
      </w:r>
      <w:r>
        <w:rPr>
          <w:rFonts w:hint="eastAsia" w:ascii="仿宋" w:hAnsi="仿宋" w:eastAsia="仿宋" w:cs="仿宋"/>
          <w:iCs/>
          <w:szCs w:val="21"/>
          <w:highlight w:val="none"/>
          <w:u w:val="single"/>
        </w:rPr>
        <w:t>承包人可以为实现合同目的而复制、使用此类文件，但不能用于与合同无关的其它事项</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1.11.4承包人在施工过程中所采用的专利、专有技术、技术秘密的使用费的承担方式：</w:t>
      </w:r>
      <w:r>
        <w:rPr>
          <w:rFonts w:hint="eastAsia" w:ascii="仿宋" w:hAnsi="仿宋" w:eastAsia="仿宋" w:cs="仿宋"/>
          <w:iCs/>
          <w:szCs w:val="21"/>
          <w:highlight w:val="none"/>
          <w:u w:val="single"/>
        </w:rPr>
        <w:t>由承包人承担</w:t>
      </w:r>
      <w:r>
        <w:rPr>
          <w:rFonts w:hint="eastAsia" w:ascii="仿宋" w:hAnsi="仿宋" w:eastAsia="仿宋" w:cs="仿宋"/>
          <w:iCs/>
          <w:szCs w:val="21"/>
          <w:highlight w:val="none"/>
        </w:rPr>
        <w:t>。</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2.发包人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2.2发包人代表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发包人代表：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发包人对发包人代表的授权范围如下：</w:t>
      </w:r>
      <w:r>
        <w:rPr>
          <w:rFonts w:hint="eastAsia" w:ascii="仿宋" w:hAnsi="仿宋" w:eastAsia="仿宋" w:cs="仿宋"/>
          <w:iCs/>
          <w:szCs w:val="21"/>
          <w:highlight w:val="none"/>
          <w:u w:val="single"/>
        </w:rPr>
        <w:t>发包人代表在发包人的授权范围内，负责处理合同履行过程中与发包人有关的具体事宜</w:t>
      </w:r>
      <w:r>
        <w:rPr>
          <w:rFonts w:hint="eastAsia" w:ascii="仿宋" w:hAnsi="仿宋" w:eastAsia="仿宋" w:cs="仿宋"/>
          <w:iCs/>
          <w:szCs w:val="21"/>
          <w:highlight w:val="non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2.4施工现场、施工条件和基础资料的提供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2.4.1提供施工现场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关于发包人移交施工现场的期限要求：</w:t>
      </w:r>
      <w:r>
        <w:rPr>
          <w:rFonts w:hint="eastAsia" w:ascii="仿宋" w:hAnsi="仿宋" w:eastAsia="仿宋" w:cs="仿宋"/>
          <w:iCs/>
          <w:szCs w:val="21"/>
          <w:highlight w:val="none"/>
          <w:u w:val="single"/>
        </w:rPr>
        <w:t>开工日期7天前</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2.4.2提供施工条件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关于发包人应负责提供施工所需要的条件，包括：</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2.5资金来源证明及支付担保</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发包人提供资金来源证明的期限要求：</w:t>
      </w:r>
      <w:r>
        <w:rPr>
          <w:rFonts w:hint="eastAsia" w:ascii="仿宋" w:hAnsi="仿宋" w:eastAsia="仿宋" w:cs="仿宋"/>
          <w:iCs/>
          <w:szCs w:val="21"/>
          <w:highlight w:val="none"/>
          <w:u w:val="single"/>
        </w:rPr>
        <w:t>不提供。</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发包人是否提供支付担保：</w:t>
      </w:r>
      <w:r>
        <w:rPr>
          <w:rFonts w:hint="eastAsia" w:ascii="仿宋" w:hAnsi="仿宋" w:eastAsia="仿宋" w:cs="仿宋"/>
          <w:iCs/>
          <w:szCs w:val="21"/>
          <w:highlight w:val="none"/>
          <w:u w:val="single"/>
        </w:rPr>
        <w:t>不提供。</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发包人提供支付担保的形式：</w:t>
      </w:r>
      <w:r>
        <w:rPr>
          <w:rFonts w:hint="eastAsia" w:ascii="仿宋" w:hAnsi="仿宋" w:eastAsia="仿宋" w:cs="仿宋"/>
          <w:iCs/>
          <w:szCs w:val="21"/>
          <w:highlight w:val="none"/>
          <w:u w:val="single"/>
        </w:rPr>
        <w:t>\。</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3.承包人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3.1承包人的一般义务</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（9）承包人提交的竣工资料的内容：</w:t>
      </w:r>
      <w:r>
        <w:rPr>
          <w:rFonts w:hint="eastAsia" w:ascii="仿宋" w:hAnsi="仿宋" w:eastAsia="仿宋" w:cs="仿宋"/>
          <w:iCs/>
          <w:szCs w:val="21"/>
          <w:highlight w:val="none"/>
          <w:u w:val="single"/>
        </w:rPr>
        <w:t>按行业行政主管部门要求提供。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承包人需要提交的竣工资料套数：</w:t>
      </w:r>
      <w:r>
        <w:rPr>
          <w:rFonts w:hint="eastAsia" w:ascii="仿宋" w:hAnsi="仿宋" w:eastAsia="仿宋" w:cs="仿宋"/>
          <w:iCs/>
          <w:szCs w:val="21"/>
          <w:highlight w:val="none"/>
          <w:u w:val="single"/>
        </w:rPr>
        <w:t>按行业行政主管部门要求提供。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承包人提交的竣工资料的费用承担：</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承包人提交的竣工资料移交时间：</w:t>
      </w:r>
      <w:r>
        <w:rPr>
          <w:rFonts w:hint="eastAsia" w:ascii="仿宋" w:hAnsi="仿宋" w:eastAsia="仿宋" w:cs="仿宋"/>
          <w:iCs/>
          <w:szCs w:val="21"/>
          <w:highlight w:val="none"/>
          <w:u w:val="single"/>
        </w:rPr>
        <w:t>竣工验收合格30日内。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承包人提交的竣工资料形式要求：</w:t>
      </w:r>
      <w:r>
        <w:rPr>
          <w:rFonts w:hint="eastAsia" w:ascii="仿宋" w:hAnsi="仿宋" w:eastAsia="仿宋" w:cs="仿宋"/>
          <w:iCs/>
          <w:szCs w:val="21"/>
          <w:highlight w:val="none"/>
          <w:u w:val="single"/>
        </w:rPr>
        <w:t>按规定要求。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（10）承包人应履行的其他义务：</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3.2项目经理</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3.2.1项目经理：</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建造师执业资格等级：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建造师注册证书号：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建造师执业印章号：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安全生产考核合格证书号：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承包人对项目经理的授权范围如下：</w:t>
      </w:r>
      <w:r>
        <w:rPr>
          <w:rFonts w:hint="eastAsia" w:ascii="仿宋" w:hAnsi="仿宋" w:eastAsia="仿宋" w:cs="仿宋"/>
          <w:iCs/>
          <w:szCs w:val="21"/>
          <w:highlight w:val="none"/>
          <w:u w:val="single"/>
        </w:rPr>
        <w:t>项目经理按承包人合同约定组织工程实施。</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关于项目经理每月在施工现场的时间要求：</w:t>
      </w:r>
      <w:r>
        <w:rPr>
          <w:rFonts w:hint="eastAsia" w:ascii="仿宋" w:hAnsi="仿宋" w:eastAsia="仿宋" w:cs="仿宋"/>
          <w:iCs/>
          <w:szCs w:val="21"/>
          <w:highlight w:val="none"/>
          <w:u w:val="single"/>
        </w:rPr>
        <w:t>应符合“大冶市政府投资工程施工现场关键岗位人员考勤办法”的规定。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承包人未提交劳动合同，以及没有为项目经理缴纳社会保险证明的违约责任：</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项目经理未经批准，擅自离开施工现场的违约责任：</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3.2.3承包人擅自更换项目经理的违约责任：</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3.2.4承包人无正当理由拒绝更换项目经理的违约责任：</w:t>
      </w:r>
      <w:r>
        <w:rPr>
          <w:rFonts w:hint="eastAsia" w:ascii="仿宋" w:hAnsi="仿宋" w:eastAsia="仿宋" w:cs="仿宋"/>
          <w:iCs/>
          <w:szCs w:val="21"/>
          <w:highlight w:val="none"/>
          <w:u w:val="single"/>
        </w:rPr>
        <w:t>由承包人按规定承担违约责任。</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3.3承包人人员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3.3.1承包人提交项目管理机构及施工现场管理人员安排报告的期限：</w:t>
      </w:r>
      <w:r>
        <w:rPr>
          <w:rFonts w:hint="eastAsia" w:ascii="仿宋" w:hAnsi="仿宋" w:eastAsia="仿宋" w:cs="仿宋"/>
          <w:iCs/>
          <w:szCs w:val="21"/>
          <w:highlight w:val="none"/>
          <w:u w:val="single"/>
        </w:rPr>
        <w:t>接到开工通知后7天内。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3.3.3承包人无正当理由拒绝撤换主要施工管理人员的违约责任：</w:t>
      </w:r>
      <w:r>
        <w:rPr>
          <w:rFonts w:hint="eastAsia" w:ascii="仿宋" w:hAnsi="仿宋" w:eastAsia="仿宋" w:cs="仿宋"/>
          <w:iCs/>
          <w:szCs w:val="21"/>
          <w:highlight w:val="none"/>
          <w:u w:val="single"/>
        </w:rPr>
        <w:t>按照专用合同条款的约定承担违约责任</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3.3.4承包人主要施工管理人员离开施工现场的批准要求：</w:t>
      </w:r>
      <w:r>
        <w:rPr>
          <w:rFonts w:hint="eastAsia" w:ascii="仿宋" w:hAnsi="仿宋" w:eastAsia="仿宋" w:cs="仿宋"/>
          <w:iCs/>
          <w:szCs w:val="21"/>
          <w:highlight w:val="none"/>
          <w:u w:val="single"/>
        </w:rPr>
        <w:t>除专用合同条款另有约定外，承包人的主要施工管理人员离开施工现场每月累计不超过5天的，应包监理人同意；离开施工现场每月累计超过5天的，应通知监理人，并征得发包人书面同意；主要施工管理人员离开施工现场前应指定一名有经验的人员临时代行其职责，该人员应具备履行相应职责的资格和能力，应征得监理人或发包人的同意。。</w:t>
      </w:r>
    </w:p>
    <w:p>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3.3.5承包人擅自更换主要施工管理人员的违约责任：</w:t>
      </w:r>
      <w:r>
        <w:rPr>
          <w:rFonts w:hint="eastAsia" w:ascii="仿宋" w:hAnsi="仿宋" w:eastAsia="仿宋" w:cs="仿宋"/>
          <w:iCs/>
          <w:szCs w:val="21"/>
          <w:highlight w:val="none"/>
          <w:u w:val="single"/>
        </w:rPr>
        <w:t>按照专用合同条款约定承担违约责任。</w:t>
      </w:r>
      <w:r>
        <w:rPr>
          <w:rFonts w:hint="eastAsia" w:ascii="仿宋" w:hAnsi="仿宋" w:eastAsia="仿宋" w:cs="仿宋"/>
          <w:iCs/>
          <w:szCs w:val="21"/>
          <w:highlight w:val="none"/>
        </w:rPr>
        <w:t>承包人主要施工管理人员擅自离开施工现场的违约责任：</w:t>
      </w:r>
      <w:r>
        <w:rPr>
          <w:rFonts w:hint="eastAsia" w:ascii="仿宋" w:hAnsi="仿宋" w:eastAsia="仿宋" w:cs="仿宋"/>
          <w:iCs/>
          <w:szCs w:val="21"/>
          <w:highlight w:val="none"/>
          <w:u w:val="single"/>
        </w:rPr>
        <w:t>按照专用合同条款约定承担违约责任。</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3.5分包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3.5.1分包的一般约定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禁止分包的工程包括：</w:t>
      </w:r>
      <w:r>
        <w:rPr>
          <w:rFonts w:hint="eastAsia" w:ascii="仿宋" w:hAnsi="仿宋" w:eastAsia="仿宋" w:cs="仿宋"/>
          <w:iCs/>
          <w:szCs w:val="21"/>
          <w:highlight w:val="none"/>
          <w:u w:val="single"/>
        </w:rPr>
        <w:t>承包人不得将其承包的全部工程转包给第三人，或将其承包的全部工程肢解后以分包的名义转包给第三人。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主体结构、关键性工作的范围：</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3.5.2分包的确定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允许分包的专业工程包括：</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其他关于分包的约定：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3.5.4分包合同价款</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关于分包合同价款支付的约定：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3.6工程照管与成品、半成品保护</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承包人负责照管工程及工程相关的材料、工程设备的起始时间：</w:t>
      </w:r>
      <w:r>
        <w:rPr>
          <w:rFonts w:hint="eastAsia" w:ascii="仿宋" w:hAnsi="仿宋" w:eastAsia="仿宋" w:cs="仿宋"/>
          <w:iCs/>
          <w:szCs w:val="21"/>
          <w:highlight w:val="none"/>
          <w:u w:val="single"/>
        </w:rPr>
        <w:t>自发包人向承包人移交施工现场之日起，承包人应负责照管工程及工程相关的材料、工程设备，直到颁发工程接收证书之日止。</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3.7履约担保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承包人是否提供履约担保：</w:t>
      </w:r>
      <w:r>
        <w:rPr>
          <w:rFonts w:hint="eastAsia" w:ascii="仿宋" w:hAnsi="仿宋" w:eastAsia="仿宋" w:cs="仿宋"/>
          <w:iCs/>
          <w:szCs w:val="21"/>
          <w:highlight w:val="none"/>
          <w:u w:val="single"/>
        </w:rPr>
        <w:t>是/否。</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承包人提供履约担保的形式、金额及期限的：</w:t>
      </w:r>
      <w:r>
        <w:rPr>
          <w:rFonts w:hint="eastAsia" w:ascii="仿宋" w:hAnsi="仿宋" w:eastAsia="仿宋" w:cs="仿宋"/>
          <w:szCs w:val="21"/>
          <w:highlight w:val="none"/>
          <w:u w:val="single"/>
        </w:rPr>
        <w:t>在签订合同前，中标人应按中标价10%提供履约担保金</w:t>
      </w:r>
      <w:r>
        <w:rPr>
          <w:rFonts w:hint="eastAsia" w:ascii="仿宋" w:hAnsi="仿宋" w:eastAsia="仿宋" w:cs="仿宋"/>
          <w:iCs/>
          <w:szCs w:val="21"/>
          <w:highlight w:val="none"/>
          <w:u w:val="single"/>
        </w:rPr>
        <w:t>,工程主体完工后按原渠道退还（不计利息）。</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4.监理人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4.1监理人的一般规定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关于监理人的监理内容：</w:t>
      </w:r>
      <w:r>
        <w:rPr>
          <w:rFonts w:hint="eastAsia" w:ascii="仿宋" w:hAnsi="仿宋" w:eastAsia="仿宋" w:cs="仿宋"/>
          <w:iCs/>
          <w:szCs w:val="21"/>
          <w:highlight w:val="none"/>
          <w:u w:val="single"/>
        </w:rPr>
        <w:t>发包人和承包人在专用合同条款中明确监理人的监理内容及监理权限等事项。</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关于监理人的监理权限：</w:t>
      </w:r>
      <w:r>
        <w:rPr>
          <w:rFonts w:hint="eastAsia" w:ascii="仿宋" w:hAnsi="仿宋" w:eastAsia="仿宋" w:cs="仿宋"/>
          <w:iCs/>
          <w:szCs w:val="21"/>
          <w:highlight w:val="none"/>
          <w:u w:val="single"/>
        </w:rPr>
        <w:t>监理人应当根据发包人授权及法律规定，代表发包人对工程施工相关事项进行检查、查验、审核、验收，并签发相关指示，但监理人无权修改合同，且无权减轻或免除合同约定的承包人的任何责任与义务</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关于监理人在施工现场的办公场所、生活场所的提供和费用承担的约定：</w:t>
      </w:r>
      <w:r>
        <w:rPr>
          <w:rFonts w:hint="eastAsia" w:ascii="仿宋" w:hAnsi="仿宋" w:eastAsia="仿宋" w:cs="仿宋"/>
          <w:iCs/>
          <w:szCs w:val="21"/>
          <w:highlight w:val="none"/>
          <w:u w:val="single"/>
        </w:rPr>
        <w:t>除专用合同条款另有约定外，监理人在施工现场的办公场所、生活场所由承包人提供，所发生的费用由承包人承但。</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4.2监理人员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总监理工程师：</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监理工程师执业资格证书号：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关于监理人的其他约定：</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4.4商定或确定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在发包人和承包人不能通过协商达成一致意见时，发包人授权监理人对以下事项进行确定：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（1）总监理工程师应将确定以书面形式通知发包人和承包人，并附详细依据；</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（2）合同当事人对总监理工程师的确定没有异议的，按照总监理工程师的确定执行；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5.工程质量</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5.1质量要求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5.1.1特殊质量标准和要求：</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关于工程奖项的约定：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5.3隐蔽工程检查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5.3.2承包人提前通知监理人隐蔽工程检查的期限的约定：</w:t>
      </w:r>
      <w:r>
        <w:rPr>
          <w:rFonts w:hint="eastAsia" w:ascii="仿宋" w:hAnsi="仿宋" w:eastAsia="仿宋" w:cs="仿宋"/>
          <w:iCs/>
          <w:szCs w:val="21"/>
          <w:highlight w:val="none"/>
          <w:u w:val="single"/>
        </w:rPr>
        <w:t>承包人在共同检查前48小时书面通知监理人。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监理人不能按时进行检查时，应提前</w:t>
      </w:r>
      <w:r>
        <w:rPr>
          <w:rFonts w:hint="eastAsia" w:ascii="仿宋" w:hAnsi="仿宋" w:eastAsia="仿宋" w:cs="仿宋"/>
          <w:iCs/>
          <w:szCs w:val="21"/>
          <w:highlight w:val="none"/>
          <w:u w:val="single"/>
        </w:rPr>
        <w:t>24</w:t>
      </w:r>
      <w:r>
        <w:rPr>
          <w:rFonts w:hint="eastAsia" w:ascii="仿宋" w:hAnsi="仿宋" w:eastAsia="仿宋" w:cs="仿宋"/>
          <w:iCs/>
          <w:szCs w:val="21"/>
          <w:highlight w:val="none"/>
        </w:rPr>
        <w:t>小时提交书面延期要求。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48</w:t>
      </w:r>
      <w:r>
        <w:rPr>
          <w:rFonts w:hint="eastAsia" w:ascii="仿宋" w:hAnsi="仿宋" w:eastAsia="仿宋" w:cs="仿宋"/>
          <w:iCs/>
          <w:szCs w:val="21"/>
          <w:highlight w:val="none"/>
        </w:rPr>
        <w:t>小时。</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6.安全文明施工与环境保护</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6.1安全文明施工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6.1.1项目安全生产的达标目标及相应事项的约定：</w:t>
      </w:r>
      <w:r>
        <w:rPr>
          <w:rFonts w:hint="eastAsia" w:ascii="仿宋" w:hAnsi="仿宋" w:eastAsia="仿宋" w:cs="仿宋"/>
          <w:iCs/>
          <w:szCs w:val="21"/>
          <w:highlight w:val="none"/>
          <w:u w:val="single"/>
        </w:rPr>
        <w:t>按安全文明施工要求执行</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6.1.4关于治安保卫的特别约定：</w:t>
      </w:r>
      <w:r>
        <w:rPr>
          <w:rFonts w:hint="eastAsia" w:ascii="仿宋" w:hAnsi="仿宋" w:eastAsia="仿宋" w:cs="仿宋"/>
          <w:iCs/>
          <w:szCs w:val="21"/>
          <w:highlight w:val="none"/>
          <w:u w:val="single"/>
        </w:rPr>
        <w:t>按安全文明施工要求执行。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关于编制施工场地治安管理计划的约定：</w:t>
      </w:r>
      <w:r>
        <w:rPr>
          <w:rFonts w:hint="eastAsia" w:ascii="仿宋" w:hAnsi="仿宋" w:eastAsia="仿宋" w:cs="仿宋"/>
          <w:iCs/>
          <w:szCs w:val="21"/>
          <w:highlight w:val="none"/>
          <w:u w:val="single"/>
        </w:rPr>
        <w:t>按安全文明施工要求执行。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6.1.5文明施工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合同当事人对文明施工的要求：</w:t>
      </w:r>
      <w:r>
        <w:rPr>
          <w:rFonts w:hint="eastAsia" w:ascii="仿宋" w:hAnsi="仿宋" w:eastAsia="仿宋" w:cs="仿宋"/>
          <w:iCs/>
          <w:szCs w:val="21"/>
          <w:highlight w:val="none"/>
          <w:u w:val="single"/>
        </w:rPr>
        <w:t>按国家规定安全文明施工要求执行。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6.1.6关于安全文明施工费支付比例和支付期限的约定：</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7.工期和进度</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7.1施工组织设计</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7.1.1合同当事人约定的施工组织设计应包括的其他内容：</w:t>
      </w:r>
      <w:r>
        <w:rPr>
          <w:rFonts w:hint="eastAsia" w:ascii="仿宋" w:hAnsi="仿宋" w:eastAsia="仿宋" w:cs="仿宋"/>
          <w:iCs/>
          <w:szCs w:val="21"/>
          <w:highlight w:val="none"/>
          <w:u w:val="single"/>
        </w:rPr>
        <w:t>（1）施工方案；（2）施工现场平面布置图；（3）施工进度计划和保证措施；（4）劳动力及材料供应计划；（5）施工机械设备的选用；（6）质量保证体系及措施；（7）安全生产、文明施工措施；（8）环境保护、成本控制措施；（9）合同当事人约定的其他内容。</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7.1.2施工组织设计的提交和修改</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承包人提交详细施工组织设计的期限的约定：</w:t>
      </w:r>
      <w:r>
        <w:rPr>
          <w:rFonts w:hint="eastAsia" w:ascii="仿宋" w:hAnsi="仿宋" w:eastAsia="仿宋" w:cs="仿宋"/>
          <w:iCs/>
          <w:szCs w:val="21"/>
          <w:highlight w:val="none"/>
          <w:u w:val="single"/>
        </w:rPr>
        <w:t>承包人应在合同签订后14天内。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发包人和监理人在收到详细的施工组织设计后确认或提出修改意见的期限</w:t>
      </w:r>
      <w:r>
        <w:rPr>
          <w:rFonts w:hint="eastAsia" w:ascii="仿宋" w:hAnsi="仿宋" w:eastAsia="仿宋" w:cs="仿宋"/>
          <w:iCs/>
          <w:szCs w:val="21"/>
          <w:highlight w:val="none"/>
          <w:u w:val="single"/>
        </w:rPr>
        <w:t>7天内。</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7.2施工进度计划</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7.2.2施工进度计划的修订</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发包人和监理人在收到修订的施工进度计划后确认或提出修改意见的期限：</w:t>
      </w:r>
      <w:r>
        <w:rPr>
          <w:rFonts w:hint="eastAsia" w:ascii="仿宋" w:hAnsi="仿宋" w:eastAsia="仿宋" w:cs="仿宋"/>
          <w:iCs/>
          <w:szCs w:val="21"/>
          <w:highlight w:val="none"/>
          <w:u w:val="single"/>
        </w:rPr>
        <w:t>7天内完成。</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7.3开工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7.3.1开工准备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关于承包人提交工程开工报审表的期限：</w:t>
      </w:r>
      <w:r>
        <w:rPr>
          <w:rFonts w:hint="eastAsia" w:ascii="仿宋" w:hAnsi="仿宋" w:eastAsia="仿宋" w:cs="仿宋"/>
          <w:iCs/>
          <w:szCs w:val="21"/>
          <w:highlight w:val="none"/>
          <w:u w:val="single"/>
        </w:rPr>
        <w:t>按照第7.1款施工组织设计约定的期限。</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关于发包人应完成的其他开工准备工作及期限：</w:t>
      </w:r>
      <w:r>
        <w:rPr>
          <w:rFonts w:hint="eastAsia" w:ascii="仿宋" w:hAnsi="仿宋" w:eastAsia="仿宋" w:cs="仿宋"/>
          <w:iCs/>
          <w:szCs w:val="21"/>
          <w:highlight w:val="none"/>
          <w:u w:val="single"/>
        </w:rPr>
        <w:t>承包人应在合同签订后14天内。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关于承包人应完成的其他开工准备工作及期限：</w:t>
      </w:r>
      <w:r>
        <w:rPr>
          <w:rFonts w:hint="eastAsia" w:ascii="仿宋" w:hAnsi="仿宋" w:eastAsia="仿宋" w:cs="仿宋"/>
          <w:iCs/>
          <w:szCs w:val="21"/>
          <w:highlight w:val="none"/>
          <w:u w:val="single"/>
        </w:rPr>
        <w:t>7天内。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7.3.2开工通知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因发包人原因造成监理人未能在计划开工日期之日起</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天内发出开工通知的，承包人有权提出价格调整要求，或者解除合同。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7.4测量放线</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7.4.1发包人通过监理人向承包人提供测量基准点、基准线和水准点及其书面资料的期限</w:t>
      </w:r>
      <w:r>
        <w:rPr>
          <w:rFonts w:hint="eastAsia" w:ascii="仿宋" w:hAnsi="仿宋" w:eastAsia="仿宋" w:cs="仿宋"/>
          <w:iCs/>
          <w:szCs w:val="21"/>
          <w:highlight w:val="none"/>
          <w:u w:val="single"/>
        </w:rPr>
        <w:t>开工日期前7天。</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7.5工期延误</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7.5.1因发包人原因导致工期延误</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（7）因发包人原因导致工期延误的其他情形：</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7.5.2因承包人原因导致工期延误</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因承包人原因造成工期延误，逾期竣工违约金的计算方法为：</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因承包人原因造成工期延误，逾期竣工违约金的上限：</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7.6不利物质条件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不利物质条件的其他情形和有关约定：</w:t>
      </w:r>
      <w:r>
        <w:rPr>
          <w:rFonts w:hint="eastAsia" w:ascii="仿宋" w:hAnsi="仿宋" w:eastAsia="仿宋" w:cs="仿宋"/>
          <w:iCs/>
          <w:szCs w:val="21"/>
          <w:highlight w:val="none"/>
          <w:u w:val="single"/>
        </w:rPr>
        <w:t>施工场地遇到的不可预见的自然物质条件、非自然的物质障碍和污染物，包括地下和水温条件，但不包括气候条件。承包人遇到不利物质条件时，应采取适应不利物质条件的合理措施继续施工，并及时通知监理人。监理人应当及时发出指示，指示构成变更的，按第10条约定办理。</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7.7异常恶劣的气候条件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发包人和承包人同意以下情形视为异常恶劣的气候条件：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（1）台风；</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（2）地震；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（3）洪涝灾害、冰雹等不可预见性自然灾害导致无法施工的恶劣气候。</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7.8提前竣工的奖励</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7.8.1提前竣工的奖励：</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8.材料与设备</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8.4材料与工程设备的保管与使用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8.4.1发包人供应的材料设备的保管费用的承担：</w:t>
      </w:r>
      <w:r>
        <w:rPr>
          <w:rFonts w:hint="eastAsia" w:ascii="仿宋" w:hAnsi="仿宋" w:eastAsia="仿宋" w:cs="仿宋"/>
          <w:iCs/>
          <w:szCs w:val="21"/>
          <w:highlight w:val="none"/>
          <w:u w:val="singl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8.6样品</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8.6.1样品的报送与封存</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需要承包人报送样品的材料或工程设备，样品的种类、名称、规格、数量要求：</w:t>
      </w:r>
      <w:r>
        <w:rPr>
          <w:rFonts w:hint="eastAsia" w:ascii="仿宋" w:hAnsi="仿宋" w:eastAsia="仿宋" w:cs="仿宋"/>
          <w:iCs/>
          <w:szCs w:val="21"/>
          <w:highlight w:val="none"/>
          <w:u w:val="single"/>
        </w:rPr>
        <w:t>按监理人要求执行。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8.8施工设备和临时设施</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8.8.1承包人提供的施工设备和临时设施</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关于修建临时设施费用承担的约定：</w:t>
      </w:r>
      <w:r>
        <w:rPr>
          <w:rFonts w:hint="eastAsia" w:ascii="仿宋" w:hAnsi="仿宋" w:eastAsia="仿宋" w:cs="仿宋"/>
          <w:iCs/>
          <w:szCs w:val="21"/>
          <w:highlight w:val="none"/>
          <w:u w:val="single"/>
        </w:rPr>
        <w:t>双方另行约定。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9.试验与检验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9.1试验设备与试验人员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9.1.2试验设备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施工现场需要配置的试验场所：</w:t>
      </w:r>
      <w:r>
        <w:rPr>
          <w:rFonts w:hint="eastAsia" w:ascii="仿宋" w:hAnsi="仿宋" w:eastAsia="仿宋" w:cs="仿宋"/>
          <w:iCs/>
          <w:szCs w:val="21"/>
          <w:highlight w:val="none"/>
          <w:u w:val="single"/>
        </w:rPr>
        <w:t>符合实验场所要求并经监理人与承包人共同校定。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施工现场需要配备的试验设备：</w:t>
      </w:r>
      <w:r>
        <w:rPr>
          <w:rFonts w:hint="eastAsia" w:ascii="仿宋" w:hAnsi="仿宋" w:eastAsia="仿宋" w:cs="仿宋"/>
          <w:iCs/>
          <w:szCs w:val="21"/>
          <w:highlight w:val="none"/>
          <w:u w:val="single"/>
        </w:rPr>
        <w:t>符合实验设备要求并经监理人与承包人共同校定。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施工现场需要具备的其他试验条件：</w:t>
      </w:r>
      <w:r>
        <w:rPr>
          <w:rFonts w:hint="eastAsia" w:ascii="仿宋" w:hAnsi="仿宋" w:eastAsia="仿宋" w:cs="仿宋"/>
          <w:iCs/>
          <w:szCs w:val="21"/>
          <w:highlight w:val="none"/>
          <w:u w:val="single"/>
        </w:rPr>
        <w:t>符合实验要求并经监理人与承包人共同校定。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9.4现场工艺试验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现场工艺试验的有关约定：</w:t>
      </w:r>
      <w:r>
        <w:rPr>
          <w:rFonts w:hint="eastAsia" w:ascii="仿宋" w:hAnsi="仿宋" w:eastAsia="仿宋" w:cs="仿宋"/>
          <w:iCs/>
          <w:szCs w:val="21"/>
          <w:highlight w:val="none"/>
          <w:u w:val="single"/>
        </w:rPr>
        <w:t>承包人应按合同约定或监理人指示进行现场工艺试验。</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10.变更</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10.1变更的范围</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关于变更的范围的约定：</w:t>
      </w:r>
      <w:r>
        <w:rPr>
          <w:rFonts w:hint="eastAsia" w:ascii="仿宋" w:hAnsi="仿宋" w:eastAsia="仿宋" w:cs="仿宋"/>
          <w:iCs/>
          <w:szCs w:val="21"/>
          <w:highlight w:val="none"/>
          <w:u w:val="single"/>
        </w:rPr>
        <w:t>（1）增加或减少合同中任何工作，或追加额外的工作；（2）取消合同中任何工作，但转由他人实施的工作除外；（3）改变合同中任何工作的质量标准或其他特性；（4）改变工程的基线、标高、位置和尺寸；（5）改变工程的时间安排或实施顺序。</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10.4变更估价</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10.4.1变更估价原则</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关于变更估价的约定:</w:t>
      </w:r>
      <w:r>
        <w:rPr>
          <w:rFonts w:hint="eastAsia" w:ascii="仿宋" w:hAnsi="仿宋" w:eastAsia="仿宋" w:cs="仿宋"/>
          <w:iCs/>
          <w:szCs w:val="21"/>
          <w:highlight w:val="none"/>
          <w:u w:val="single"/>
        </w:rPr>
        <w:t>（1）工程量清单有相同项目的，按照相同项目单价认定；（2）工程量清单中无相同项目，但有类似项目的，参照类似项目的单价认定；（3）变更导致实际完成的变更工程量与工程量清单中列明的该项目工程量的变化幅度超过1</w:t>
      </w:r>
      <w:r>
        <w:rPr>
          <w:rFonts w:hint="eastAsia" w:ascii="仿宋" w:hAnsi="仿宋" w:eastAsia="仿宋" w:cs="仿宋"/>
          <w:iCs/>
          <w:szCs w:val="21"/>
          <w:highlight w:val="none"/>
          <w:u w:val="single"/>
          <w:lang w:val="en-US" w:eastAsia="zh-CN"/>
        </w:rPr>
        <w:t>0</w:t>
      </w:r>
      <w:r>
        <w:rPr>
          <w:rFonts w:hint="eastAsia" w:ascii="仿宋" w:hAnsi="仿宋" w:eastAsia="仿宋" w:cs="仿宋"/>
          <w:iCs/>
          <w:szCs w:val="21"/>
          <w:highlight w:val="none"/>
          <w:u w:val="single"/>
        </w:rPr>
        <w:t>%的，或工程量清单中无相同项目及类似项目单价的，按照合理的成本与利润构成的原则，由合同当事人按照第4.4款〔商定或确定〕确定变更工作的单价。</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10.5承包人的合理化建议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lang w:val="en-US" w:eastAsia="zh-CN"/>
        </w:rPr>
        <w:t>+</w:t>
      </w:r>
      <w:r>
        <w:rPr>
          <w:rFonts w:hint="eastAsia" w:ascii="仿宋" w:hAnsi="仿宋" w:eastAsia="仿宋" w:cs="仿宋"/>
          <w:iCs/>
          <w:szCs w:val="21"/>
          <w:highlight w:val="none"/>
        </w:rPr>
        <w:t>监理人审查承包人合理化建议的期限：</w:t>
      </w:r>
      <w:r>
        <w:rPr>
          <w:rFonts w:hint="eastAsia" w:ascii="仿宋" w:hAnsi="仿宋" w:eastAsia="仿宋" w:cs="仿宋"/>
          <w:iCs/>
          <w:szCs w:val="21"/>
          <w:highlight w:val="none"/>
          <w:u w:val="single"/>
        </w:rPr>
        <w:t>在收到承包人承包人提交的合理化建议后7天内。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发包人审批承包人合理化建议的期限：</w:t>
      </w:r>
      <w:r>
        <w:rPr>
          <w:rFonts w:hint="eastAsia" w:ascii="仿宋" w:hAnsi="仿宋" w:eastAsia="仿宋" w:cs="仿宋"/>
          <w:iCs/>
          <w:szCs w:val="21"/>
          <w:highlight w:val="none"/>
          <w:u w:val="single"/>
        </w:rPr>
        <w:t>收到监理人报送的合理化建议后7天内审批完毕。</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承包人提出的合理化建议降低了合同价格或者提高了工程经济效益的奖励的方法和金额为：</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10.7暂估价</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暂估价材料和工程设备的明细详见附件11：《暂估价一览表》。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10.7.1依法必须招标的暂估价项目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10.7.2不属于依法必须招标的暂估价项目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对于不属于依法必须招标的暂估价项目的确认和批准采取第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第3种方式：承包人直接实施的暂估价项目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承包人直接实施的暂估价项目的约定：</w:t>
      </w:r>
      <w:r>
        <w:rPr>
          <w:rFonts w:hint="eastAsia" w:ascii="仿宋" w:hAnsi="仿宋" w:eastAsia="仿宋" w:cs="仿宋"/>
          <w:iCs/>
          <w:szCs w:val="21"/>
          <w:highlight w:val="none"/>
          <w:u w:val="single"/>
        </w:rPr>
        <w:t>经发包人和承包人协商一致后，可由承包人自行实施暂估价项目。</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10.8暂列金额</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合同当事人关于暂列金额使用的约定：</w:t>
      </w:r>
      <w:r>
        <w:rPr>
          <w:rFonts w:hint="eastAsia" w:ascii="仿宋" w:hAnsi="仿宋" w:eastAsia="仿宋" w:cs="仿宋"/>
          <w:iCs/>
          <w:szCs w:val="21"/>
          <w:highlight w:val="none"/>
          <w:u w:val="single"/>
        </w:rPr>
        <w:t>暂列金额应按照发包人的要求使用，发包人的要求应通过监理人发出。</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11.价格调整</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11.1市场价格波动引起的调整</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市场价格波动是否调整合同价格的约定：</w:t>
      </w:r>
      <w:r>
        <w:rPr>
          <w:rFonts w:hint="eastAsia" w:ascii="仿宋" w:hAnsi="仿宋" w:eastAsia="仿宋" w:cs="仿宋"/>
          <w:iCs/>
          <w:szCs w:val="21"/>
          <w:highlight w:val="none"/>
          <w:u w:val="single"/>
        </w:rPr>
        <w:t>施工期间各种施工风险及建材市场风险和国家政</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策性调价风险计入总价中，今后不做调整</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因市场价格波动调整合同价格，采用以下第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种方式对合同价格进行调整：</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第1种方式：采用价格指数进行价格调整。</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关于各可调因子、定值和变值权重，以及基本价格指数及其来源的约定：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第2种方式：采用造价信息进行价格调整。</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（2）关于基准价格的约定：</w:t>
      </w:r>
      <w:r>
        <w:rPr>
          <w:rFonts w:hint="eastAsia" w:ascii="仿宋" w:hAnsi="仿宋" w:eastAsia="仿宋" w:cs="仿宋"/>
          <w:iCs/>
          <w:szCs w:val="21"/>
          <w:highlight w:val="none"/>
          <w:u w:val="single"/>
        </w:rPr>
        <w:t>详见招标文件。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第3种方式：其他价格调整方式：</w:t>
      </w:r>
      <w:r>
        <w:rPr>
          <w:rFonts w:hint="eastAsia" w:ascii="仿宋" w:hAnsi="仿宋" w:eastAsia="仿宋" w:cs="仿宋"/>
          <w:iCs/>
          <w:szCs w:val="21"/>
          <w:highlight w:val="none"/>
          <w:u w:val="single"/>
        </w:rPr>
        <w:t xml:space="preserve">  \  </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12.合同价格、计量与支付</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12.1合同价格形式</w:t>
      </w:r>
    </w:p>
    <w:p>
      <w:pPr>
        <w:widowControl/>
        <w:numPr>
          <w:ilvl w:val="0"/>
          <w:numId w:val="4"/>
        </w:numPr>
        <w:spacing w:line="400" w:lineRule="exact"/>
        <w:ind w:firstLine="420" w:firstLineChars="200"/>
        <w:jc w:val="left"/>
        <w:rPr>
          <w:rFonts w:ascii="仿宋" w:hAnsi="仿宋" w:eastAsia="仿宋" w:cs="仿宋"/>
          <w:iCs/>
          <w:szCs w:val="21"/>
          <w:highlight w:val="none"/>
        </w:rPr>
      </w:pPr>
      <w:r>
        <w:rPr>
          <w:rFonts w:hint="eastAsia" w:ascii="仿宋" w:hAnsi="仿宋" w:eastAsia="仿宋" w:cs="仿宋"/>
          <w:iCs/>
          <w:szCs w:val="21"/>
          <w:highlight w:val="none"/>
        </w:rPr>
        <w:t>单价合同。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本合同采用固定单价合同。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综合单价包含的风险范围：</w:t>
      </w:r>
      <w:r>
        <w:rPr>
          <w:rFonts w:hint="eastAsia" w:ascii="仿宋" w:hAnsi="仿宋" w:eastAsia="仿宋" w:cs="仿宋"/>
          <w:iCs/>
          <w:szCs w:val="21"/>
          <w:highlight w:val="none"/>
          <w:u w:val="single"/>
        </w:rPr>
        <w:t>合同价格包括构成合同价格基础的工程量清单和汇总表中所开列的各项目、工程量、单价或价格、费率，不因如下因素而调整：中标方在编制工程量清单时对合同文件、合同图纸的任何错误理解或自身的任何疏忽而造成的错误或失误；人工、材料、机械、工程设备、施工设备和临时设施的费用、费率等价格要素的波动；任何外币与人民币汇率的变化；合同约定的其它情况；因图纸变更调整，据实增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2、总价合同。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总价包含的风险范围：</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3、其他价格方式：</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12.2预付款</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12.2.1预付款的支付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预付款支付比例或金额：</w:t>
      </w:r>
      <w:r>
        <w:rPr>
          <w:rFonts w:hint="eastAsia" w:ascii="仿宋" w:hAnsi="仿宋" w:eastAsia="仿宋" w:cs="仿宋"/>
          <w:iCs/>
          <w:szCs w:val="21"/>
          <w:highlight w:val="none"/>
          <w:u w:val="single"/>
        </w:rPr>
        <w:t>无</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预付款支付期限：</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预付款扣回的方式：</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12.2.2预付款担保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承包人提交预付款担保的期限：</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预付款担保的形式为：</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12.3计量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12.3.1计量原则</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工程量计算规则：</w:t>
      </w:r>
      <w:r>
        <w:rPr>
          <w:rFonts w:hint="eastAsia" w:ascii="仿宋" w:hAnsi="仿宋" w:eastAsia="仿宋" w:cs="仿宋"/>
          <w:iCs/>
          <w:szCs w:val="21"/>
          <w:highlight w:val="none"/>
          <w:u w:val="single"/>
        </w:rPr>
        <w:t>工程量计量按照合同约定的工程量计算规则、图纸及变更指示等进行计量。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12.3.2计量周期</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关于计量周期的约定：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12.3.3单价合同的计量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关于单价合同计量的约定：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12.3.4总价合同的计量</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关于总价合同计量的约定：</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12.3.5总价合同采用支付分解表计量支付的，是否适用第12.3.4项〔总价合同的计量〕约定进行计量：</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12.3.6其他价格形式合同的计量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其他价格形式的计量方式和程序：</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12.4工程进度款支付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12.4.1付款周期</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关于付款周期的约定：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12.4.2进度付款申请单的编制</w:t>
      </w:r>
    </w:p>
    <w:p>
      <w:pPr>
        <w:spacing w:line="400" w:lineRule="exact"/>
        <w:ind w:firstLine="420" w:firstLineChars="200"/>
        <w:rPr>
          <w:rFonts w:ascii="仿宋" w:hAnsi="仿宋" w:eastAsia="仿宋" w:cs="仿宋"/>
          <w:b/>
          <w:bCs/>
          <w:szCs w:val="21"/>
          <w:highlight w:val="none"/>
          <w:u w:val="single"/>
        </w:rPr>
      </w:pPr>
      <w:r>
        <w:rPr>
          <w:rFonts w:hint="eastAsia" w:ascii="仿宋" w:hAnsi="仿宋" w:eastAsia="仿宋" w:cs="仿宋"/>
          <w:szCs w:val="21"/>
          <w:highlight w:val="none"/>
        </w:rPr>
        <w:t>关于进度付款申请单编制的约定：</w:t>
      </w:r>
      <w:r>
        <w:rPr>
          <w:rFonts w:hint="eastAsia" w:ascii="仿宋" w:hAnsi="仿宋" w:eastAsia="仿宋" w:cs="仿宋"/>
          <w:szCs w:val="21"/>
          <w:highlight w:val="none"/>
          <w:u w:val="single"/>
        </w:rPr>
        <w:t>（1）截至本次付款周期已完成工作对应的金额；（2）根据第10条〔变更〕应增加和扣减的变更金额；（3）根据第12.2款〔预付款〕约定应支付的预付款和扣减的返还预付款；（4）根据第15.3款〔质量保证金〕约定应扣减的质量保证金；（5）根据第19条〔索赔〕应增加和扣减的索赔金额；（6）对已签发的进度款支付证书中出现错误的修正，应在本次进度付款中支付或扣除的金额；（7）根据合同约定应增加和扣减的其他金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12.4.3进度付款申请单的提交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（1）单价合同进度付款申请单提交的约定：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（2）总价合同进度付款申请单提交的约定：</w:t>
      </w:r>
      <w:r>
        <w:rPr>
          <w:rFonts w:hint="eastAsia" w:ascii="仿宋" w:hAnsi="仿宋" w:eastAsia="仿宋" w:cs="仿宋"/>
          <w:iCs/>
          <w:szCs w:val="21"/>
          <w:highlight w:val="none"/>
          <w:u w:val="single"/>
        </w:rPr>
        <w:t xml:space="preserve">  按月向监理人提交。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（3）其他价格形式合同进度付款申请单提交的约定：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12.4.4 进度款审核和支付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（1）监理人审查并报送发包人的期限：</w:t>
      </w:r>
      <w:r>
        <w:rPr>
          <w:rFonts w:hint="eastAsia" w:ascii="仿宋" w:hAnsi="仿宋" w:eastAsia="仿宋" w:cs="仿宋"/>
          <w:iCs/>
          <w:szCs w:val="21"/>
          <w:highlight w:val="none"/>
          <w:u w:val="single"/>
        </w:rPr>
        <w:t xml:space="preserve">  7天内完成。</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发包人完成审批并签发进度款支付证书的期限：</w:t>
      </w:r>
      <w:r>
        <w:rPr>
          <w:rFonts w:hint="eastAsia" w:ascii="仿宋" w:hAnsi="仿宋" w:eastAsia="仿宋" w:cs="仿宋"/>
          <w:iCs/>
          <w:szCs w:val="21"/>
          <w:highlight w:val="none"/>
          <w:u w:val="single"/>
        </w:rPr>
        <w:t>7天内完成。</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（2）发包人支付进度款的期限：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发包人逾期支付进度款的违约金的计算方式：</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12.4.6支付分解表的编制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2、总价合同支付分解表的编制与审批：</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3、单价合同的总价项目支付分解表的编制与审批：</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13.验收和工程试车</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13.1分部分项工程验收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13.1.1监理人不能按时进行验收时，应提前</w:t>
      </w:r>
      <w:r>
        <w:rPr>
          <w:rFonts w:hint="eastAsia" w:ascii="仿宋" w:hAnsi="仿宋" w:eastAsia="仿宋" w:cs="仿宋"/>
          <w:iCs/>
          <w:szCs w:val="21"/>
          <w:highlight w:val="none"/>
          <w:u w:val="single"/>
        </w:rPr>
        <w:t xml:space="preserve">  24  </w:t>
      </w:r>
      <w:r>
        <w:rPr>
          <w:rFonts w:hint="eastAsia" w:ascii="仿宋" w:hAnsi="仿宋" w:eastAsia="仿宋" w:cs="仿宋"/>
          <w:iCs/>
          <w:szCs w:val="21"/>
          <w:highlight w:val="none"/>
        </w:rPr>
        <w:t>小时提交书面延期要求。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 xml:space="preserve">   48   </w:t>
      </w:r>
      <w:r>
        <w:rPr>
          <w:rFonts w:hint="eastAsia" w:ascii="仿宋" w:hAnsi="仿宋" w:eastAsia="仿宋" w:cs="仿宋"/>
          <w:iCs/>
          <w:szCs w:val="21"/>
          <w:highlight w:val="none"/>
        </w:rPr>
        <w:t>小时。</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13.2竣工验收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13.2.2竣工验收程序</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关于竣工验收程序的约定：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发包人不按照本项约定组织竣工验收、颁发工程接收证书的违约金的计算方法：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13.2.5移交、接收全部与部分工程</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承包人向发包人移交工程的期限：</w:t>
      </w:r>
      <w:r>
        <w:rPr>
          <w:rFonts w:hint="eastAsia" w:ascii="仿宋" w:hAnsi="仿宋" w:eastAsia="仿宋" w:cs="仿宋"/>
          <w:iCs/>
          <w:szCs w:val="21"/>
          <w:highlight w:val="none"/>
          <w:u w:val="single"/>
        </w:rPr>
        <w:t>合同当事人应当在颁发工程接收证书后7天内完成工程的移交。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发包人未按本合同约定接收全部或部分工程的，违约金的计算方法为：</w:t>
      </w:r>
      <w:r>
        <w:rPr>
          <w:rFonts w:hint="eastAsia" w:ascii="仿宋" w:hAnsi="仿宋" w:eastAsia="仿宋" w:cs="仿宋"/>
          <w:iCs/>
          <w:szCs w:val="21"/>
          <w:highlight w:val="none"/>
          <w:u w:val="single"/>
        </w:rPr>
        <w:t xml:space="preserve">  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承包人未按时移交工程的，违约金的计算方法为：</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13.3工程试车</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13.3.1试车程序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工程试车内容：</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（1）单机无负荷试车费用由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（2）无负荷联动试车费用由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13.3.3投料试车</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关于投料试车相关事项的约定：</w:t>
      </w:r>
      <w:r>
        <w:rPr>
          <w:rFonts w:hint="eastAsia" w:ascii="仿宋" w:hAnsi="仿宋" w:eastAsia="仿宋" w:cs="仿宋"/>
          <w:iCs/>
          <w:szCs w:val="21"/>
          <w:highlight w:val="none"/>
          <w:u w:val="single"/>
        </w:rPr>
        <w:t>如需进行投料试车的，发包人应在工程竣工验收后组织投料试车。费用由承包人承担。</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13.6竣工退场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13.6.1竣工退场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承包人完成竣工退场的期限：</w:t>
      </w:r>
      <w:r>
        <w:rPr>
          <w:rFonts w:hint="eastAsia" w:ascii="仿宋" w:hAnsi="仿宋" w:eastAsia="仿宋" w:cs="仿宋"/>
          <w:iCs/>
          <w:szCs w:val="21"/>
          <w:highlight w:val="none"/>
          <w:u w:val="single"/>
        </w:rPr>
        <w:t>颁发工程竣工合格证书后30日内。</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14.竣工结算</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14.1竣工付款申请</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承包人提交竣工付款申请单的期限：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竣工付款申请单应包括的内容：</w:t>
      </w:r>
      <w:r>
        <w:rPr>
          <w:rFonts w:hint="eastAsia" w:ascii="仿宋" w:hAnsi="仿宋" w:eastAsia="仿宋" w:cs="仿宋"/>
          <w:iCs/>
          <w:szCs w:val="21"/>
          <w:highlight w:val="none"/>
          <w:u w:val="single"/>
        </w:rPr>
        <w:t>（1）竣工结算合同价格；（2）发包人已支付承包人的款项；（3）应扣留的质量保证金；（4）发包人应支付承包人的合同价款。</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14.2竣工结算审核</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发包人审批竣工付款申请单的期限：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发包人完成竣工付款的期限：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关于竣工付款证书异议部分复核的方式和程序：</w:t>
      </w:r>
      <w:r>
        <w:rPr>
          <w:rFonts w:hint="eastAsia" w:ascii="仿宋" w:hAnsi="仿宋" w:eastAsia="仿宋" w:cs="仿宋"/>
          <w:iCs/>
          <w:szCs w:val="21"/>
          <w:highlight w:val="none"/>
          <w:u w:val="single"/>
        </w:rPr>
        <w:t>双方约定。</w:t>
      </w:r>
    </w:p>
    <w:p>
      <w:pPr>
        <w:spacing w:line="400" w:lineRule="exact"/>
        <w:ind w:firstLine="525" w:firstLineChars="249"/>
        <w:rPr>
          <w:rFonts w:ascii="仿宋" w:hAnsi="仿宋" w:eastAsia="仿宋" w:cs="仿宋"/>
          <w:iCs/>
          <w:szCs w:val="21"/>
          <w:highlight w:val="none"/>
          <w:u w:val="single"/>
        </w:rPr>
      </w:pPr>
      <w:r>
        <w:rPr>
          <w:rFonts w:hint="eastAsia" w:ascii="仿宋" w:hAnsi="仿宋" w:eastAsia="仿宋" w:cs="仿宋"/>
          <w:b/>
          <w:iCs/>
          <w:szCs w:val="21"/>
          <w:highlight w:val="none"/>
        </w:rPr>
        <w:t>14.4最终结清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14.4.1最终结清申请单</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承包人提交最终结清申请单的份数：</w:t>
      </w:r>
      <w:r>
        <w:rPr>
          <w:rFonts w:hint="eastAsia" w:ascii="仿宋" w:hAnsi="仿宋" w:eastAsia="仿宋" w:cs="仿宋"/>
          <w:iCs/>
          <w:szCs w:val="21"/>
          <w:highlight w:val="none"/>
          <w:u w:val="single"/>
        </w:rPr>
        <w:t>按要求提交。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承包人提交最终结算申请单的期限：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14.4.2最终结清证书和支付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（1）发包人完成最终结清申请单的审批并颁发最终结清证书的期限：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（2）发包人完成支付的期限：</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15.缺陷责任期与保修</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15.1缺陷责任期</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缺陷责任期的具体期限：</w:t>
      </w:r>
      <w:r>
        <w:rPr>
          <w:rFonts w:hint="eastAsia" w:ascii="仿宋" w:hAnsi="仿宋" w:eastAsia="仿宋" w:cs="仿宋"/>
          <w:iCs/>
          <w:szCs w:val="21"/>
          <w:highlight w:val="none"/>
          <w:u w:val="single"/>
        </w:rPr>
        <w:t>1年</w:t>
      </w:r>
      <w:r>
        <w:rPr>
          <w:rFonts w:hint="eastAsia" w:ascii="仿宋" w:hAnsi="仿宋" w:eastAsia="仿宋" w:cs="仿宋"/>
          <w:szCs w:val="21"/>
          <w:highlight w:val="none"/>
          <w:u w:val="single"/>
        </w:rPr>
        <w:t>（自工程竣工验收之日起计算）</w:t>
      </w:r>
      <w:r>
        <w:rPr>
          <w:rFonts w:hint="eastAsia" w:ascii="仿宋" w:hAnsi="仿宋" w:eastAsia="仿宋" w:cs="仿宋"/>
          <w:iCs/>
          <w:szCs w:val="21"/>
          <w:highlight w:val="none"/>
          <w:u w:val="singl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15.3质量保证金</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关于是否扣留质量保证金的约定：</w:t>
      </w:r>
      <w:r>
        <w:rPr>
          <w:rFonts w:hint="eastAsia" w:ascii="仿宋" w:hAnsi="仿宋" w:eastAsia="仿宋" w:cs="仿宋"/>
          <w:iCs/>
          <w:szCs w:val="21"/>
          <w:highlight w:val="none"/>
          <w:u w:val="singl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15.3.1承包人提供质量保证金的方式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质量保证金采用以下第</w:t>
      </w:r>
      <w:r>
        <w:rPr>
          <w:rFonts w:hint="eastAsia" w:ascii="仿宋" w:hAnsi="仿宋" w:eastAsia="仿宋" w:cs="仿宋"/>
          <w:iCs/>
          <w:szCs w:val="21"/>
          <w:highlight w:val="none"/>
          <w:u w:val="single"/>
        </w:rPr>
        <w:t xml:space="preserve">2 </w:t>
      </w:r>
      <w:r>
        <w:rPr>
          <w:rFonts w:hint="eastAsia" w:ascii="仿宋" w:hAnsi="仿宋" w:eastAsia="仿宋" w:cs="仿宋"/>
          <w:iCs/>
          <w:szCs w:val="21"/>
          <w:highlight w:val="none"/>
        </w:rPr>
        <w:t>种方式：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（1）质量保证金保函，保证金额为：</w:t>
      </w:r>
      <w:r>
        <w:rPr>
          <w:rFonts w:hint="eastAsia" w:ascii="仿宋" w:hAnsi="仿宋" w:eastAsia="仿宋" w:cs="仿宋"/>
          <w:iCs/>
          <w:szCs w:val="21"/>
          <w:highlight w:val="none"/>
          <w:u w:val="singl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的工程款；</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 xml:space="preserve">（3）其他方式: </w:t>
      </w:r>
      <w:r>
        <w:rPr>
          <w:rFonts w:hint="eastAsia" w:ascii="仿宋" w:hAnsi="仿宋" w:eastAsia="仿宋" w:cs="仿宋"/>
          <w:iCs/>
          <w:szCs w:val="21"/>
          <w:highlight w:val="none"/>
          <w:u w:val="singl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15.3.2质量保证金的扣留</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质量保证金的扣留采取以下第</w:t>
      </w:r>
      <w:r>
        <w:rPr>
          <w:rFonts w:hint="eastAsia" w:ascii="仿宋" w:hAnsi="仿宋" w:eastAsia="仿宋" w:cs="仿宋"/>
          <w:iCs/>
          <w:szCs w:val="21"/>
          <w:highlight w:val="none"/>
          <w:u w:val="single"/>
        </w:rPr>
        <w:t xml:space="preserve"> 2</w:t>
      </w:r>
      <w:r>
        <w:rPr>
          <w:rFonts w:hint="eastAsia" w:ascii="仿宋" w:hAnsi="仿宋" w:eastAsia="仿宋" w:cs="仿宋"/>
          <w:iCs/>
          <w:szCs w:val="21"/>
          <w:highlight w:val="none"/>
        </w:rPr>
        <w:t>种方式：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（1）在支付工程进度款时逐次扣留，在此情形下，质量保证金的计算基数不包括预付款的支付、扣回以及价格调整的金额；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（2）工程竣工结算时一次性扣留质量保证金；</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（3）其他扣留方式:</w:t>
      </w:r>
      <w:r>
        <w:rPr>
          <w:rFonts w:hint="eastAsia" w:ascii="仿宋" w:hAnsi="仿宋" w:eastAsia="仿宋" w:cs="仿宋"/>
          <w:iCs/>
          <w:szCs w:val="21"/>
          <w:highlight w:val="none"/>
          <w:u w:val="single"/>
        </w:rPr>
        <w:t xml:space="preserve">   无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关于质量保证金的补充约定：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15.4保修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15.4.1保修责任</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工程保修期为：</w:t>
      </w:r>
      <w:r>
        <w:rPr>
          <w:rFonts w:hint="eastAsia" w:ascii="仿宋" w:hAnsi="仿宋" w:eastAsia="仿宋" w:cs="仿宋"/>
          <w:iCs/>
          <w:szCs w:val="21"/>
          <w:highlight w:val="none"/>
          <w:u w:val="single"/>
        </w:rPr>
        <w:t>按国家规定要求执行。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15.4.3修复通知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承包人收到保修通知并到达工程现场的合理时间：</w:t>
      </w:r>
      <w:r>
        <w:rPr>
          <w:rFonts w:hint="eastAsia" w:ascii="仿宋" w:hAnsi="仿宋" w:eastAsia="仿宋" w:cs="仿宋"/>
          <w:iCs/>
          <w:szCs w:val="21"/>
          <w:highlight w:val="none"/>
          <w:u w:val="single"/>
        </w:rPr>
        <w:t xml:space="preserve">  48小时内书面确认   </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16.违约</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16.1发包人违约</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16.1.1发包人违约的情形</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发包人违约的其他情形：</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16.1.2发包人违约的责任</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发包人违约责任的承担方式和计算方法：</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（1）因发包人原因未能在计划开工日期前7天内下达开工通知的违约责任：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（2）因发包人原因未能按合同约定支付合同价款的违约责任：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（3）发包人违反第10.1款〔变更的范围〕第（2）项约定，自行实施被取消的工作或转由他人实施的违约责任：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（5）因发包人违反合同约定造成暂停施工的违约责任: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（6）发包人无正当理由没有在约定期限内发出复工指示，导致承包人无法复工的违约责任：</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（7）其他：</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16.1.3因发包人违约解除合同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承包人按16.1.1项〔发包人违约的情形〕约定暂停施工满</w:t>
      </w:r>
      <w:r>
        <w:rPr>
          <w:rFonts w:hint="eastAsia" w:ascii="仿宋" w:hAnsi="仿宋" w:eastAsia="仿宋" w:cs="仿宋"/>
          <w:iCs/>
          <w:szCs w:val="21"/>
          <w:highlight w:val="none"/>
          <w:u w:val="single"/>
        </w:rPr>
        <w:t>28</w:t>
      </w:r>
      <w:r>
        <w:rPr>
          <w:rFonts w:hint="eastAsia" w:ascii="仿宋" w:hAnsi="仿宋" w:eastAsia="仿宋" w:cs="仿宋"/>
          <w:iCs/>
          <w:szCs w:val="21"/>
          <w:highlight w:val="none"/>
        </w:rPr>
        <w:t>天后发包人仍不纠正其违约行为并致使合同目的不能实现的，承包人有权解除合同。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16.2承包人违约</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16.2.1承包人违约的情形</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承包人违约的其他情形：</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16.2.2承包人违约的责任</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承包人违约责任的承担方式和计算方法：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16.2.3因承包人违约解除合同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关于承包人违约解除合同的特别约定：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发包人继续使用承包人在施工现场的材料、设备、临时工程、承包人文件和由承包人或以其名义编制的其他文件的费用承担方式：</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17.不可抗力</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17.1不可抗力的确认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除通用合同条款约定的不可抗力事件之外，视为不可抗力的其他情形：</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17.4因不可抗力解除合同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合同解除后，发包人应在商定或确定发包人应支付款项后</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天内完成款项的支付。</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18.保险</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18.1工程保险</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关于工程保险的特别约定：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18.3其他保险</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关于其他保险的约定：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承包人是否应为其施工设备等办理财产保险：</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18.7通知义务</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关于变更保险合同时的通知义务的约定：</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20.争议解决</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20.3争议评审</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合同当事人是否同意将工程争议提交争议评审小组决定：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20.3.1争议评审小组的确定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争议评审小组成员的确定：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选定争议评审员的期限：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争议评审小组成员的报酬承担方式：</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其他事项的约定：</w:t>
      </w:r>
      <w:r>
        <w:rPr>
          <w:rFonts w:hint="eastAsia" w:ascii="仿宋" w:hAnsi="仿宋" w:eastAsia="仿宋" w:cs="仿宋"/>
          <w:iCs/>
          <w:szCs w:val="21"/>
          <w:highlight w:val="none"/>
          <w:u w:val="single"/>
        </w:rPr>
        <w:t>按合同通用条款执行。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20.3.2争议评审小组的决定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合同当事人关于本项的约定：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20.4仲裁或诉讼</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因合同及合同有关事项发生的争议，按下列第</w:t>
      </w:r>
      <w:r>
        <w:rPr>
          <w:rFonts w:hint="eastAsia" w:ascii="仿宋" w:hAnsi="仿宋" w:eastAsia="仿宋" w:cs="仿宋"/>
          <w:iCs/>
          <w:szCs w:val="21"/>
          <w:highlight w:val="none"/>
          <w:u w:val="single"/>
        </w:rPr>
        <w:t xml:space="preserve">  2   </w:t>
      </w:r>
      <w:r>
        <w:rPr>
          <w:rFonts w:hint="eastAsia" w:ascii="仿宋" w:hAnsi="仿宋" w:eastAsia="仿宋" w:cs="仿宋"/>
          <w:iCs/>
          <w:szCs w:val="21"/>
          <w:highlight w:val="none"/>
        </w:rPr>
        <w:t>种方式解决：</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（1）向</w:t>
      </w:r>
      <w:r>
        <w:rPr>
          <w:rFonts w:hint="eastAsia" w:ascii="仿宋" w:hAnsi="仿宋" w:eastAsia="仿宋" w:cs="仿宋"/>
          <w:iCs/>
          <w:szCs w:val="21"/>
          <w:highlight w:val="none"/>
          <w:u w:val="single"/>
        </w:rPr>
        <w:t xml:space="preserve">       \             </w:t>
      </w:r>
      <w:r>
        <w:rPr>
          <w:rFonts w:hint="eastAsia" w:ascii="仿宋" w:hAnsi="仿宋" w:eastAsia="仿宋" w:cs="仿宋"/>
          <w:iCs/>
          <w:szCs w:val="21"/>
          <w:highlight w:val="none"/>
        </w:rPr>
        <w:t>仲裁委员会申请仲裁；</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（2）向</w:t>
      </w:r>
      <w:r>
        <w:rPr>
          <w:rFonts w:hint="eastAsia" w:ascii="仿宋" w:hAnsi="仿宋" w:eastAsia="仿宋" w:cs="仿宋"/>
          <w:iCs/>
          <w:szCs w:val="21"/>
          <w:highlight w:val="none"/>
          <w:u w:val="single"/>
        </w:rPr>
        <w:t xml:space="preserve">     大冶市          </w:t>
      </w:r>
      <w:r>
        <w:rPr>
          <w:rFonts w:hint="eastAsia" w:ascii="仿宋" w:hAnsi="仿宋" w:eastAsia="仿宋" w:cs="仿宋"/>
          <w:iCs/>
          <w:szCs w:val="21"/>
          <w:highlight w:val="none"/>
        </w:rPr>
        <w:t>人民法院起诉。</w:t>
      </w:r>
    </w:p>
    <w:p>
      <w:pPr>
        <w:pStyle w:val="4"/>
        <w:spacing w:line="400" w:lineRule="exact"/>
        <w:rPr>
          <w:rFonts w:ascii="仿宋" w:hAnsi="仿宋" w:eastAsia="仿宋" w:cs="仿宋"/>
          <w:iCs/>
          <w:sz w:val="24"/>
          <w:szCs w:val="24"/>
          <w:highlight w:val="none"/>
        </w:rPr>
      </w:pPr>
      <w:bookmarkStart w:id="305" w:name="_Toc5369"/>
      <w:bookmarkStart w:id="306" w:name="_Toc499379025"/>
      <w:bookmarkStart w:id="307" w:name="_Toc499378903"/>
      <w:bookmarkStart w:id="308" w:name="_Toc12533"/>
      <w:r>
        <w:rPr>
          <w:rFonts w:hint="eastAsia" w:ascii="仿宋" w:hAnsi="仿宋" w:eastAsia="仿宋" w:cs="仿宋"/>
          <w:iCs/>
          <w:sz w:val="24"/>
          <w:szCs w:val="24"/>
          <w:highlight w:val="none"/>
        </w:rPr>
        <w:t>附件</w:t>
      </w:r>
      <w:bookmarkEnd w:id="305"/>
      <w:bookmarkEnd w:id="306"/>
      <w:bookmarkEnd w:id="307"/>
      <w:bookmarkEnd w:id="308"/>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协议书附件：</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附件1：承包人承揽工程项目一览表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专用合同条款附件：</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附件2：发包人供应材料设备一览表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附件3：工程质量保修书</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附件4：主要建设工程文件目录</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附件5：承包人用于本工程施工的机械设备表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附件6：承包人主要施工管理人员表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附件7：分包人主要施工管理人员表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附件8：履约担保格式</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附件9：预付款担保格式</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附件10：支付担保格式</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附件11：暂估价一览表</w:t>
      </w:r>
    </w:p>
    <w:p>
      <w:pPr>
        <w:adjustRightInd w:val="0"/>
        <w:snapToGrid w:val="0"/>
        <w:spacing w:line="400" w:lineRule="exact"/>
        <w:rPr>
          <w:rFonts w:ascii="仿宋" w:hAnsi="仿宋" w:eastAsia="仿宋" w:cs="仿宋"/>
          <w:iCs/>
          <w:szCs w:val="21"/>
          <w:highlight w:val="none"/>
        </w:rPr>
      </w:pPr>
      <w:r>
        <w:rPr>
          <w:rFonts w:hint="eastAsia" w:ascii="仿宋" w:hAnsi="仿宋" w:eastAsia="仿宋" w:cs="仿宋"/>
          <w:iCs/>
          <w:szCs w:val="21"/>
          <w:highlight w:val="none"/>
        </w:rPr>
        <w:t>参照《建设工程施工合同（示范文本）》（GF-2013-0201）附件，本招标文件省略。</w:t>
      </w:r>
    </w:p>
    <w:p>
      <w:pPr>
        <w:snapToGrid w:val="0"/>
        <w:spacing w:line="360" w:lineRule="exact"/>
        <w:ind w:firstLine="420" w:firstLineChars="200"/>
        <w:rPr>
          <w:rFonts w:ascii="仿宋" w:hAnsi="仿宋" w:eastAsia="仿宋" w:cs="仿宋"/>
          <w:highlight w:val="none"/>
        </w:rPr>
      </w:pPr>
    </w:p>
    <w:p>
      <w:pPr>
        <w:spacing w:line="360" w:lineRule="auto"/>
        <w:ind w:firstLine="480" w:firstLineChars="200"/>
        <w:rPr>
          <w:rFonts w:ascii="仿宋" w:hAnsi="仿宋" w:eastAsia="仿宋" w:cs="仿宋"/>
          <w:sz w:val="24"/>
          <w:highlight w:val="none"/>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pgNumType w:fmt="decimal"/>
          <w:cols w:space="0" w:num="1"/>
          <w:titlePg/>
          <w:docGrid w:type="lines" w:linePitch="312" w:charSpace="0"/>
        </w:sectPr>
      </w:pPr>
    </w:p>
    <w:bookmarkEnd w:id="286"/>
    <w:p>
      <w:pPr>
        <w:pStyle w:val="3"/>
        <w:numPr>
          <w:ilvl w:val="0"/>
          <w:numId w:val="5"/>
        </w:numPr>
        <w:spacing w:line="360" w:lineRule="auto"/>
        <w:jc w:val="center"/>
        <w:rPr>
          <w:rFonts w:ascii="仿宋" w:hAnsi="仿宋" w:eastAsia="仿宋" w:cs="仿宋"/>
          <w:highlight w:val="none"/>
        </w:rPr>
      </w:pPr>
      <w:bookmarkStart w:id="309" w:name="_Toc499379026"/>
      <w:bookmarkStart w:id="310" w:name="_Toc152042555"/>
      <w:bookmarkStart w:id="311" w:name="_Toc144974835"/>
      <w:bookmarkStart w:id="312" w:name="_Toc152045773"/>
      <w:bookmarkStart w:id="313" w:name="_Toc246997084"/>
      <w:bookmarkStart w:id="314" w:name="_Toc179632790"/>
      <w:bookmarkStart w:id="315" w:name="_Toc296602588"/>
      <w:bookmarkStart w:id="316" w:name="_Toc247085856"/>
      <w:bookmarkStart w:id="317" w:name="_Toc336091339"/>
      <w:bookmarkStart w:id="318" w:name="_Toc246996341"/>
      <w:r>
        <w:rPr>
          <w:rFonts w:hint="eastAsia" w:ascii="仿宋" w:hAnsi="仿宋" w:eastAsia="仿宋" w:cs="仿宋"/>
          <w:highlight w:val="none"/>
        </w:rPr>
        <w:t xml:space="preserve"> 工程量清单</w:t>
      </w:r>
      <w:bookmarkEnd w:id="309"/>
    </w:p>
    <w:p>
      <w:pPr>
        <w:spacing w:line="360" w:lineRule="auto"/>
        <w:ind w:firstLine="2730" w:firstLineChars="1300"/>
        <w:rPr>
          <w:rFonts w:ascii="仿宋" w:hAnsi="仿宋" w:eastAsia="仿宋" w:cs="仿宋"/>
          <w:szCs w:val="21"/>
          <w:highlight w:val="none"/>
        </w:rPr>
      </w:pPr>
      <w:r>
        <w:rPr>
          <w:rFonts w:hint="eastAsia" w:ascii="仿宋" w:hAnsi="仿宋" w:eastAsia="仿宋" w:cs="仿宋"/>
          <w:szCs w:val="21"/>
          <w:highlight w:val="none"/>
        </w:rPr>
        <w:t>（工程量清单在网上招标文件附件下载）</w:t>
      </w:r>
      <w:bookmarkStart w:id="319" w:name="_Toc499378905"/>
      <w:bookmarkStart w:id="320" w:name="_Toc499379027"/>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1.工程量清单说明</w:t>
      </w:r>
      <w:bookmarkEnd w:id="319"/>
      <w:bookmarkEnd w:id="320"/>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 本工程量清单应与招标文件中的投标人须知、通用合同条款、专用合同条款、技术标准和要求及图纸等一起阅读和理解。</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 本工程量清单仅是投标报价的共同基础，实际工程计量和工程价款的支付应遵循合同条款的约定和第七章“技术标准和要求”的有关规定。</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1.4 补充子目工程量计算规则及子目工作内容说明： </w:t>
      </w:r>
      <w:r>
        <w:rPr>
          <w:rFonts w:hint="eastAsia" w:ascii="仿宋" w:hAnsi="仿宋" w:eastAsia="仿宋" w:cs="仿宋"/>
          <w:szCs w:val="21"/>
          <w:highlight w:val="none"/>
          <w:u w:val="single"/>
        </w:rPr>
        <w:t xml:space="preserve">详见工程量清单  </w:t>
      </w:r>
      <w:r>
        <w:rPr>
          <w:rFonts w:hint="eastAsia" w:ascii="仿宋" w:hAnsi="仿宋" w:eastAsia="仿宋" w:cs="仿宋"/>
          <w:szCs w:val="21"/>
          <w:highlight w:val="none"/>
        </w:rPr>
        <w:t xml:space="preserve">。 </w:t>
      </w:r>
    </w:p>
    <w:bookmarkEnd w:id="310"/>
    <w:bookmarkEnd w:id="311"/>
    <w:bookmarkEnd w:id="312"/>
    <w:bookmarkEnd w:id="313"/>
    <w:bookmarkEnd w:id="314"/>
    <w:bookmarkEnd w:id="315"/>
    <w:bookmarkEnd w:id="316"/>
    <w:bookmarkEnd w:id="317"/>
    <w:bookmarkEnd w:id="318"/>
    <w:p>
      <w:pPr>
        <w:pStyle w:val="3"/>
        <w:spacing w:line="360" w:lineRule="auto"/>
        <w:ind w:firstLine="3092" w:firstLineChars="700"/>
        <w:rPr>
          <w:rFonts w:ascii="仿宋" w:hAnsi="仿宋" w:eastAsia="仿宋" w:cs="仿宋"/>
          <w:highlight w:val="none"/>
        </w:rPr>
      </w:pPr>
      <w:bookmarkStart w:id="321" w:name="_Toc499379030"/>
    </w:p>
    <w:p>
      <w:pPr>
        <w:pStyle w:val="3"/>
        <w:numPr>
          <w:ilvl w:val="0"/>
          <w:numId w:val="6"/>
        </w:numPr>
        <w:spacing w:line="360" w:lineRule="auto"/>
        <w:ind w:firstLine="2650" w:firstLineChars="600"/>
        <w:rPr>
          <w:rFonts w:ascii="仿宋" w:hAnsi="仿宋" w:eastAsia="仿宋" w:cs="仿宋"/>
          <w:highlight w:val="none"/>
        </w:rPr>
      </w:pPr>
      <w:r>
        <w:rPr>
          <w:rFonts w:hint="eastAsia" w:ascii="仿宋" w:hAnsi="仿宋" w:eastAsia="仿宋" w:cs="仿宋"/>
          <w:highlight w:val="none"/>
        </w:rPr>
        <w:t xml:space="preserve"> 图  纸</w:t>
      </w:r>
      <w:bookmarkEnd w:id="321"/>
    </w:p>
    <w:p>
      <w:pPr>
        <w:ind w:firstLine="2730" w:firstLineChars="1300"/>
        <w:rPr>
          <w:rFonts w:ascii="仿宋" w:hAnsi="仿宋" w:eastAsia="仿宋" w:cs="仿宋"/>
          <w:highlight w:val="none"/>
        </w:rPr>
      </w:pPr>
      <w:r>
        <w:rPr>
          <w:rFonts w:hint="eastAsia" w:ascii="仿宋" w:hAnsi="仿宋" w:eastAsia="仿宋" w:cs="仿宋"/>
          <w:highlight w:val="none"/>
        </w:rPr>
        <w:t>（图纸在网上招标文件附件下载）</w:t>
      </w:r>
    </w:p>
    <w:p>
      <w:pPr>
        <w:pStyle w:val="3"/>
        <w:tabs>
          <w:tab w:val="left" w:pos="425"/>
          <w:tab w:val="left" w:pos="5460"/>
        </w:tabs>
        <w:jc w:val="center"/>
        <w:rPr>
          <w:rFonts w:ascii="仿宋" w:hAnsi="仿宋" w:eastAsia="仿宋" w:cs="仿宋"/>
          <w:color w:val="auto"/>
          <w:highlight w:val="none"/>
        </w:rPr>
      </w:pPr>
      <w:r>
        <w:rPr>
          <w:rFonts w:hint="eastAsia" w:ascii="仿宋" w:hAnsi="仿宋" w:eastAsia="仿宋" w:cs="仿宋"/>
          <w:sz w:val="28"/>
          <w:szCs w:val="28"/>
          <w:highlight w:val="none"/>
        </w:rPr>
        <w:br w:type="page"/>
      </w:r>
      <w:bookmarkStart w:id="322" w:name="_Toc429314968"/>
      <w:bookmarkStart w:id="323" w:name="_Toc499379031"/>
      <w:r>
        <w:rPr>
          <w:rFonts w:hint="eastAsia" w:ascii="仿宋" w:hAnsi="仿宋" w:eastAsia="仿宋" w:cs="仿宋"/>
          <w:highlight w:val="none"/>
        </w:rPr>
        <w:t xml:space="preserve">第七章 </w:t>
      </w:r>
      <w:r>
        <w:rPr>
          <w:rFonts w:hint="eastAsia" w:ascii="仿宋" w:hAnsi="仿宋" w:eastAsia="仿宋" w:cs="仿宋"/>
          <w:color w:val="0000FF"/>
          <w:highlight w:val="none"/>
        </w:rPr>
        <w:t xml:space="preserve"> </w:t>
      </w:r>
      <w:r>
        <w:rPr>
          <w:rFonts w:hint="eastAsia" w:ascii="仿宋" w:hAnsi="仿宋" w:eastAsia="仿宋" w:cs="仿宋"/>
          <w:color w:val="auto"/>
          <w:highlight w:val="none"/>
        </w:rPr>
        <w:t>技术标准</w:t>
      </w:r>
      <w:bookmarkEnd w:id="322"/>
      <w:bookmarkEnd w:id="323"/>
    </w:p>
    <w:p>
      <w:pPr>
        <w:spacing w:line="360" w:lineRule="exact"/>
        <w:ind w:left="105" w:leftChars="50"/>
        <w:rPr>
          <w:rFonts w:ascii="仿宋" w:hAnsi="仿宋" w:eastAsia="仿宋" w:cs="仿宋"/>
          <w:color w:val="auto"/>
          <w:sz w:val="24"/>
          <w:highlight w:val="none"/>
        </w:rPr>
      </w:pPr>
      <w:bookmarkStart w:id="324" w:name="_Toc336091353"/>
      <w:r>
        <w:rPr>
          <w:rFonts w:hint="eastAsia" w:ascii="仿宋" w:hAnsi="仿宋" w:eastAsia="仿宋" w:cs="仿宋"/>
          <w:color w:val="auto"/>
          <w:sz w:val="24"/>
          <w:highlight w:val="none"/>
        </w:rPr>
        <w:t>1、依据设计文件的要求，本招标工程项目的材料、设备、施工须达到国家和省、市或行业的下列现行工程建设标准、规范的要求。</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1.1按设计文件（包括图纸）的技术要求执行；</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1.2按现行的建筑、安装、市政、园林绿化工程设计标准和规范、规程执行；</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1.3按现行的建筑、安装、市政、园林绿化工程施工操作规范及验收规范执行；</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1.4按现行的市政公用工程施工质量验收统一标准执行；</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1.5按省、市建设行政主管部门的相关文件执行。</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2、根据工程设计要求，该项工程施工还应满足下列标准要求：</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2.1《工程测量规范》（GB50026-2007）</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2.2《建筑地基基础质量施工验收规范》（GB50202-2002）</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2.3《混凝土结构工程施工质量验收规范》（GB50204-2015）</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2.4《砌体工程施工质量验收规范》（GB50203-2011）</w:t>
      </w:r>
    </w:p>
    <w:p>
      <w:pPr>
        <w:spacing w:line="360" w:lineRule="exact"/>
        <w:ind w:left="105" w:leftChars="5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2.5《城镇道路工程施工与质量验收规范》（CJJ1—2008）</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2.6《屋面工程质量验收规范》（GB50207-2012）</w:t>
      </w:r>
    </w:p>
    <w:p>
      <w:pPr>
        <w:spacing w:line="480" w:lineRule="exact"/>
        <w:ind w:firstLine="120" w:firstLineChars="5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2.7《园林绿化工程施工及验收规范》（CJJ82—2013）</w:t>
      </w:r>
    </w:p>
    <w:p>
      <w:pPr>
        <w:spacing w:line="360" w:lineRule="exact"/>
        <w:ind w:left="105" w:leftChars="5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2.8《城市道路照明工程施工及验收规程》（CJJ89—2012）</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2.9《建筑地面工程施工质量验收规范》（GB50209-2010）</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2.10《建筑装饰装修工程质量验收规范》（GB50210-2002）</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2.11《市政公用工程施工质量验收统一标准》（GB50300-2013）</w:t>
      </w:r>
    </w:p>
    <w:p>
      <w:pPr>
        <w:spacing w:line="360" w:lineRule="exact"/>
        <w:ind w:left="105" w:leftChars="5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2.12《给水排水管道工程施工及验收规范》（GB50268—2008）</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2.13《建筑给水排水及采暖工程质量验收规范》（GB50242-2002）</w:t>
      </w:r>
    </w:p>
    <w:p>
      <w:pPr>
        <w:spacing w:line="360" w:lineRule="exact"/>
        <w:ind w:left="105" w:leftChars="50"/>
        <w:rPr>
          <w:rFonts w:ascii="仿宋" w:hAnsi="仿宋" w:eastAsia="仿宋" w:cs="仿宋"/>
          <w:color w:val="auto"/>
          <w:sz w:val="24"/>
          <w:highlight w:val="none"/>
        </w:rPr>
      </w:pPr>
      <w:r>
        <w:rPr>
          <w:rFonts w:hint="eastAsia" w:ascii="仿宋" w:hAnsi="仿宋" w:eastAsia="仿宋" w:cs="仿宋"/>
          <w:color w:val="auto"/>
          <w:sz w:val="24"/>
          <w:highlight w:val="none"/>
        </w:rPr>
        <w:t>2.14《建筑电气工程质量验收规范》（GB50303-2015）</w:t>
      </w:r>
    </w:p>
    <w:p>
      <w:pPr>
        <w:spacing w:line="360" w:lineRule="exact"/>
        <w:ind w:left="105" w:leftChars="50"/>
        <w:rPr>
          <w:rFonts w:ascii="仿宋" w:hAnsi="仿宋" w:eastAsia="仿宋" w:cs="仿宋"/>
          <w:color w:val="0000FF"/>
          <w:sz w:val="24"/>
          <w:highlight w:val="none"/>
        </w:rPr>
      </w:pPr>
      <w:r>
        <w:rPr>
          <w:rFonts w:hint="eastAsia" w:ascii="仿宋" w:hAnsi="仿宋" w:eastAsia="仿宋" w:cs="仿宋"/>
          <w:color w:val="auto"/>
          <w:sz w:val="24"/>
          <w:highlight w:val="none"/>
        </w:rPr>
        <w:t>上述标准、规范及规程仅是本工程的最基本依据，并未包括实施中所涉及到的所有标准、规范及规程，并且所用标准和技术规范均应为合同签订之日为止的最新版</w:t>
      </w:r>
    </w:p>
    <w:p>
      <w:pPr>
        <w:spacing w:line="360" w:lineRule="exact"/>
        <w:ind w:firstLine="480" w:firstLineChars="200"/>
        <w:rPr>
          <w:rFonts w:ascii="仿宋" w:hAnsi="仿宋" w:eastAsia="仿宋" w:cs="仿宋"/>
          <w:sz w:val="24"/>
          <w:highlight w:val="none"/>
        </w:rPr>
      </w:pPr>
    </w:p>
    <w:p>
      <w:pPr>
        <w:pStyle w:val="3"/>
        <w:tabs>
          <w:tab w:val="left" w:pos="425"/>
        </w:tabs>
        <w:jc w:val="center"/>
        <w:rPr>
          <w:rFonts w:ascii="仿宋" w:hAnsi="仿宋" w:eastAsia="仿宋" w:cs="仿宋"/>
          <w:highlight w:val="none"/>
        </w:rPr>
      </w:pPr>
      <w:r>
        <w:rPr>
          <w:rFonts w:hint="eastAsia" w:ascii="仿宋" w:hAnsi="仿宋" w:eastAsia="仿宋" w:cs="仿宋"/>
          <w:sz w:val="24"/>
          <w:highlight w:val="none"/>
        </w:rPr>
        <w:br w:type="page"/>
      </w:r>
      <w:bookmarkStart w:id="325" w:name="_Toc499379032"/>
      <w:r>
        <w:rPr>
          <w:rFonts w:hint="eastAsia" w:ascii="仿宋" w:hAnsi="仿宋" w:eastAsia="仿宋" w:cs="仿宋"/>
          <w:highlight w:val="none"/>
        </w:rPr>
        <w:t>第八章  投标文件格式</w:t>
      </w:r>
      <w:bookmarkEnd w:id="324"/>
      <w:bookmarkEnd w:id="325"/>
    </w:p>
    <w:p>
      <w:pPr>
        <w:rPr>
          <w:rFonts w:ascii="仿宋" w:hAnsi="仿宋" w:eastAsia="仿宋" w:cs="仿宋"/>
          <w:highlight w:val="none"/>
        </w:rPr>
      </w:pPr>
    </w:p>
    <w:p>
      <w:pPr>
        <w:spacing w:line="492" w:lineRule="exact"/>
        <w:ind w:firstLine="560" w:firstLineChars="200"/>
        <w:jc w:val="center"/>
        <w:rPr>
          <w:rFonts w:ascii="仿宋" w:hAnsi="仿宋" w:eastAsia="仿宋" w:cs="仿宋"/>
          <w:sz w:val="28"/>
          <w:szCs w:val="28"/>
          <w:highlight w:val="none"/>
        </w:rPr>
      </w:pPr>
    </w:p>
    <w:p>
      <w:pPr>
        <w:spacing w:line="492" w:lineRule="exact"/>
        <w:ind w:firstLine="1680" w:firstLineChars="700"/>
        <w:rPr>
          <w:rFonts w:ascii="仿宋" w:hAnsi="仿宋" w:eastAsia="仿宋" w:cs="仿宋"/>
          <w:sz w:val="24"/>
          <w:highlight w:val="none"/>
        </w:rPr>
      </w:pPr>
      <w:r>
        <w:rPr>
          <w:rFonts w:hint="eastAsia" w:ascii="仿宋" w:hAnsi="仿宋" w:eastAsia="仿宋" w:cs="仿宋"/>
          <w:sz w:val="24"/>
          <w:highlight w:val="none"/>
        </w:rPr>
        <w:t>（项目名称）                              标段</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 标 文 件</w:t>
      </w:r>
    </w:p>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（分综合标、商务标、技术标）</w:t>
      </w:r>
    </w:p>
    <w:p>
      <w:pPr>
        <w:spacing w:line="492"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说明：技术标封面请到【郑先生（15971557432）】购买</w:t>
      </w:r>
    </w:p>
    <w:p>
      <w:pPr>
        <w:spacing w:line="492" w:lineRule="exact"/>
        <w:jc w:val="center"/>
        <w:rPr>
          <w:rFonts w:ascii="仿宋" w:hAnsi="仿宋" w:eastAsia="仿宋" w:cs="仿宋"/>
          <w:color w:val="000000" w:themeColor="text1"/>
          <w:sz w:val="24"/>
          <w:highlight w:val="none"/>
          <w14:textFill>
            <w14:solidFill>
              <w14:schemeClr w14:val="tx1"/>
            </w14:solidFill>
          </w14:textFill>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 标 人：（盖单位章）</w:t>
      </w:r>
    </w:p>
    <w:p>
      <w:pPr>
        <w:spacing w:line="492" w:lineRule="exact"/>
        <w:ind w:firstLine="429" w:firstLineChars="179"/>
        <w:rPr>
          <w:rFonts w:ascii="仿宋" w:hAnsi="仿宋" w:eastAsia="仿宋" w:cs="仿宋"/>
          <w:sz w:val="24"/>
          <w:highlight w:val="none"/>
        </w:rPr>
      </w:pPr>
    </w:p>
    <w:p>
      <w:pPr>
        <w:spacing w:line="492" w:lineRule="exact"/>
        <w:ind w:firstLine="429" w:firstLineChars="179"/>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pPr>
        <w:spacing w:line="492" w:lineRule="exact"/>
        <w:rPr>
          <w:rFonts w:ascii="仿宋" w:hAnsi="仿宋" w:eastAsia="仿宋" w:cs="仿宋"/>
          <w:sz w:val="24"/>
          <w:highlight w:val="none"/>
        </w:rPr>
      </w:pPr>
    </w:p>
    <w:p>
      <w:pPr>
        <w:spacing w:line="492" w:lineRule="exact"/>
        <w:ind w:firstLine="5520" w:firstLineChars="2300"/>
        <w:rPr>
          <w:rFonts w:ascii="仿宋" w:hAnsi="仿宋" w:eastAsia="仿宋" w:cs="仿宋"/>
          <w:sz w:val="24"/>
          <w:highlight w:val="none"/>
        </w:rPr>
      </w:pPr>
      <w:r>
        <w:rPr>
          <w:rFonts w:hint="eastAsia" w:ascii="仿宋" w:hAnsi="仿宋" w:eastAsia="仿宋" w:cs="仿宋"/>
          <w:sz w:val="24"/>
          <w:highlight w:val="none"/>
        </w:rPr>
        <w:t>年    月    日</w:t>
      </w:r>
    </w:p>
    <w:p>
      <w:pPr>
        <w:pStyle w:val="4"/>
        <w:spacing w:before="0" w:after="156" w:afterLines="50" w:line="240" w:lineRule="auto"/>
        <w:ind w:left="567"/>
        <w:jc w:val="center"/>
        <w:rPr>
          <w:rFonts w:ascii="仿宋" w:hAnsi="仿宋" w:eastAsia="仿宋" w:cs="仿宋"/>
          <w:b w:val="0"/>
          <w:highlight w:val="none"/>
        </w:rPr>
      </w:pPr>
      <w:bookmarkStart w:id="326" w:name="_Toc361650144"/>
      <w:bookmarkStart w:id="327" w:name="_Toc336091354"/>
      <w:r>
        <w:rPr>
          <w:rFonts w:hint="eastAsia" w:ascii="仿宋" w:hAnsi="仿宋" w:eastAsia="仿宋" w:cs="仿宋"/>
          <w:b w:val="0"/>
          <w:highlight w:val="none"/>
        </w:rPr>
        <w:br w:type="page"/>
      </w:r>
      <w:bookmarkStart w:id="328" w:name="_Toc499379033"/>
      <w:bookmarkStart w:id="329" w:name="_Toc499378911"/>
      <w:r>
        <w:rPr>
          <w:rFonts w:hint="eastAsia" w:ascii="仿宋" w:hAnsi="仿宋" w:eastAsia="仿宋" w:cs="仿宋"/>
          <w:b w:val="0"/>
          <w:highlight w:val="none"/>
        </w:rPr>
        <w:t>评审因素索引表</w:t>
      </w:r>
      <w:bookmarkEnd w:id="326"/>
      <w:bookmarkEnd w:id="327"/>
      <w:bookmarkEnd w:id="328"/>
      <w:bookmarkEnd w:id="329"/>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968"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245"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一</w:t>
            </w:r>
          </w:p>
        </w:tc>
        <w:tc>
          <w:tcPr>
            <w:tcW w:w="5968"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项目管理机构（综合标）</w:t>
            </w:r>
          </w:p>
        </w:tc>
        <w:tc>
          <w:tcPr>
            <w:tcW w:w="2245" w:type="dxa"/>
            <w:vAlign w:val="center"/>
          </w:tcPr>
          <w:p>
            <w:pPr>
              <w:spacing w:line="492"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人员配备</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企业资质</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企业信誉</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机械设备</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财务状况</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10</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w:t>
            </w:r>
          </w:p>
        </w:tc>
        <w:tc>
          <w:tcPr>
            <w:tcW w:w="5968" w:type="dxa"/>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pPr>
        <w:spacing w:line="492" w:lineRule="exact"/>
        <w:rPr>
          <w:rFonts w:ascii="仿宋" w:hAnsi="仿宋" w:eastAsia="仿宋" w:cs="仿宋"/>
          <w:sz w:val="24"/>
          <w:highlight w:val="none"/>
        </w:rPr>
      </w:pPr>
    </w:p>
    <w:tbl>
      <w:tblPr>
        <w:tblStyle w:val="15"/>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7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413"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二</w:t>
            </w:r>
          </w:p>
        </w:tc>
        <w:tc>
          <w:tcPr>
            <w:tcW w:w="57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投标报价（商务标）</w:t>
            </w:r>
          </w:p>
        </w:tc>
        <w:tc>
          <w:tcPr>
            <w:tcW w:w="2413" w:type="dxa"/>
            <w:vAlign w:val="center"/>
          </w:tcPr>
          <w:p>
            <w:pPr>
              <w:spacing w:line="492"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757"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投标函及投标函附录</w:t>
            </w:r>
          </w:p>
        </w:tc>
        <w:tc>
          <w:tcPr>
            <w:tcW w:w="2413"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757"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已标价的工程量清单</w:t>
            </w:r>
          </w:p>
        </w:tc>
        <w:tc>
          <w:tcPr>
            <w:tcW w:w="2413"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757"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413"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pPr>
        <w:spacing w:before="156" w:beforeLines="50"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说明：此表应放投标文件（综合标、商务标）封面后、目录前，填写页码与投标文件相对应，如因投标人填写有误造成扣分，由投标人自行负责。</w:t>
      </w:r>
    </w:p>
    <w:p>
      <w:pPr>
        <w:pStyle w:val="4"/>
        <w:spacing w:before="0" w:after="0" w:line="492" w:lineRule="exact"/>
        <w:jc w:val="center"/>
        <w:rPr>
          <w:rFonts w:ascii="仿宋" w:hAnsi="仿宋" w:eastAsia="仿宋" w:cs="仿宋"/>
          <w:b w:val="0"/>
          <w:sz w:val="36"/>
          <w:szCs w:val="36"/>
          <w:highlight w:val="none"/>
        </w:rPr>
      </w:pPr>
      <w:bookmarkStart w:id="330" w:name="_Toc336091355"/>
      <w:bookmarkStart w:id="331" w:name="_Toc361650145"/>
      <w:bookmarkStart w:id="332" w:name="_Toc184635137"/>
      <w:r>
        <w:rPr>
          <w:rFonts w:hint="eastAsia" w:ascii="仿宋" w:hAnsi="仿宋" w:eastAsia="仿宋" w:cs="仿宋"/>
          <w:b w:val="0"/>
          <w:sz w:val="36"/>
          <w:szCs w:val="36"/>
          <w:highlight w:val="none"/>
        </w:rPr>
        <w:br w:type="page"/>
      </w:r>
      <w:bookmarkStart w:id="333" w:name="_Toc499379034"/>
      <w:bookmarkStart w:id="334" w:name="_Toc499378912"/>
      <w:r>
        <w:rPr>
          <w:rFonts w:hint="eastAsia" w:ascii="仿宋" w:hAnsi="仿宋" w:eastAsia="仿宋" w:cs="仿宋"/>
          <w:b w:val="0"/>
          <w:sz w:val="36"/>
          <w:szCs w:val="36"/>
          <w:highlight w:val="none"/>
        </w:rPr>
        <w:t>目  录</w:t>
      </w:r>
      <w:bookmarkEnd w:id="330"/>
      <w:bookmarkEnd w:id="331"/>
      <w:bookmarkEnd w:id="332"/>
      <w:bookmarkEnd w:id="333"/>
      <w:bookmarkEnd w:id="334"/>
    </w:p>
    <w:p>
      <w:pPr>
        <w:spacing w:line="492" w:lineRule="exact"/>
        <w:rPr>
          <w:rFonts w:ascii="仿宋" w:hAnsi="仿宋" w:eastAsia="仿宋" w:cs="仿宋"/>
          <w:sz w:val="28"/>
          <w:szCs w:val="28"/>
          <w:highlight w:val="none"/>
        </w:rPr>
      </w:pP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一、投标函及投标函附录（商务标）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二、法定代表人身份证明（综合标）</w:t>
      </w:r>
    </w:p>
    <w:p>
      <w:pPr>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三、授权委托书（综合标）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四、投标保证金（综合标）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五、已标价的工程量清单（商务标）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六、施工组织设计（技术标）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七、项目管理机构（综合标）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八、资格审查资料（综合标）</w:t>
      </w:r>
    </w:p>
    <w:p>
      <w:pPr>
        <w:widowControl/>
        <w:tabs>
          <w:tab w:val="left" w:pos="1380"/>
        </w:tabs>
        <w:spacing w:line="560" w:lineRule="exact"/>
        <w:ind w:firstLine="1560" w:firstLineChars="650"/>
        <w:jc w:val="left"/>
        <w:rPr>
          <w:rFonts w:ascii="仿宋" w:hAnsi="仿宋" w:eastAsia="仿宋" w:cs="仿宋"/>
          <w:sz w:val="28"/>
          <w:szCs w:val="28"/>
          <w:highlight w:val="none"/>
        </w:rPr>
      </w:pPr>
      <w:r>
        <w:rPr>
          <w:rFonts w:hint="eastAsia" w:ascii="仿宋" w:hAnsi="仿宋" w:eastAsia="仿宋" w:cs="仿宋"/>
          <w:sz w:val="24"/>
          <w:highlight w:val="none"/>
        </w:rPr>
        <w:t>九、其他材料（综合标）</w:t>
      </w:r>
    </w:p>
    <w:p>
      <w:pPr>
        <w:pStyle w:val="4"/>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35" w:name="_Toc499378913"/>
      <w:bookmarkStart w:id="336" w:name="_Toc499379035"/>
      <w:r>
        <w:rPr>
          <w:rFonts w:hint="eastAsia" w:ascii="仿宋" w:hAnsi="仿宋" w:eastAsia="仿宋" w:cs="仿宋"/>
          <w:highlight w:val="none"/>
        </w:rPr>
        <w:t>一、投标函及投标函附录</w:t>
      </w:r>
      <w:bookmarkEnd w:id="335"/>
      <w:bookmarkEnd w:id="336"/>
    </w:p>
    <w:p>
      <w:pPr>
        <w:pStyle w:val="5"/>
        <w:numPr>
          <w:ilvl w:val="0"/>
          <w:numId w:val="0"/>
        </w:numPr>
        <w:spacing w:before="0" w:after="0" w:line="440" w:lineRule="exact"/>
        <w:jc w:val="center"/>
        <w:rPr>
          <w:rFonts w:ascii="仿宋" w:hAnsi="仿宋" w:eastAsia="仿宋" w:cs="仿宋"/>
          <w:sz w:val="28"/>
          <w:szCs w:val="28"/>
          <w:highlight w:val="none"/>
        </w:rPr>
      </w:pPr>
      <w:bookmarkStart w:id="337" w:name="_Toc499379036"/>
      <w:bookmarkStart w:id="338" w:name="_Toc499378914"/>
      <w:r>
        <w:rPr>
          <w:rFonts w:hint="eastAsia" w:ascii="仿宋" w:hAnsi="仿宋" w:eastAsia="仿宋" w:cs="仿宋"/>
          <w:sz w:val="28"/>
          <w:szCs w:val="28"/>
          <w:highlight w:val="none"/>
        </w:rPr>
        <w:t>（一）投 标 函</w:t>
      </w:r>
      <w:bookmarkEnd w:id="337"/>
      <w:bookmarkEnd w:id="338"/>
    </w:p>
    <w:p>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（招标人名称）：</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1．我方己仔细研究了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项目名称）（标段名称）招标文件的全部内容，愿意以人民币（大写）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的投标总报价，工期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日历天，按合同约定实施和完成承包工程，修补工程中的任何缺陷，工程质量达到。</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2．我方承诺在投标有效期内不修改、撤销投标文件。</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3．随同本投标函提交投标保证金一份，金额为人民币（大写）</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4．如我方中标：</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(l）我方承诺在收到中标通知书后，在中标通知书规定的期限内与你方签订合同。</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(2）随同本投标函递交的投标函附录属于合同文件的组成部分。</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(3）我方承诺按照招标文件规定向你方递交履约担保。</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(4）我方承诺在合同约定的期限内完成并移交全部合同工程。</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(5）我方承诺：若我方提交的“已标价工程量清单”中存在漏项或未填写的单价和合价等情况，视为已包括在工程量清单的其它单价和合价中，不得作为以后工程量变更增加投资的因素。</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5．我方在此声明，所递交的投标文件及有关资料内容完整、真实和准确，且不存在第二章“投标人须知”第1.4.3 项规定的任何一种情形。</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6．（其它补充说明）</w:t>
      </w:r>
    </w:p>
    <w:p>
      <w:pPr>
        <w:spacing w:line="400" w:lineRule="exact"/>
        <w:ind w:firstLine="480" w:firstLineChars="200"/>
        <w:rPr>
          <w:rFonts w:ascii="仿宋" w:hAnsi="仿宋" w:eastAsia="仿宋" w:cs="仿宋"/>
          <w:sz w:val="24"/>
          <w:szCs w:val="24"/>
          <w:highlight w:val="none"/>
        </w:rPr>
      </w:pP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投标人：（盖单位章）</w:t>
      </w:r>
    </w:p>
    <w:p>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法定代表人或其委托代理人（签字）：</w:t>
      </w:r>
    </w:p>
    <w:p>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地  址：</w:t>
      </w: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电  话：</w:t>
      </w: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传  真：</w:t>
      </w: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邮政编码：</w:t>
      </w:r>
    </w:p>
    <w:p>
      <w:pPr>
        <w:spacing w:before="156" w:beforeLines="50" w:line="400" w:lineRule="exact"/>
        <w:ind w:right="482" w:firstLine="3600" w:firstLineChars="1500"/>
        <w:jc w:val="center"/>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pStyle w:val="5"/>
        <w:numPr>
          <w:ilvl w:val="0"/>
          <w:numId w:val="0"/>
        </w:numPr>
        <w:spacing w:before="0" w:after="0"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339" w:name="_Toc499379037"/>
      <w:bookmarkStart w:id="340" w:name="_Toc499378915"/>
      <w:r>
        <w:rPr>
          <w:rFonts w:hint="eastAsia" w:ascii="仿宋" w:hAnsi="仿宋" w:eastAsia="仿宋" w:cs="仿宋"/>
          <w:sz w:val="24"/>
          <w:szCs w:val="24"/>
          <w:highlight w:val="none"/>
        </w:rPr>
        <w:t>（二）投标函附录</w:t>
      </w:r>
      <w:bookmarkEnd w:id="339"/>
      <w:bookmarkEnd w:id="340"/>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条款名称</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合同条款号</w:t>
            </w:r>
          </w:p>
        </w:tc>
        <w:tc>
          <w:tcPr>
            <w:tcW w:w="2834"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约定内容</w:t>
            </w:r>
          </w:p>
        </w:tc>
        <w:tc>
          <w:tcPr>
            <w:tcW w:w="1298"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1.1.2.4</w:t>
            </w:r>
          </w:p>
        </w:tc>
        <w:tc>
          <w:tcPr>
            <w:tcW w:w="2834"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姓名：</w:t>
            </w: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投标工期</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1.1.4.3</w:t>
            </w:r>
          </w:p>
        </w:tc>
        <w:tc>
          <w:tcPr>
            <w:tcW w:w="2834"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天数：日历天</w:t>
            </w: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2457" w:type="dxa"/>
            <w:vAlign w:val="center"/>
          </w:tcPr>
          <w:p>
            <w:pPr>
              <w:spacing w:line="492" w:lineRule="exact"/>
              <w:jc w:val="center"/>
              <w:rPr>
                <w:rFonts w:ascii="仿宋" w:hAnsi="仿宋" w:eastAsia="仿宋" w:cs="仿宋"/>
                <w:sz w:val="24"/>
              </w:rPr>
            </w:pPr>
            <w:r>
              <w:rPr>
                <w:rFonts w:hint="eastAsia" w:ascii="仿宋" w:hAnsi="仿宋" w:eastAsia="仿宋" w:cs="仿宋"/>
                <w:sz w:val="24"/>
              </w:rPr>
              <w:t>缺陷责任期</w:t>
            </w:r>
          </w:p>
          <w:p>
            <w:pPr>
              <w:spacing w:line="492" w:lineRule="exact"/>
              <w:jc w:val="center"/>
              <w:rPr>
                <w:rFonts w:ascii="仿宋" w:hAnsi="仿宋" w:eastAsia="仿宋" w:cs="仿宋"/>
                <w:sz w:val="24"/>
                <w:highlight w:val="none"/>
              </w:rPr>
            </w:pPr>
            <w:r>
              <w:rPr>
                <w:rFonts w:hint="eastAsia" w:ascii="仿宋" w:hAnsi="仿宋" w:eastAsia="仿宋" w:cs="仿宋"/>
                <w:sz w:val="24"/>
              </w:rPr>
              <w:t>（工程质量保修期）</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1.1.4.5</w:t>
            </w:r>
          </w:p>
        </w:tc>
        <w:tc>
          <w:tcPr>
            <w:tcW w:w="2834" w:type="dxa"/>
            <w:vAlign w:val="center"/>
          </w:tcPr>
          <w:p>
            <w:pPr>
              <w:spacing w:line="492" w:lineRule="exact"/>
              <w:jc w:val="center"/>
              <w:rPr>
                <w:rFonts w:ascii="仿宋" w:hAnsi="仿宋" w:eastAsia="仿宋" w:cs="仿宋"/>
                <w:sz w:val="24"/>
                <w:highlight w:val="none"/>
              </w:rPr>
            </w:pP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分包</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4.3.4</w:t>
            </w:r>
          </w:p>
        </w:tc>
        <w:tc>
          <w:tcPr>
            <w:tcW w:w="2834" w:type="dxa"/>
            <w:vAlign w:val="center"/>
          </w:tcPr>
          <w:p>
            <w:pPr>
              <w:spacing w:line="492" w:lineRule="exact"/>
              <w:jc w:val="center"/>
              <w:rPr>
                <w:rFonts w:ascii="仿宋" w:hAnsi="仿宋" w:eastAsia="仿宋" w:cs="仿宋"/>
                <w:sz w:val="24"/>
                <w:highlight w:val="none"/>
              </w:rPr>
            </w:pPr>
          </w:p>
        </w:tc>
        <w:tc>
          <w:tcPr>
            <w:tcW w:w="1298" w:type="dxa"/>
            <w:vAlign w:val="center"/>
          </w:tcPr>
          <w:p>
            <w:pPr>
              <w:spacing w:line="492" w:lineRule="exact"/>
              <w:jc w:val="center"/>
              <w:rPr>
                <w:rFonts w:ascii="仿宋" w:hAnsi="仿宋" w:eastAsia="仿宋" w:cs="仿宋"/>
                <w:sz w:val="24"/>
                <w:highlight w:val="none"/>
              </w:rPr>
            </w:pPr>
          </w:p>
        </w:tc>
      </w:tr>
      <w:tr>
        <w:tblPrEx>
          <w:tblCellMar>
            <w:top w:w="0" w:type="dxa"/>
            <w:left w:w="108" w:type="dxa"/>
            <w:bottom w:w="0" w:type="dxa"/>
            <w:right w:w="108" w:type="dxa"/>
          </w:tblCellMar>
        </w:tblPrEx>
        <w:trPr>
          <w:trHeight w:val="402" w:hRule="atLeast"/>
          <w:jc w:val="center"/>
        </w:trPr>
        <w:tc>
          <w:tcPr>
            <w:tcW w:w="860" w:type="dxa"/>
            <w:vAlign w:val="center"/>
          </w:tcPr>
          <w:p>
            <w:pPr>
              <w:spacing w:line="492" w:lineRule="exact"/>
              <w:jc w:val="center"/>
              <w:rPr>
                <w:rFonts w:ascii="仿宋" w:hAnsi="仿宋" w:eastAsia="仿宋" w:cs="仿宋"/>
                <w:sz w:val="24"/>
                <w:highlight w:val="none"/>
              </w:rPr>
            </w:pPr>
          </w:p>
        </w:tc>
        <w:tc>
          <w:tcPr>
            <w:tcW w:w="2457" w:type="dxa"/>
            <w:vAlign w:val="center"/>
          </w:tcPr>
          <w:p>
            <w:pPr>
              <w:spacing w:line="492" w:lineRule="exact"/>
              <w:jc w:val="center"/>
              <w:rPr>
                <w:rFonts w:ascii="仿宋" w:hAnsi="仿宋" w:eastAsia="仿宋" w:cs="仿宋"/>
                <w:sz w:val="24"/>
                <w:highlight w:val="none"/>
              </w:rPr>
            </w:pPr>
          </w:p>
        </w:tc>
        <w:tc>
          <w:tcPr>
            <w:tcW w:w="1623" w:type="dxa"/>
            <w:vAlign w:val="center"/>
          </w:tcPr>
          <w:p>
            <w:pPr>
              <w:spacing w:line="492" w:lineRule="exact"/>
              <w:jc w:val="center"/>
              <w:rPr>
                <w:rFonts w:ascii="仿宋" w:hAnsi="仿宋" w:eastAsia="仿宋" w:cs="仿宋"/>
                <w:sz w:val="24"/>
                <w:highlight w:val="none"/>
              </w:rPr>
            </w:pPr>
          </w:p>
        </w:tc>
        <w:tc>
          <w:tcPr>
            <w:tcW w:w="2834" w:type="dxa"/>
            <w:vAlign w:val="center"/>
          </w:tcPr>
          <w:p>
            <w:pPr>
              <w:spacing w:line="492" w:lineRule="exact"/>
              <w:jc w:val="center"/>
              <w:rPr>
                <w:rFonts w:ascii="仿宋" w:hAnsi="仿宋" w:eastAsia="仿宋" w:cs="仿宋"/>
                <w:sz w:val="24"/>
                <w:highlight w:val="none"/>
              </w:rPr>
            </w:pP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pPr>
              <w:spacing w:line="492" w:lineRule="exact"/>
              <w:jc w:val="center"/>
              <w:rPr>
                <w:rFonts w:ascii="仿宋" w:hAnsi="仿宋" w:eastAsia="仿宋" w:cs="仿宋"/>
                <w:sz w:val="24"/>
                <w:highlight w:val="none"/>
              </w:rPr>
            </w:pPr>
          </w:p>
        </w:tc>
      </w:tr>
      <w:tr>
        <w:tblPrEx>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pPr>
              <w:spacing w:line="492" w:lineRule="exact"/>
              <w:jc w:val="center"/>
              <w:rPr>
                <w:rFonts w:ascii="仿宋" w:hAnsi="仿宋" w:eastAsia="仿宋" w:cs="仿宋"/>
                <w:sz w:val="24"/>
                <w:highlight w:val="none"/>
              </w:rPr>
            </w:pPr>
          </w:p>
        </w:tc>
      </w:tr>
    </w:tbl>
    <w:p>
      <w:pPr>
        <w:spacing w:line="492" w:lineRule="exact"/>
        <w:rPr>
          <w:rFonts w:ascii="仿宋" w:hAnsi="仿宋" w:eastAsia="仿宋" w:cs="仿宋"/>
          <w:sz w:val="28"/>
          <w:szCs w:val="28"/>
          <w:highlight w:val="none"/>
        </w:rPr>
      </w:pPr>
    </w:p>
    <w:p>
      <w:pPr>
        <w:spacing w:line="492" w:lineRule="exact"/>
        <w:ind w:firstLine="4200" w:firstLineChars="1500"/>
        <w:rPr>
          <w:rFonts w:ascii="仿宋" w:hAnsi="仿宋" w:eastAsia="仿宋" w:cs="仿宋"/>
          <w:sz w:val="28"/>
          <w:szCs w:val="28"/>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40" w:lineRule="exact"/>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pPr>
        <w:spacing w:line="440" w:lineRule="exact"/>
        <w:ind w:firstLine="3600" w:firstLineChars="1500"/>
        <w:jc w:val="right"/>
        <w:rPr>
          <w:rFonts w:ascii="仿宋" w:hAnsi="仿宋" w:eastAsia="仿宋" w:cs="仿宋"/>
          <w:sz w:val="24"/>
          <w:highlight w:val="none"/>
          <w:u w:val="single"/>
        </w:rPr>
      </w:pPr>
    </w:p>
    <w:p>
      <w:pPr>
        <w:spacing w:line="440" w:lineRule="exact"/>
        <w:jc w:val="center"/>
        <w:rPr>
          <w:rFonts w:ascii="仿宋" w:hAnsi="仿宋" w:eastAsia="仿宋" w:cs="仿宋"/>
          <w:sz w:val="24"/>
          <w:highlight w:val="none"/>
        </w:rPr>
      </w:pPr>
      <w:r>
        <w:rPr>
          <w:rFonts w:hint="eastAsia" w:ascii="仿宋" w:hAnsi="仿宋" w:eastAsia="仿宋" w:cs="仿宋"/>
          <w:sz w:val="24"/>
          <w:highlight w:val="none"/>
        </w:rPr>
        <w:t>年  月  日</w:t>
      </w:r>
    </w:p>
    <w:p>
      <w:pPr>
        <w:spacing w:line="440" w:lineRule="exact"/>
        <w:ind w:firstLine="480" w:firstLineChars="200"/>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注：1、《投标函及投标函附录》应另制作一份开标时使用（内另附投标保证金凭证复印），递交投标文件一起递交，投标人未递交的视为无效投标；</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2、《投标函及投标函附录》中的内容必须与投标人的投标文件的内容相一致，否则为无效投标。</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3、《投标函及投标函附录》用牛皮纸信封单独密封，在投标截止时间前单独递交。信封上应写明招标人或招标代理机构名称、工程名称、投标人名称，信封骑缝处加盖单位公章和法定代表人(或委托代理人)印鉴。</w:t>
      </w:r>
    </w:p>
    <w:p>
      <w:pPr>
        <w:pStyle w:val="4"/>
        <w:spacing w:before="0" w:after="156" w:afterLines="50" w:line="240" w:lineRule="auto"/>
        <w:ind w:left="567"/>
        <w:jc w:val="center"/>
        <w:rPr>
          <w:rFonts w:ascii="仿宋" w:hAnsi="仿宋" w:eastAsia="仿宋" w:cs="仿宋"/>
          <w:highlight w:val="none"/>
        </w:rPr>
      </w:pPr>
      <w:bookmarkStart w:id="341" w:name="_Toc499379038"/>
      <w:bookmarkStart w:id="342" w:name="_Toc499378916"/>
      <w:r>
        <w:rPr>
          <w:rFonts w:hint="eastAsia" w:ascii="仿宋" w:hAnsi="仿宋" w:eastAsia="仿宋" w:cs="仿宋"/>
          <w:highlight w:val="none"/>
        </w:rPr>
        <w:t>二、法定代表人身份证明</w:t>
      </w:r>
      <w:bookmarkEnd w:id="341"/>
      <w:bookmarkEnd w:id="342"/>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投标人名称：</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单位性质：</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地址：</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成立时间：年月日</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经营期限：</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姓名：性别：年龄：职务：</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系（投标人名称）的法定代表人。</w:t>
      </w:r>
    </w:p>
    <w:p>
      <w:pPr>
        <w:spacing w:line="560" w:lineRule="exact"/>
        <w:rPr>
          <w:rFonts w:ascii="仿宋" w:hAnsi="仿宋" w:eastAsia="仿宋" w:cs="仿宋"/>
          <w:sz w:val="24"/>
          <w:highlight w:val="none"/>
        </w:rPr>
      </w:pPr>
    </w:p>
    <w:p>
      <w:pPr>
        <w:spacing w:line="560" w:lineRule="exact"/>
        <w:rPr>
          <w:rFonts w:ascii="仿宋" w:hAnsi="仿宋" w:eastAsia="仿宋" w:cs="仿宋"/>
          <w:sz w:val="24"/>
          <w:highlight w:val="none"/>
        </w:rPr>
      </w:pPr>
      <w:r>
        <w:rPr>
          <w:rFonts w:hint="eastAsia" w:ascii="仿宋" w:hAnsi="仿宋" w:eastAsia="仿宋" w:cs="仿宋"/>
          <w:sz w:val="24"/>
          <w:highlight w:val="none"/>
        </w:rPr>
        <w:t>特此证明。</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附：法定代表人身份证复印件</w:t>
      </w:r>
    </w:p>
    <w:p>
      <w:pPr>
        <w:spacing w:line="492" w:lineRule="exact"/>
        <w:rPr>
          <w:rFonts w:ascii="仿宋" w:hAnsi="仿宋" w:eastAsia="仿宋" w:cs="仿宋"/>
          <w:sz w:val="24"/>
          <w:highlight w:val="none"/>
        </w:rPr>
      </w:pPr>
    </w:p>
    <w:tbl>
      <w:tblPr>
        <w:tblStyle w:val="15"/>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法定代表人身份证复印件</w:t>
            </w:r>
          </w:p>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tc>
      </w:tr>
    </w:tbl>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92" w:lineRule="exact"/>
        <w:ind w:right="480" w:firstLine="3600" w:firstLineChars="1500"/>
        <w:jc w:val="center"/>
        <w:rPr>
          <w:rFonts w:ascii="仿宋" w:hAnsi="仿宋" w:eastAsia="仿宋" w:cs="仿宋"/>
          <w:sz w:val="24"/>
          <w:highlight w:val="none"/>
          <w:u w:val="single"/>
        </w:rPr>
      </w:pPr>
    </w:p>
    <w:p>
      <w:pPr>
        <w:spacing w:line="492" w:lineRule="exact"/>
        <w:ind w:right="480" w:firstLine="3600" w:firstLineChars="1500"/>
        <w:jc w:val="center"/>
        <w:rPr>
          <w:rFonts w:ascii="仿宋" w:hAnsi="仿宋" w:eastAsia="仿宋" w:cs="仿宋"/>
          <w:sz w:val="24"/>
          <w:highlight w:val="none"/>
        </w:rPr>
      </w:pPr>
      <w:r>
        <w:rPr>
          <w:rFonts w:hint="eastAsia" w:ascii="仿宋" w:hAnsi="仿宋" w:eastAsia="仿宋" w:cs="仿宋"/>
          <w:sz w:val="24"/>
          <w:highlight w:val="none"/>
        </w:rPr>
        <w:t>年  月   日</w:t>
      </w:r>
    </w:p>
    <w:p>
      <w:pPr>
        <w:pStyle w:val="4"/>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43" w:name="_Toc499379039"/>
      <w:bookmarkStart w:id="344" w:name="_Toc499378917"/>
      <w:r>
        <w:rPr>
          <w:rFonts w:hint="eastAsia" w:ascii="仿宋" w:hAnsi="仿宋" w:eastAsia="仿宋" w:cs="仿宋"/>
          <w:highlight w:val="none"/>
        </w:rPr>
        <w:t>三、授权委托书</w:t>
      </w:r>
      <w:bookmarkEnd w:id="343"/>
      <w:bookmarkEnd w:id="344"/>
    </w:p>
    <w:p>
      <w:pPr>
        <w:rPr>
          <w:rFonts w:ascii="仿宋" w:hAnsi="仿宋" w:eastAsia="仿宋" w:cs="仿宋"/>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人（姓名）系（投标人名称）的法定代表人，现委托为我方代理人。代理人根据授权，以我方名义签署、澄清、说明、补正、递交、撤回、修改（项目名称）投标文件、签订合同和处理有关事宜，其法律后果由我方承担。</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委托期限： 。</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代理人无转委托权。</w:t>
      </w:r>
    </w:p>
    <w:p>
      <w:pPr>
        <w:spacing w:after="156" w:afterLines="50"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附：委托代理人身份证明</w:t>
      </w:r>
    </w:p>
    <w:tbl>
      <w:tblPr>
        <w:tblStyle w:val="15"/>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pPr>
              <w:spacing w:line="492" w:lineRule="exact"/>
              <w:ind w:left="420" w:leftChars="200"/>
              <w:jc w:val="center"/>
              <w:rPr>
                <w:rFonts w:ascii="仿宋" w:hAnsi="仿宋" w:eastAsia="仿宋" w:cs="仿宋"/>
                <w:sz w:val="24"/>
                <w:highlight w:val="none"/>
              </w:rPr>
            </w:pPr>
            <w:r>
              <w:rPr>
                <w:rFonts w:hint="eastAsia" w:ascii="仿宋" w:hAnsi="仿宋" w:eastAsia="仿宋" w:cs="仿宋"/>
                <w:sz w:val="24"/>
                <w:highlight w:val="none"/>
              </w:rPr>
              <w:t>委托代理人身份证复印件</w:t>
            </w:r>
          </w:p>
        </w:tc>
      </w:tr>
    </w:tbl>
    <w:p>
      <w:pPr>
        <w:spacing w:line="440" w:lineRule="exact"/>
        <w:ind w:firstLine="480" w:firstLineChars="200"/>
        <w:rPr>
          <w:rFonts w:ascii="仿宋" w:hAnsi="仿宋" w:eastAsia="仿宋" w:cs="仿宋"/>
          <w:sz w:val="24"/>
          <w:highlight w:val="none"/>
        </w:rPr>
      </w:pPr>
    </w:p>
    <w:p>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投标人（盖单位章）：</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法定代表人（签字）：</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委托代理人（签字）：</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pPr>
        <w:spacing w:line="440" w:lineRule="exact"/>
        <w:ind w:firstLine="480" w:firstLineChars="200"/>
        <w:rPr>
          <w:rFonts w:ascii="仿宋" w:hAnsi="仿宋" w:eastAsia="仿宋" w:cs="仿宋"/>
          <w:sz w:val="24"/>
          <w:highlight w:val="none"/>
        </w:rPr>
      </w:pPr>
    </w:p>
    <w:p>
      <w:pPr>
        <w:spacing w:line="440" w:lineRule="exact"/>
        <w:ind w:firstLine="480" w:firstLineChars="200"/>
        <w:jc w:val="right"/>
        <w:rPr>
          <w:rFonts w:ascii="仿宋" w:hAnsi="仿宋" w:eastAsia="仿宋" w:cs="仿宋"/>
          <w:sz w:val="24"/>
          <w:highlight w:val="none"/>
        </w:rPr>
      </w:pPr>
      <w:r>
        <w:rPr>
          <w:rFonts w:hint="eastAsia" w:ascii="仿宋" w:hAnsi="仿宋" w:eastAsia="仿宋" w:cs="仿宋"/>
          <w:sz w:val="24"/>
          <w:highlight w:val="none"/>
        </w:rPr>
        <w:t>年月日</w:t>
      </w:r>
    </w:p>
    <w:p>
      <w:pPr>
        <w:spacing w:line="440" w:lineRule="exact"/>
        <w:ind w:right="240"/>
        <w:rPr>
          <w:rFonts w:ascii="仿宋" w:hAnsi="仿宋" w:eastAsia="仿宋" w:cs="仿宋"/>
          <w:sz w:val="24"/>
          <w:highlight w:val="none"/>
        </w:rPr>
      </w:pPr>
    </w:p>
    <w:p>
      <w:pPr>
        <w:spacing w:line="440" w:lineRule="exact"/>
        <w:ind w:right="240"/>
        <w:rPr>
          <w:rFonts w:ascii="仿宋" w:hAnsi="仿宋" w:eastAsia="仿宋" w:cs="仿宋"/>
          <w:sz w:val="24"/>
          <w:highlight w:val="none"/>
        </w:rPr>
      </w:pPr>
    </w:p>
    <w:p>
      <w:pPr>
        <w:spacing w:line="440" w:lineRule="exact"/>
        <w:ind w:right="240"/>
        <w:rPr>
          <w:rFonts w:ascii="仿宋" w:hAnsi="仿宋" w:eastAsia="仿宋" w:cs="仿宋"/>
          <w:sz w:val="24"/>
          <w:highlight w:val="none"/>
        </w:rPr>
      </w:pPr>
    </w:p>
    <w:p>
      <w:pPr>
        <w:spacing w:line="480" w:lineRule="auto"/>
        <w:rPr>
          <w:rFonts w:ascii="仿宋" w:hAnsi="仿宋" w:eastAsia="仿宋" w:cs="仿宋"/>
          <w:sz w:val="24"/>
          <w:highlight w:val="none"/>
        </w:rPr>
      </w:pPr>
      <w:bookmarkStart w:id="345" w:name="_Toc361650146"/>
      <w:r>
        <w:rPr>
          <w:rFonts w:hint="eastAsia" w:ascii="仿宋" w:hAnsi="仿宋" w:eastAsia="仿宋" w:cs="仿宋"/>
          <w:highlight w:val="none"/>
        </w:rPr>
        <w:br w:type="page"/>
      </w:r>
      <w:bookmarkEnd w:id="345"/>
    </w:p>
    <w:p>
      <w:pPr>
        <w:pStyle w:val="4"/>
        <w:spacing w:before="0" w:after="156" w:afterLines="50" w:line="240" w:lineRule="auto"/>
        <w:ind w:left="567"/>
        <w:jc w:val="center"/>
        <w:rPr>
          <w:rFonts w:ascii="仿宋" w:hAnsi="仿宋" w:eastAsia="仿宋" w:cs="仿宋"/>
          <w:highlight w:val="none"/>
        </w:rPr>
      </w:pPr>
      <w:bookmarkStart w:id="346" w:name="_Toc499378919"/>
      <w:bookmarkStart w:id="347" w:name="_Toc499379041"/>
      <w:r>
        <w:rPr>
          <w:rFonts w:hint="eastAsia" w:ascii="仿宋" w:hAnsi="仿宋" w:eastAsia="仿宋" w:cs="仿宋"/>
          <w:highlight w:val="none"/>
          <w:lang w:val="en-US" w:eastAsia="zh-CN"/>
        </w:rPr>
        <w:t>四</w:t>
      </w:r>
      <w:r>
        <w:rPr>
          <w:rFonts w:hint="eastAsia" w:ascii="仿宋" w:hAnsi="仿宋" w:eastAsia="仿宋" w:cs="仿宋"/>
          <w:highlight w:val="none"/>
        </w:rPr>
        <w:t>、已标价的工程量清单</w:t>
      </w:r>
      <w:bookmarkEnd w:id="346"/>
      <w:bookmarkEnd w:id="347"/>
    </w:p>
    <w:p>
      <w:pPr>
        <w:pStyle w:val="8"/>
        <w:spacing w:line="500" w:lineRule="exact"/>
        <w:jc w:val="center"/>
        <w:rPr>
          <w:rFonts w:ascii="仿宋" w:hAnsi="仿宋" w:eastAsia="仿宋" w:cs="仿宋"/>
          <w:b/>
          <w:highlight w:val="none"/>
        </w:rPr>
      </w:pPr>
    </w:p>
    <w:p>
      <w:pPr>
        <w:pStyle w:val="8"/>
        <w:spacing w:line="500" w:lineRule="exact"/>
        <w:jc w:val="center"/>
        <w:rPr>
          <w:rFonts w:ascii="仿宋" w:hAnsi="仿宋" w:eastAsia="仿宋" w:cs="仿宋"/>
          <w:b/>
          <w:highlight w:val="none"/>
        </w:rPr>
      </w:pPr>
      <w:r>
        <w:rPr>
          <w:rFonts w:hint="eastAsia" w:ascii="仿宋" w:hAnsi="仿宋" w:eastAsia="仿宋" w:cs="仿宋"/>
          <w:b/>
          <w:highlight w:val="none"/>
        </w:rPr>
        <w:t>（封面）</w:t>
      </w: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jc w:val="center"/>
        <w:rPr>
          <w:rFonts w:ascii="仿宋" w:hAnsi="仿宋" w:eastAsia="仿宋" w:cs="仿宋"/>
          <w:b/>
          <w:sz w:val="30"/>
          <w:highlight w:val="none"/>
        </w:rPr>
      </w:pPr>
      <w:r>
        <w:rPr>
          <w:rFonts w:hint="eastAsia" w:ascii="仿宋" w:hAnsi="仿宋" w:eastAsia="仿宋" w:cs="仿宋"/>
          <w:b/>
          <w:sz w:val="30"/>
          <w:highlight w:val="none"/>
        </w:rPr>
        <w:t>____________________________工程</w:t>
      </w: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jc w:val="center"/>
        <w:rPr>
          <w:rFonts w:ascii="仿宋" w:hAnsi="仿宋" w:eastAsia="仿宋" w:cs="仿宋"/>
          <w:b/>
          <w:sz w:val="44"/>
          <w:highlight w:val="none"/>
        </w:rPr>
      </w:pPr>
      <w:r>
        <w:rPr>
          <w:rFonts w:hint="eastAsia" w:ascii="仿宋" w:hAnsi="仿宋" w:eastAsia="仿宋" w:cs="仿宋"/>
          <w:b/>
          <w:sz w:val="44"/>
          <w:highlight w:val="none"/>
        </w:rPr>
        <w:t xml:space="preserve">工 程 量 清 单 报 价 </w:t>
      </w: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  标  人：_________________________（盖章）</w:t>
      </w: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法定代表人：_________________________（签字）</w:t>
      </w: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造价工程师</w:t>
      </w: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及注册注号：_________________________（签字盖执业专用章）</w:t>
      </w: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编制时间：_________________________</w:t>
      </w:r>
    </w:p>
    <w:p>
      <w:pPr>
        <w:spacing w:line="440" w:lineRule="exact"/>
        <w:rPr>
          <w:rFonts w:ascii="仿宋" w:hAnsi="仿宋" w:eastAsia="仿宋" w:cs="仿宋"/>
          <w:sz w:val="30"/>
          <w:highlight w:val="none"/>
        </w:rPr>
      </w:pPr>
    </w:p>
    <w:p>
      <w:pPr>
        <w:rPr>
          <w:rFonts w:ascii="仿宋" w:hAnsi="仿宋" w:eastAsia="仿宋" w:cs="仿宋"/>
          <w:b/>
          <w:sz w:val="30"/>
          <w:highlight w:val="none"/>
        </w:rPr>
      </w:pPr>
      <w:bookmarkStart w:id="348" w:name="_Toc222027334"/>
      <w:bookmarkStart w:id="349" w:name="_Toc222027891"/>
      <w:r>
        <w:rPr>
          <w:rFonts w:hint="eastAsia" w:ascii="仿宋" w:hAnsi="仿宋" w:eastAsia="仿宋" w:cs="仿宋"/>
          <w:b/>
          <w:sz w:val="30"/>
          <w:highlight w:val="none"/>
        </w:rPr>
        <w:br w:type="page"/>
      </w:r>
    </w:p>
    <w:bookmarkEnd w:id="348"/>
    <w:bookmarkEnd w:id="349"/>
    <w:p>
      <w:pPr>
        <w:spacing w:line="440" w:lineRule="exact"/>
        <w:outlineLvl w:val="1"/>
        <w:rPr>
          <w:rFonts w:ascii="仿宋" w:hAnsi="仿宋" w:eastAsia="仿宋" w:cs="仿宋"/>
          <w:b/>
          <w:sz w:val="30"/>
          <w:highlight w:val="none"/>
        </w:rPr>
      </w:pPr>
      <w:bookmarkStart w:id="350" w:name="_Toc222027892"/>
      <w:bookmarkStart w:id="351" w:name="_Toc222027335"/>
    </w:p>
    <w:p>
      <w:pPr>
        <w:spacing w:line="440" w:lineRule="exact"/>
        <w:jc w:val="center"/>
        <w:outlineLvl w:val="1"/>
        <w:rPr>
          <w:rFonts w:ascii="仿宋" w:hAnsi="仿宋" w:eastAsia="仿宋" w:cs="仿宋"/>
          <w:b/>
          <w:sz w:val="30"/>
          <w:highlight w:val="none"/>
        </w:rPr>
      </w:pPr>
      <w:bookmarkStart w:id="352" w:name="_Toc499379042"/>
      <w:bookmarkStart w:id="353" w:name="_Toc499378920"/>
      <w:r>
        <w:rPr>
          <w:rFonts w:hint="eastAsia" w:ascii="仿宋" w:hAnsi="仿宋" w:eastAsia="仿宋" w:cs="仿宋"/>
          <w:b/>
          <w:sz w:val="30"/>
          <w:highlight w:val="none"/>
        </w:rPr>
        <w:t>投标总价</w:t>
      </w:r>
      <w:bookmarkEnd w:id="350"/>
      <w:bookmarkEnd w:id="351"/>
      <w:bookmarkEnd w:id="352"/>
      <w:bookmarkEnd w:id="353"/>
    </w:p>
    <w:p>
      <w:pPr>
        <w:spacing w:line="440" w:lineRule="exact"/>
        <w:ind w:firstLine="1205" w:firstLineChars="400"/>
        <w:rPr>
          <w:rFonts w:ascii="仿宋" w:hAnsi="仿宋" w:eastAsia="仿宋" w:cs="仿宋"/>
          <w:b/>
          <w:sz w:val="30"/>
          <w:highlight w:val="none"/>
        </w:rPr>
      </w:pPr>
    </w:p>
    <w:p>
      <w:pPr>
        <w:spacing w:line="440" w:lineRule="exact"/>
        <w:ind w:firstLine="1205" w:firstLineChars="400"/>
        <w:rPr>
          <w:rFonts w:ascii="仿宋" w:hAnsi="仿宋" w:eastAsia="仿宋" w:cs="仿宋"/>
          <w:b/>
          <w:sz w:val="30"/>
          <w:highlight w:val="none"/>
        </w:rPr>
      </w:pPr>
    </w:p>
    <w:p>
      <w:pPr>
        <w:spacing w:line="440" w:lineRule="exact"/>
        <w:ind w:firstLine="1205" w:firstLineChars="400"/>
        <w:rPr>
          <w:rFonts w:ascii="仿宋" w:hAnsi="仿宋" w:eastAsia="仿宋" w:cs="仿宋"/>
          <w:b/>
          <w:sz w:val="30"/>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建设单位：__________________________________________</w:t>
      </w:r>
    </w:p>
    <w:p>
      <w:pPr>
        <w:spacing w:line="440" w:lineRule="exact"/>
        <w:ind w:firstLine="1120" w:firstLineChars="400"/>
        <w:rPr>
          <w:rFonts w:ascii="仿宋" w:hAnsi="仿宋" w:eastAsia="仿宋" w:cs="仿宋"/>
          <w:sz w:val="28"/>
          <w:highlight w:val="none"/>
        </w:rPr>
      </w:pP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工程名称：__________________________________________</w:t>
      </w:r>
    </w:p>
    <w:p>
      <w:pPr>
        <w:spacing w:line="440" w:lineRule="exact"/>
        <w:ind w:firstLine="1120" w:firstLineChars="400"/>
        <w:rPr>
          <w:rFonts w:ascii="仿宋" w:hAnsi="仿宋" w:eastAsia="仿宋" w:cs="仿宋"/>
          <w:sz w:val="28"/>
          <w:highlight w:val="none"/>
        </w:rPr>
      </w:pP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投标总价（小写）：_________________________________</w:t>
      </w: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1120" w:firstLineChars="400"/>
        <w:rPr>
          <w:rFonts w:ascii="仿宋" w:hAnsi="仿宋" w:eastAsia="仿宋" w:cs="仿宋"/>
          <w:sz w:val="28"/>
          <w:highlight w:val="none"/>
        </w:rPr>
      </w:pPr>
      <w:r>
        <w:rPr>
          <w:rFonts w:hint="eastAsia" w:ascii="仿宋" w:hAnsi="仿宋" w:eastAsia="仿宋" w:cs="仿宋"/>
          <w:sz w:val="28"/>
          <w:highlight w:val="none"/>
        </w:rPr>
        <w:t xml:space="preserve">      （大写）：_________________________________</w:t>
      </w: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 xml:space="preserve">投  标  人：_________________________________（单位盖章）    </w:t>
      </w: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法定代表人：_________________________________（签字）</w:t>
      </w: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 制 时 间：_________________________________</w:t>
      </w:r>
    </w:p>
    <w:p>
      <w:pPr>
        <w:jc w:val="center"/>
        <w:rPr>
          <w:rFonts w:ascii="仿宋" w:hAnsi="仿宋" w:eastAsia="仿宋" w:cs="仿宋"/>
          <w:b/>
          <w:sz w:val="28"/>
          <w:highlight w:val="none"/>
        </w:rPr>
      </w:pPr>
      <w:r>
        <w:rPr>
          <w:rFonts w:hint="eastAsia" w:ascii="仿宋" w:hAnsi="仿宋" w:eastAsia="仿宋" w:cs="仿宋"/>
          <w:highlight w:val="none"/>
        </w:rPr>
        <w:br w:type="page"/>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 施工组织设计</w:t>
      </w:r>
    </w:p>
    <w:p>
      <w:pPr>
        <w:spacing w:line="492" w:lineRule="exact"/>
        <w:ind w:right="480"/>
        <w:rPr>
          <w:rFonts w:ascii="仿宋" w:hAnsi="仿宋" w:eastAsia="仿宋" w:cs="仿宋"/>
          <w:szCs w:val="32"/>
          <w:highlight w:val="none"/>
        </w:rPr>
      </w:pP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1．投标人应根据招标文件和对现场的勘察情况，采用文字并结合图表形式，按照中华人民共和国国家标准《建筑施工组织设计规范》（GB/T50502-2009）的要求编制本工程的施工组织设计，其要点如下：</w:t>
      </w:r>
    </w:p>
    <w:p>
      <w:pPr>
        <w:spacing w:line="420" w:lineRule="exact"/>
        <w:ind w:firstLine="420" w:firstLineChars="200"/>
        <w:rPr>
          <w:rFonts w:ascii="仿宋" w:hAnsi="仿宋" w:eastAsia="仿宋" w:cs="仿宋"/>
          <w:b/>
          <w:szCs w:val="21"/>
          <w:highlight w:val="none"/>
        </w:rPr>
      </w:pPr>
      <w:r>
        <w:rPr>
          <w:rFonts w:hint="eastAsia" w:ascii="仿宋" w:hAnsi="仿宋" w:eastAsia="仿宋" w:cs="仿宋"/>
          <w:szCs w:val="21"/>
          <w:highlight w:val="none"/>
        </w:rPr>
        <w:t>（1）</w:t>
      </w:r>
      <w:r>
        <w:rPr>
          <w:rFonts w:hint="eastAsia" w:ascii="仿宋" w:hAnsi="仿宋" w:eastAsia="仿宋" w:cs="仿宋"/>
          <w:b/>
          <w:szCs w:val="21"/>
          <w:highlight w:val="none"/>
        </w:rPr>
        <w:t>工程概况</w:t>
      </w:r>
    </w:p>
    <w:p>
      <w:pPr>
        <w:spacing w:line="420" w:lineRule="exact"/>
        <w:ind w:firstLine="945" w:firstLineChars="450"/>
        <w:rPr>
          <w:rFonts w:ascii="仿宋" w:hAnsi="仿宋" w:eastAsia="仿宋" w:cs="仿宋"/>
          <w:szCs w:val="21"/>
          <w:highlight w:val="none"/>
        </w:rPr>
      </w:pPr>
      <w:r>
        <w:rPr>
          <w:rFonts w:hint="eastAsia" w:ascii="仿宋" w:hAnsi="仿宋" w:eastAsia="仿宋" w:cs="仿宋"/>
          <w:szCs w:val="21"/>
          <w:highlight w:val="none"/>
        </w:rPr>
        <w:t>包括工程主要情况、各专业设计简介、工程施工条件等；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b/>
          <w:szCs w:val="21"/>
          <w:highlight w:val="none"/>
        </w:rPr>
        <w:t>施工部署</w:t>
      </w:r>
    </w:p>
    <w:p>
      <w:pPr>
        <w:spacing w:line="420" w:lineRule="exact"/>
        <w:ind w:left="962" w:leftChars="458"/>
        <w:rPr>
          <w:rFonts w:ascii="仿宋" w:hAnsi="仿宋" w:eastAsia="仿宋" w:cs="仿宋"/>
          <w:szCs w:val="21"/>
          <w:highlight w:val="none"/>
        </w:rPr>
      </w:pPr>
      <w:r>
        <w:rPr>
          <w:rFonts w:hint="eastAsia" w:ascii="仿宋" w:hAnsi="仿宋" w:eastAsia="仿宋" w:cs="仿宋"/>
          <w:szCs w:val="21"/>
          <w:highlight w:val="none"/>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b/>
          <w:szCs w:val="21"/>
          <w:highlight w:val="none"/>
        </w:rPr>
        <w:t>施工进度计划</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可采用网络图或横道图表示，并附必要说明，对于规模较大或较复杂的工程，宜采用网络图表示；</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b/>
          <w:szCs w:val="21"/>
          <w:highlight w:val="none"/>
        </w:rPr>
        <w:t>施工准备与资源配置计划</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施工准备包括技术准备、现场准备和资金准备；资源配置计划包括劳动力配置计划、主要工程材料和设备配置计划、主要周转材料和施工机具配置计划等；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（5）</w:t>
      </w:r>
      <w:r>
        <w:rPr>
          <w:rFonts w:hint="eastAsia" w:ascii="仿宋" w:hAnsi="仿宋" w:eastAsia="仿宋" w:cs="仿宋"/>
          <w:b/>
          <w:szCs w:val="21"/>
          <w:highlight w:val="none"/>
        </w:rPr>
        <w:t>主要施工方案</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对主要分部、分项工程制定施工方案；临时用水用电工程、季节性施工等专项工程所采用的施工方案进行必要的验算和说明；对易发生质量通病、易出现安全问题、施工难度大、技术含量高的分项工程（工序）等做出重点说明；</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（6）</w:t>
      </w:r>
      <w:r>
        <w:rPr>
          <w:rFonts w:hint="eastAsia" w:ascii="仿宋" w:hAnsi="仿宋" w:eastAsia="仿宋" w:cs="仿宋"/>
          <w:b/>
          <w:szCs w:val="21"/>
          <w:highlight w:val="none"/>
        </w:rPr>
        <w:t>施工现场平面布置</w:t>
      </w:r>
    </w:p>
    <w:p>
      <w:pPr>
        <w:spacing w:line="420" w:lineRule="exact"/>
        <w:ind w:left="899" w:leftChars="428"/>
        <w:rPr>
          <w:rFonts w:ascii="仿宋" w:hAnsi="仿宋" w:eastAsia="仿宋" w:cs="仿宋"/>
          <w:szCs w:val="21"/>
          <w:highlight w:val="none"/>
        </w:rPr>
      </w:pPr>
      <w:r>
        <w:rPr>
          <w:rFonts w:hint="eastAsia" w:ascii="仿宋" w:hAnsi="仿宋" w:eastAsia="仿宋" w:cs="仿宋"/>
          <w:szCs w:val="21"/>
          <w:highlight w:val="none"/>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（7）</w:t>
      </w:r>
      <w:r>
        <w:rPr>
          <w:rFonts w:hint="eastAsia" w:ascii="仿宋" w:hAnsi="仿宋" w:eastAsia="仿宋" w:cs="仿宋"/>
          <w:b/>
          <w:szCs w:val="21"/>
          <w:highlight w:val="none"/>
        </w:rPr>
        <w:t>主要施工管理计划</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2．施工组织设计除采用文字表述外可附下列图表，图表及格式要求附后。下述表格应按照章节内容，严格按给定的格式附在相应的章节中。</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附表一  拟投入本工程的主要施工设备表</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附表二  拟配备本工程的试验和检测仪器设备表</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附表三  劳动力计划表</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附表四  计划开、竣工日期和施工进度网络图</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附表五  施工总平面图</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附表六  临时用地表</w:t>
      </w:r>
    </w:p>
    <w:p>
      <w:pPr>
        <w:pStyle w:val="25"/>
        <w:rPr>
          <w:rFonts w:ascii="仿宋" w:hAnsi="仿宋" w:eastAsia="仿宋" w:cs="仿宋"/>
          <w:szCs w:val="24"/>
          <w:highlight w:val="none"/>
        </w:rPr>
      </w:pPr>
      <w:r>
        <w:rPr>
          <w:rFonts w:hint="eastAsia" w:ascii="仿宋" w:hAnsi="仿宋" w:eastAsia="仿宋" w:cs="仿宋"/>
          <w:b/>
          <w:szCs w:val="24"/>
          <w:highlight w:val="none"/>
        </w:rPr>
        <w:br w:type="page"/>
      </w:r>
      <w:bookmarkStart w:id="354" w:name="_Toc499379043"/>
      <w:bookmarkStart w:id="355" w:name="_Toc456557368"/>
      <w:bookmarkStart w:id="356" w:name="_Toc499378921"/>
      <w:r>
        <w:rPr>
          <w:rFonts w:hint="eastAsia" w:ascii="仿宋" w:hAnsi="仿宋" w:eastAsia="仿宋" w:cs="仿宋"/>
          <w:szCs w:val="24"/>
          <w:highlight w:val="none"/>
        </w:rPr>
        <w:t>附表一：拟投入本工程的主要施工设备表</w:t>
      </w:r>
      <w:bookmarkEnd w:id="354"/>
      <w:bookmarkEnd w:id="355"/>
      <w:bookmarkEnd w:id="356"/>
    </w:p>
    <w:tbl>
      <w:tblPr>
        <w:tblStyle w:val="1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设备名称</w:t>
            </w:r>
          </w:p>
        </w:tc>
        <w:tc>
          <w:tcPr>
            <w:tcW w:w="6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型号</w:t>
            </w:r>
          </w:p>
          <w:p>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国别</w:t>
            </w:r>
          </w:p>
          <w:p>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制造</w:t>
            </w:r>
          </w:p>
          <w:p>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额定功率</w:t>
            </w:r>
          </w:p>
          <w:p>
            <w:pPr>
              <w:jc w:val="center"/>
              <w:rPr>
                <w:rFonts w:ascii="仿宋" w:hAnsi="仿宋" w:eastAsia="仿宋" w:cs="仿宋"/>
                <w:szCs w:val="21"/>
                <w:highlight w:val="none"/>
              </w:rPr>
            </w:pPr>
            <w:r>
              <w:rPr>
                <w:rFonts w:hint="eastAsia" w:ascii="仿宋" w:hAnsi="仿宋" w:eastAsia="仿宋" w:cs="仿宋"/>
                <w:szCs w:val="21"/>
                <w:highlight w:val="none"/>
              </w:rPr>
              <w:t>（KW）</w:t>
            </w:r>
          </w:p>
        </w:tc>
        <w:tc>
          <w:tcPr>
            <w:tcW w:w="8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生产</w:t>
            </w:r>
          </w:p>
          <w:p>
            <w:pPr>
              <w:jc w:val="center"/>
              <w:rPr>
                <w:rFonts w:ascii="仿宋" w:hAnsi="仿宋" w:eastAsia="仿宋" w:cs="仿宋"/>
                <w:szCs w:val="21"/>
                <w:highlight w:val="none"/>
              </w:rPr>
            </w:pPr>
            <w:r>
              <w:rPr>
                <w:rFonts w:hint="eastAsia" w:ascii="仿宋" w:hAnsi="仿宋" w:eastAsia="仿宋" w:cs="仿宋"/>
                <w:szCs w:val="21"/>
                <w:highlight w:val="none"/>
              </w:rPr>
              <w:t>能力</w:t>
            </w:r>
          </w:p>
        </w:tc>
        <w:tc>
          <w:tcPr>
            <w:tcW w:w="8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用于施</w:t>
            </w:r>
          </w:p>
          <w:p>
            <w:pPr>
              <w:jc w:val="center"/>
              <w:rPr>
                <w:rFonts w:ascii="仿宋" w:hAnsi="仿宋" w:eastAsia="仿宋" w:cs="仿宋"/>
                <w:szCs w:val="21"/>
                <w:highlight w:val="none"/>
              </w:rPr>
            </w:pPr>
            <w:r>
              <w:rPr>
                <w:rFonts w:hint="eastAsia" w:ascii="仿宋" w:hAnsi="仿宋" w:eastAsia="仿宋" w:cs="仿宋"/>
                <w:szCs w:val="21"/>
                <w:highlight w:val="none"/>
              </w:rPr>
              <w:t>工部位</w:t>
            </w:r>
          </w:p>
        </w:tc>
        <w:tc>
          <w:tcPr>
            <w:tcW w:w="76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bl>
    <w:p>
      <w:pPr>
        <w:pStyle w:val="25"/>
        <w:rPr>
          <w:rFonts w:ascii="仿宋" w:hAnsi="仿宋" w:eastAsia="仿宋" w:cs="仿宋"/>
          <w:szCs w:val="24"/>
          <w:highlight w:val="none"/>
        </w:rPr>
      </w:pPr>
      <w:bookmarkStart w:id="357" w:name="_Toc499378922"/>
      <w:bookmarkStart w:id="358" w:name="_Toc456557369"/>
      <w:bookmarkStart w:id="359" w:name="_Toc499379044"/>
      <w:r>
        <w:rPr>
          <w:rFonts w:hint="eastAsia" w:ascii="仿宋" w:hAnsi="仿宋" w:eastAsia="仿宋" w:cs="仿宋"/>
          <w:szCs w:val="24"/>
          <w:highlight w:val="none"/>
        </w:rPr>
        <w:t>附表二：拟配备本工程的试验和检测仪器设备表</w:t>
      </w:r>
      <w:bookmarkEnd w:id="357"/>
      <w:bookmarkEnd w:id="358"/>
      <w:bookmarkEnd w:id="359"/>
    </w:p>
    <w:tbl>
      <w:tblPr>
        <w:tblStyle w:val="1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仪器设备</w:t>
            </w:r>
          </w:p>
          <w:p>
            <w:pPr>
              <w:jc w:val="center"/>
              <w:rPr>
                <w:rFonts w:ascii="仿宋" w:hAnsi="仿宋" w:eastAsia="仿宋" w:cs="仿宋"/>
                <w:szCs w:val="21"/>
                <w:highlight w:val="none"/>
              </w:rPr>
            </w:pPr>
            <w:r>
              <w:rPr>
                <w:rFonts w:hint="eastAsia" w:ascii="仿宋" w:hAnsi="仿宋" w:eastAsia="仿宋" w:cs="仿宋"/>
                <w:szCs w:val="21"/>
                <w:highlight w:val="none"/>
              </w:rPr>
              <w:t>名    称</w:t>
            </w:r>
          </w:p>
        </w:tc>
        <w:tc>
          <w:tcPr>
            <w:tcW w:w="6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型号</w:t>
            </w:r>
          </w:p>
          <w:p>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国别</w:t>
            </w:r>
          </w:p>
          <w:p>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制造</w:t>
            </w:r>
          </w:p>
          <w:p>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已使用台</w:t>
            </w:r>
          </w:p>
          <w:p>
            <w:pPr>
              <w:jc w:val="center"/>
              <w:rPr>
                <w:rFonts w:ascii="仿宋" w:hAnsi="仿宋" w:eastAsia="仿宋" w:cs="仿宋"/>
                <w:szCs w:val="21"/>
                <w:highlight w:val="none"/>
              </w:rPr>
            </w:pPr>
            <w:r>
              <w:rPr>
                <w:rFonts w:hint="eastAsia" w:ascii="仿宋" w:hAnsi="仿宋" w:eastAsia="仿宋" w:cs="仿宋"/>
                <w:szCs w:val="21"/>
                <w:highlight w:val="none"/>
              </w:rPr>
              <w:t>时    数</w:t>
            </w:r>
          </w:p>
        </w:tc>
        <w:tc>
          <w:tcPr>
            <w:tcW w:w="165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85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bl>
    <w:p>
      <w:pPr>
        <w:pStyle w:val="25"/>
        <w:rPr>
          <w:rFonts w:ascii="仿宋" w:hAnsi="仿宋" w:eastAsia="仿宋" w:cs="仿宋"/>
          <w:highlight w:val="none"/>
        </w:rPr>
      </w:pPr>
      <w:bookmarkStart w:id="360" w:name="_Toc499379045"/>
      <w:bookmarkStart w:id="361" w:name="_Toc499378923"/>
      <w:bookmarkStart w:id="362" w:name="_Toc456557370"/>
      <w:r>
        <w:rPr>
          <w:rFonts w:hint="eastAsia" w:ascii="仿宋" w:hAnsi="仿宋" w:eastAsia="仿宋" w:cs="仿宋"/>
          <w:szCs w:val="24"/>
          <w:highlight w:val="none"/>
        </w:rPr>
        <w:t>附表三：劳动力计划表</w:t>
      </w:r>
      <w:bookmarkEnd w:id="360"/>
      <w:bookmarkEnd w:id="361"/>
      <w:bookmarkEnd w:id="362"/>
    </w:p>
    <w:p>
      <w:pPr>
        <w:wordWrap w:val="0"/>
        <w:spacing w:line="420" w:lineRule="exact"/>
        <w:jc w:val="right"/>
        <w:rPr>
          <w:rFonts w:ascii="仿宋" w:hAnsi="仿宋" w:eastAsia="仿宋" w:cs="仿宋"/>
          <w:szCs w:val="21"/>
          <w:highlight w:val="none"/>
        </w:rPr>
      </w:pPr>
      <w:r>
        <w:rPr>
          <w:rFonts w:hint="eastAsia" w:ascii="仿宋" w:hAnsi="仿宋" w:eastAsia="仿宋" w:cs="仿宋"/>
          <w:szCs w:val="21"/>
          <w:highlight w:val="none"/>
        </w:rPr>
        <w:t xml:space="preserve">单位：人   </w:t>
      </w:r>
    </w:p>
    <w:tbl>
      <w:tblPr>
        <w:tblStyle w:val="1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工种</w:t>
            </w:r>
          </w:p>
        </w:tc>
        <w:tc>
          <w:tcPr>
            <w:tcW w:w="7796" w:type="dxa"/>
            <w:gridSpan w:val="7"/>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bl>
    <w:p>
      <w:pPr>
        <w:pStyle w:val="25"/>
        <w:rPr>
          <w:rFonts w:ascii="仿宋" w:hAnsi="仿宋" w:eastAsia="仿宋" w:cs="仿宋"/>
          <w:highlight w:val="none"/>
        </w:rPr>
      </w:pPr>
      <w:bookmarkStart w:id="363" w:name="_Toc456557371"/>
      <w:r>
        <w:rPr>
          <w:rFonts w:hint="eastAsia" w:ascii="仿宋" w:hAnsi="仿宋" w:eastAsia="仿宋" w:cs="仿宋"/>
          <w:szCs w:val="24"/>
          <w:highlight w:val="none"/>
        </w:rPr>
        <w:br w:type="page"/>
      </w:r>
      <w:bookmarkStart w:id="364" w:name="_Toc499378924"/>
      <w:bookmarkStart w:id="365" w:name="_Toc499379046"/>
      <w:r>
        <w:rPr>
          <w:rFonts w:hint="eastAsia" w:ascii="仿宋" w:hAnsi="仿宋" w:eastAsia="仿宋" w:cs="仿宋"/>
          <w:szCs w:val="24"/>
          <w:highlight w:val="none"/>
        </w:rPr>
        <w:t>附表四：计划开、竣工日期和施工进度网络图</w:t>
      </w:r>
      <w:bookmarkEnd w:id="363"/>
      <w:bookmarkEnd w:id="364"/>
      <w:bookmarkEnd w:id="365"/>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1．投标人应递交施工进度网络图或施工进度表，说明按招标文件要求的计划工期进行施工的各个关键日期。</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2．施工进度表可采用网络图和（或）横道图表示。</w:t>
      </w:r>
    </w:p>
    <w:p>
      <w:pPr>
        <w:pStyle w:val="25"/>
        <w:rPr>
          <w:rFonts w:ascii="仿宋" w:hAnsi="仿宋" w:eastAsia="仿宋" w:cs="仿宋"/>
          <w:szCs w:val="21"/>
          <w:highlight w:val="none"/>
        </w:rPr>
      </w:pPr>
      <w:bookmarkStart w:id="366" w:name="_Toc456557372"/>
      <w:bookmarkStart w:id="367" w:name="_Toc499378925"/>
      <w:bookmarkStart w:id="368" w:name="_Toc499379047"/>
      <w:r>
        <w:rPr>
          <w:rFonts w:hint="eastAsia" w:ascii="仿宋" w:hAnsi="仿宋" w:eastAsia="仿宋" w:cs="仿宋"/>
          <w:szCs w:val="24"/>
          <w:highlight w:val="none"/>
        </w:rPr>
        <w:t>附表五：施工总平面图</w:t>
      </w:r>
      <w:bookmarkEnd w:id="366"/>
      <w:bookmarkEnd w:id="367"/>
      <w:bookmarkEnd w:id="368"/>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投标人应递交一份施工总平面图，绘出现场临时设施布置图表并附文字说明，说明临时设施、加工车间、现场办公、设备及仓储、供电、供水、卫生、生活、道路、消防等设施的情况和布置。</w:t>
      </w:r>
    </w:p>
    <w:p>
      <w:pPr>
        <w:pStyle w:val="25"/>
        <w:rPr>
          <w:rFonts w:ascii="仿宋" w:hAnsi="仿宋" w:eastAsia="仿宋" w:cs="仿宋"/>
          <w:highlight w:val="none"/>
        </w:rPr>
      </w:pPr>
      <w:bookmarkStart w:id="369" w:name="_Toc499379048"/>
      <w:bookmarkStart w:id="370" w:name="_Toc456557373"/>
      <w:bookmarkStart w:id="371" w:name="_Toc499378926"/>
      <w:r>
        <w:rPr>
          <w:rFonts w:hint="eastAsia" w:ascii="仿宋" w:hAnsi="仿宋" w:eastAsia="仿宋" w:cs="仿宋"/>
          <w:szCs w:val="24"/>
          <w:highlight w:val="none"/>
        </w:rPr>
        <w:t>附表六：临时用地表</w:t>
      </w:r>
      <w:bookmarkEnd w:id="369"/>
      <w:bookmarkEnd w:id="370"/>
      <w:bookmarkEnd w:id="371"/>
    </w:p>
    <w:tbl>
      <w:tblPr>
        <w:tblStyle w:val="1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20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面 积（平方米）</w:t>
            </w:r>
          </w:p>
        </w:tc>
        <w:tc>
          <w:tcPr>
            <w:tcW w:w="20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位  置</w:t>
            </w:r>
          </w:p>
        </w:tc>
        <w:tc>
          <w:tcPr>
            <w:tcW w:w="20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bl>
    <w:p>
      <w:pPr>
        <w:pStyle w:val="4"/>
        <w:spacing w:before="0" w:after="156" w:afterLines="50" w:line="240" w:lineRule="auto"/>
        <w:rPr>
          <w:rFonts w:ascii="仿宋" w:hAnsi="仿宋" w:eastAsia="仿宋" w:cs="仿宋"/>
          <w:highlight w:val="none"/>
        </w:rPr>
        <w:sectPr>
          <w:headerReference r:id="rId13" w:type="even"/>
          <w:pgSz w:w="11905" w:h="16838"/>
          <w:pgMar w:top="1276" w:right="1417" w:bottom="1134" w:left="1531" w:header="851" w:footer="680" w:gutter="0"/>
          <w:pgNumType w:fmt="decimal"/>
          <w:cols w:space="0" w:num="1"/>
          <w:titlePg/>
          <w:docGrid w:type="lines" w:linePitch="312" w:charSpace="0"/>
        </w:sectPr>
      </w:pPr>
    </w:p>
    <w:p>
      <w:pPr>
        <w:jc w:val="center"/>
        <w:rPr>
          <w:rFonts w:ascii="仿宋" w:hAnsi="仿宋" w:eastAsia="仿宋" w:cs="仿宋"/>
          <w:b/>
          <w:bCs/>
          <w:sz w:val="32"/>
          <w:szCs w:val="32"/>
          <w:highlight w:val="none"/>
        </w:rPr>
      </w:pPr>
      <w:bookmarkStart w:id="372" w:name="_Toc456557374"/>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、项目管理机构</w:t>
      </w:r>
      <w:bookmarkEnd w:id="372"/>
    </w:p>
    <w:p>
      <w:pPr>
        <w:jc w:val="center"/>
        <w:rPr>
          <w:rFonts w:ascii="仿宋" w:hAnsi="仿宋" w:eastAsia="仿宋" w:cs="仿宋"/>
          <w:sz w:val="28"/>
          <w:szCs w:val="28"/>
          <w:highlight w:val="none"/>
        </w:rPr>
      </w:pPr>
    </w:p>
    <w:p>
      <w:pPr>
        <w:pStyle w:val="25"/>
        <w:numPr>
          <w:ilvl w:val="0"/>
          <w:numId w:val="0"/>
        </w:numPr>
        <w:tabs>
          <w:tab w:val="clear" w:pos="709"/>
        </w:tabs>
        <w:jc w:val="center"/>
        <w:rPr>
          <w:rFonts w:ascii="仿宋" w:hAnsi="仿宋" w:eastAsia="仿宋" w:cs="仿宋"/>
          <w:sz w:val="28"/>
          <w:szCs w:val="28"/>
          <w:highlight w:val="none"/>
        </w:rPr>
      </w:pPr>
      <w:bookmarkStart w:id="373" w:name="_Toc456557375"/>
      <w:bookmarkStart w:id="374" w:name="_Toc499379049"/>
      <w:bookmarkStart w:id="375" w:name="_Toc499378927"/>
      <w:r>
        <w:rPr>
          <w:rFonts w:hint="eastAsia" w:ascii="仿宋" w:hAnsi="仿宋" w:eastAsia="仿宋" w:cs="仿宋"/>
          <w:sz w:val="28"/>
          <w:szCs w:val="28"/>
          <w:highlight w:val="none"/>
        </w:rPr>
        <w:t>（一）项目管理机构主要人员表</w:t>
      </w:r>
      <w:bookmarkEnd w:id="373"/>
      <w:bookmarkEnd w:id="374"/>
      <w:bookmarkEnd w:id="375"/>
    </w:p>
    <w:tbl>
      <w:tblPr>
        <w:tblStyle w:val="15"/>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20" w:type="dxa"/>
            <w:vMerge w:val="restart"/>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职务</w:t>
            </w:r>
          </w:p>
        </w:tc>
        <w:tc>
          <w:tcPr>
            <w:tcW w:w="79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姓名</w:t>
            </w:r>
          </w:p>
        </w:tc>
        <w:tc>
          <w:tcPr>
            <w:tcW w:w="51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性别</w:t>
            </w:r>
          </w:p>
        </w:tc>
        <w:tc>
          <w:tcPr>
            <w:tcW w:w="72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年龄</w:t>
            </w:r>
          </w:p>
        </w:tc>
        <w:tc>
          <w:tcPr>
            <w:tcW w:w="72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121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552"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1620"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专业技术职称</w:t>
            </w:r>
          </w:p>
        </w:tc>
        <w:tc>
          <w:tcPr>
            <w:tcW w:w="3998" w:type="dxa"/>
            <w:gridSpan w:val="4"/>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执业或职业资格证明</w:t>
            </w:r>
          </w:p>
        </w:tc>
        <w:tc>
          <w:tcPr>
            <w:tcW w:w="1080" w:type="dxa"/>
            <w:vMerge w:val="restart"/>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社会保险</w:t>
            </w:r>
          </w:p>
        </w:tc>
        <w:tc>
          <w:tcPr>
            <w:tcW w:w="900" w:type="dxa"/>
            <w:vMerge w:val="restart"/>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w:t>
            </w:r>
          </w:p>
          <w:p>
            <w:pPr>
              <w:spacing w:line="420" w:lineRule="exact"/>
              <w:jc w:val="center"/>
              <w:rPr>
                <w:rFonts w:ascii="仿宋" w:hAnsi="仿宋" w:eastAsia="仿宋" w:cs="仿宋"/>
                <w:szCs w:val="21"/>
                <w:highlight w:val="none"/>
                <w:vertAlign w:val="superscript"/>
              </w:rPr>
            </w:pPr>
            <w:r>
              <w:rPr>
                <w:rFonts w:hint="eastAsia" w:ascii="仿宋" w:hAnsi="仿宋" w:eastAsia="仿宋" w:cs="仿宋"/>
                <w:szCs w:val="21"/>
                <w:highlight w:val="none"/>
              </w:rPr>
              <w:t>职业单位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pPr>
              <w:jc w:val="center"/>
              <w:rPr>
                <w:rFonts w:ascii="仿宋" w:hAnsi="仿宋" w:eastAsia="仿宋" w:cs="仿宋"/>
                <w:szCs w:val="21"/>
                <w:highlight w:val="none"/>
              </w:rPr>
            </w:pPr>
          </w:p>
        </w:tc>
        <w:tc>
          <w:tcPr>
            <w:tcW w:w="1220" w:type="dxa"/>
            <w:vMerge w:val="continue"/>
            <w:vAlign w:val="center"/>
          </w:tcPr>
          <w:p>
            <w:pPr>
              <w:jc w:val="center"/>
              <w:rPr>
                <w:rFonts w:ascii="仿宋" w:hAnsi="仿宋" w:eastAsia="仿宋" w:cs="仿宋"/>
                <w:szCs w:val="21"/>
                <w:highlight w:val="none"/>
              </w:rPr>
            </w:pPr>
          </w:p>
        </w:tc>
        <w:tc>
          <w:tcPr>
            <w:tcW w:w="790" w:type="dxa"/>
            <w:vMerge w:val="continue"/>
            <w:vAlign w:val="center"/>
          </w:tcPr>
          <w:p>
            <w:pPr>
              <w:spacing w:line="240" w:lineRule="exact"/>
              <w:jc w:val="center"/>
              <w:rPr>
                <w:rFonts w:ascii="仿宋" w:hAnsi="仿宋" w:eastAsia="仿宋" w:cs="仿宋"/>
                <w:szCs w:val="21"/>
                <w:highlight w:val="none"/>
              </w:rPr>
            </w:pPr>
          </w:p>
        </w:tc>
        <w:tc>
          <w:tcPr>
            <w:tcW w:w="510" w:type="dxa"/>
            <w:vMerge w:val="continue"/>
            <w:vAlign w:val="center"/>
          </w:tcPr>
          <w:p>
            <w:pPr>
              <w:spacing w:line="240" w:lineRule="exact"/>
              <w:jc w:val="center"/>
              <w:rPr>
                <w:rFonts w:ascii="仿宋" w:hAnsi="仿宋" w:eastAsia="仿宋" w:cs="仿宋"/>
                <w:szCs w:val="21"/>
                <w:highlight w:val="none"/>
              </w:rPr>
            </w:pPr>
          </w:p>
        </w:tc>
        <w:tc>
          <w:tcPr>
            <w:tcW w:w="720" w:type="dxa"/>
            <w:vMerge w:val="continue"/>
            <w:vAlign w:val="center"/>
          </w:tcPr>
          <w:p>
            <w:pPr>
              <w:spacing w:line="240" w:lineRule="exact"/>
              <w:jc w:val="center"/>
              <w:rPr>
                <w:rFonts w:ascii="仿宋" w:hAnsi="仿宋" w:eastAsia="仿宋" w:cs="仿宋"/>
                <w:szCs w:val="21"/>
                <w:highlight w:val="none"/>
              </w:rPr>
            </w:pPr>
          </w:p>
        </w:tc>
        <w:tc>
          <w:tcPr>
            <w:tcW w:w="720" w:type="dxa"/>
            <w:vMerge w:val="continue"/>
            <w:vAlign w:val="center"/>
          </w:tcPr>
          <w:p>
            <w:pPr>
              <w:spacing w:line="240" w:lineRule="exact"/>
              <w:jc w:val="center"/>
              <w:rPr>
                <w:rFonts w:ascii="仿宋" w:hAnsi="仿宋" w:eastAsia="仿宋" w:cs="仿宋"/>
                <w:szCs w:val="21"/>
                <w:highlight w:val="none"/>
              </w:rPr>
            </w:pPr>
          </w:p>
        </w:tc>
        <w:tc>
          <w:tcPr>
            <w:tcW w:w="1210" w:type="dxa"/>
            <w:vMerge w:val="continue"/>
            <w:vAlign w:val="center"/>
          </w:tcPr>
          <w:p>
            <w:pPr>
              <w:spacing w:line="240" w:lineRule="exact"/>
              <w:jc w:val="center"/>
              <w:rPr>
                <w:rFonts w:ascii="仿宋" w:hAnsi="仿宋" w:eastAsia="仿宋" w:cs="仿宋"/>
                <w:szCs w:val="21"/>
                <w:highlight w:val="none"/>
              </w:rPr>
            </w:pPr>
          </w:p>
        </w:tc>
        <w:tc>
          <w:tcPr>
            <w:tcW w:w="552" w:type="dxa"/>
            <w:vMerge w:val="continue"/>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初级</w:t>
            </w:r>
          </w:p>
        </w:tc>
        <w:tc>
          <w:tcPr>
            <w:tcW w:w="54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中级</w:t>
            </w:r>
          </w:p>
        </w:tc>
        <w:tc>
          <w:tcPr>
            <w:tcW w:w="54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高级</w:t>
            </w:r>
          </w:p>
        </w:tc>
        <w:tc>
          <w:tcPr>
            <w:tcW w:w="124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证书名称</w:t>
            </w:r>
          </w:p>
        </w:tc>
        <w:tc>
          <w:tcPr>
            <w:tcW w:w="62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级别</w:t>
            </w:r>
          </w:p>
        </w:tc>
        <w:tc>
          <w:tcPr>
            <w:tcW w:w="106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证号</w:t>
            </w:r>
          </w:p>
        </w:tc>
        <w:tc>
          <w:tcPr>
            <w:tcW w:w="106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1080" w:type="dxa"/>
            <w:vMerge w:val="continue"/>
            <w:vAlign w:val="center"/>
          </w:tcPr>
          <w:p>
            <w:pPr>
              <w:jc w:val="center"/>
              <w:rPr>
                <w:rFonts w:ascii="仿宋" w:hAnsi="仿宋" w:eastAsia="仿宋" w:cs="仿宋"/>
                <w:szCs w:val="21"/>
                <w:highlight w:val="none"/>
              </w:rPr>
            </w:pPr>
          </w:p>
        </w:tc>
        <w:tc>
          <w:tcPr>
            <w:tcW w:w="900" w:type="dxa"/>
            <w:vMerge w:val="continue"/>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22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79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51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72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72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121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552"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1245"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622"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1065"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122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79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1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7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2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121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552"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1245"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622" w:type="dxa"/>
            <w:shd w:val="clear" w:color="auto" w:fill="auto"/>
            <w:vAlign w:val="center"/>
          </w:tcPr>
          <w:p>
            <w:pPr>
              <w:adjustRightInd w:val="0"/>
              <w:snapToGrid w:val="0"/>
              <w:spacing w:line="240" w:lineRule="auto"/>
              <w:jc w:val="center"/>
              <w:rPr>
                <w:rFonts w:hint="eastAsia" w:ascii="宋体" w:hAnsi="宋体" w:eastAsia="宋体" w:cs="宋体"/>
                <w:b w:val="0"/>
                <w:bCs w:val="0"/>
                <w:kern w:val="2"/>
                <w:sz w:val="18"/>
                <w:szCs w:val="18"/>
                <w:lang w:val="en-US" w:eastAsia="zh-CN" w:bidi="ar-SA"/>
              </w:rPr>
            </w:pPr>
          </w:p>
        </w:tc>
        <w:tc>
          <w:tcPr>
            <w:tcW w:w="1065"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3</w:t>
            </w:r>
          </w:p>
        </w:tc>
        <w:tc>
          <w:tcPr>
            <w:tcW w:w="12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9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1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21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52"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245"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622"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065"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4</w:t>
            </w:r>
          </w:p>
        </w:tc>
        <w:tc>
          <w:tcPr>
            <w:tcW w:w="12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9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1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21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52"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245"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622"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065"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5</w:t>
            </w:r>
          </w:p>
        </w:tc>
        <w:tc>
          <w:tcPr>
            <w:tcW w:w="12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9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1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21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52"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245"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622"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065"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6</w:t>
            </w:r>
          </w:p>
        </w:tc>
        <w:tc>
          <w:tcPr>
            <w:tcW w:w="12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9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1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21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52"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245"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622"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065"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7</w:t>
            </w:r>
          </w:p>
        </w:tc>
        <w:tc>
          <w:tcPr>
            <w:tcW w:w="12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9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1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72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21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52"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540"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245"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622"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065" w:type="dxa"/>
            <w:shd w:val="clear" w:color="auto" w:fill="auto"/>
            <w:vAlign w:val="center"/>
          </w:tcPr>
          <w:p>
            <w:pPr>
              <w:spacing w:line="240" w:lineRule="auto"/>
              <w:jc w:val="center"/>
              <w:rPr>
                <w:rFonts w:hint="eastAsia" w:ascii="宋体" w:hAnsi="宋体" w:eastAsia="宋体" w:cs="宋体"/>
                <w:b w:val="0"/>
                <w:bCs w:val="0"/>
                <w:kern w:val="2"/>
                <w:sz w:val="18"/>
                <w:szCs w:val="18"/>
                <w:lang w:val="en-US" w:eastAsia="zh-CN" w:bidi="ar-SA"/>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8</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9</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bl>
    <w:p>
      <w:pPr>
        <w:spacing w:line="400" w:lineRule="atLeas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1．执业、职业单位指拟投入的项目管理机构人员目前是否在投标人处注册执业或岗位登记。</w:t>
      </w:r>
    </w:p>
    <w:p>
      <w:pPr>
        <w:spacing w:after="319" w:afterLines="100" w:line="420" w:lineRule="exact"/>
        <w:ind w:firstLine="630" w:firstLineChars="300"/>
        <w:rPr>
          <w:rFonts w:ascii="仿宋" w:hAnsi="仿宋" w:eastAsia="仿宋" w:cs="仿宋"/>
          <w:b/>
          <w:sz w:val="24"/>
          <w:highlight w:val="none"/>
        </w:rPr>
      </w:pPr>
      <w:r>
        <w:rPr>
          <w:rFonts w:hint="eastAsia" w:ascii="仿宋" w:hAnsi="仿宋" w:eastAsia="仿宋" w:cs="仿宋"/>
          <w:szCs w:val="21"/>
          <w:highlight w:val="none"/>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pPr>
        <w:spacing w:line="420" w:lineRule="exact"/>
        <w:ind w:left="945" w:leftChars="300" w:hanging="315" w:hangingChars="150"/>
        <w:rPr>
          <w:rFonts w:ascii="仿宋" w:hAnsi="仿宋" w:eastAsia="仿宋" w:cs="仿宋"/>
          <w:highlight w:val="none"/>
        </w:rPr>
        <w:sectPr>
          <w:pgSz w:w="16838" w:h="11905" w:orient="landscape"/>
          <w:pgMar w:top="1531" w:right="1276" w:bottom="1417" w:left="1134" w:header="851" w:footer="680" w:gutter="0"/>
          <w:pgNumType w:fmt="decimal"/>
          <w:cols w:space="0" w:num="1"/>
          <w:titlePg/>
          <w:docGrid w:type="lines" w:linePitch="319" w:charSpace="0"/>
        </w:sectPr>
      </w:pPr>
    </w:p>
    <w:p>
      <w:pPr>
        <w:pStyle w:val="25"/>
        <w:numPr>
          <w:ilvl w:val="0"/>
          <w:numId w:val="0"/>
        </w:numPr>
        <w:tabs>
          <w:tab w:val="clear" w:pos="709"/>
        </w:tabs>
        <w:jc w:val="center"/>
        <w:rPr>
          <w:rFonts w:ascii="仿宋" w:hAnsi="仿宋" w:eastAsia="仿宋" w:cs="仿宋"/>
          <w:sz w:val="28"/>
          <w:szCs w:val="28"/>
          <w:highlight w:val="none"/>
        </w:rPr>
      </w:pPr>
      <w:bookmarkStart w:id="376" w:name="_Toc499378928"/>
      <w:bookmarkStart w:id="377" w:name="_Toc456557376"/>
      <w:bookmarkStart w:id="378" w:name="_Toc499379050"/>
      <w:r>
        <w:rPr>
          <w:rFonts w:hint="eastAsia" w:ascii="仿宋" w:hAnsi="仿宋" w:eastAsia="仿宋" w:cs="仿宋"/>
          <w:sz w:val="28"/>
          <w:szCs w:val="28"/>
          <w:highlight w:val="none"/>
        </w:rPr>
        <w:t>（二）项目经理简历表</w:t>
      </w:r>
      <w:bookmarkEnd w:id="376"/>
      <w:bookmarkEnd w:id="377"/>
      <w:bookmarkEnd w:id="378"/>
    </w:p>
    <w:p>
      <w:pPr>
        <w:spacing w:line="420" w:lineRule="exact"/>
        <w:rPr>
          <w:rFonts w:ascii="仿宋" w:hAnsi="仿宋" w:eastAsia="仿宋" w:cs="仿宋"/>
          <w:szCs w:val="21"/>
          <w:highlight w:val="none"/>
        </w:rPr>
      </w:pPr>
    </w:p>
    <w:tbl>
      <w:tblPr>
        <w:tblStyle w:val="15"/>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1035" w:type="dxa"/>
            <w:vAlign w:val="center"/>
          </w:tcPr>
          <w:p>
            <w:pPr>
              <w:jc w:val="center"/>
              <w:rPr>
                <w:rFonts w:ascii="仿宋" w:hAnsi="仿宋" w:eastAsia="仿宋" w:cs="仿宋"/>
                <w:szCs w:val="21"/>
                <w:highlight w:val="none"/>
              </w:rPr>
            </w:pPr>
          </w:p>
        </w:tc>
        <w:tc>
          <w:tcPr>
            <w:tcW w:w="113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1275" w:type="dxa"/>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职  称</w:t>
            </w:r>
          </w:p>
        </w:tc>
        <w:tc>
          <w:tcPr>
            <w:tcW w:w="1035" w:type="dxa"/>
            <w:vAlign w:val="center"/>
          </w:tcPr>
          <w:p>
            <w:pPr>
              <w:jc w:val="center"/>
              <w:rPr>
                <w:rFonts w:ascii="仿宋" w:hAnsi="仿宋" w:eastAsia="仿宋" w:cs="仿宋"/>
                <w:szCs w:val="21"/>
                <w:highlight w:val="none"/>
              </w:rPr>
            </w:pPr>
          </w:p>
        </w:tc>
        <w:tc>
          <w:tcPr>
            <w:tcW w:w="113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职  务</w:t>
            </w:r>
          </w:p>
        </w:tc>
        <w:tc>
          <w:tcPr>
            <w:tcW w:w="1275" w:type="dxa"/>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拟在本工程任职</w:t>
            </w:r>
          </w:p>
        </w:tc>
        <w:tc>
          <w:tcPr>
            <w:tcW w:w="21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注册建造师执业资格等级</w:t>
            </w:r>
          </w:p>
        </w:tc>
        <w:tc>
          <w:tcPr>
            <w:tcW w:w="127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 xml:space="preserve">      级</w:t>
            </w: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建造师专业</w:t>
            </w: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5559" w:type="dxa"/>
            <w:gridSpan w:val="3"/>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7728" w:type="dxa"/>
            <w:gridSpan w:val="5"/>
            <w:vAlign w:val="center"/>
          </w:tcPr>
          <w:p>
            <w:pPr>
              <w:ind w:firstLine="840" w:firstLineChars="400"/>
              <w:rPr>
                <w:rFonts w:ascii="仿宋" w:hAnsi="仿宋" w:eastAsia="仿宋" w:cs="仿宋"/>
                <w:szCs w:val="21"/>
                <w:highlight w:val="none"/>
              </w:rPr>
            </w:pPr>
            <w:r>
              <w:rPr>
                <w:rFonts w:hint="eastAsia" w:ascii="仿宋" w:hAnsi="仿宋" w:eastAsia="仿宋" w:cs="仿宋"/>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时  间</w:t>
            </w:r>
          </w:p>
        </w:tc>
        <w:tc>
          <w:tcPr>
            <w:tcW w:w="3444"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参加过的类似项目名称</w:t>
            </w: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工程概况说明</w:t>
            </w:r>
          </w:p>
        </w:tc>
        <w:tc>
          <w:tcPr>
            <w:tcW w:w="21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bl>
    <w:p>
      <w:pPr>
        <w:spacing w:line="420" w:lineRule="exact"/>
        <w:rPr>
          <w:rFonts w:ascii="仿宋" w:hAnsi="仿宋" w:eastAsia="仿宋" w:cs="仿宋"/>
          <w:szCs w:val="21"/>
          <w:highlight w:val="none"/>
        </w:rPr>
      </w:pPr>
    </w:p>
    <w:p>
      <w:pPr>
        <w:spacing w:line="420" w:lineRule="exac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pPr>
        <w:pStyle w:val="25"/>
        <w:numPr>
          <w:ilvl w:val="0"/>
          <w:numId w:val="0"/>
        </w:numPr>
        <w:tabs>
          <w:tab w:val="clear" w:pos="709"/>
        </w:tabs>
        <w:jc w:val="center"/>
        <w:rPr>
          <w:rFonts w:ascii="仿宋" w:hAnsi="仿宋" w:eastAsia="仿宋" w:cs="仿宋"/>
          <w:sz w:val="28"/>
          <w:szCs w:val="28"/>
          <w:highlight w:val="none"/>
        </w:rPr>
      </w:pPr>
      <w:r>
        <w:rPr>
          <w:rFonts w:hint="eastAsia" w:ascii="仿宋" w:hAnsi="仿宋" w:eastAsia="仿宋" w:cs="仿宋"/>
          <w:highlight w:val="none"/>
        </w:rPr>
        <w:br w:type="page"/>
      </w:r>
      <w:bookmarkStart w:id="379" w:name="_Toc499379051"/>
      <w:bookmarkStart w:id="380" w:name="_Toc456557378"/>
      <w:bookmarkStart w:id="381" w:name="_Toc499378929"/>
      <w:r>
        <w:rPr>
          <w:rFonts w:hint="eastAsia" w:ascii="仿宋" w:hAnsi="仿宋" w:eastAsia="仿宋" w:cs="仿宋"/>
          <w:sz w:val="28"/>
          <w:szCs w:val="28"/>
          <w:highlight w:val="none"/>
        </w:rPr>
        <w:t>（三）其他主要项目管理人员简历表</w:t>
      </w:r>
      <w:bookmarkEnd w:id="379"/>
      <w:bookmarkEnd w:id="380"/>
      <w:bookmarkEnd w:id="381"/>
    </w:p>
    <w:p>
      <w:pPr>
        <w:ind w:firstLine="1050" w:firstLineChars="500"/>
        <w:rPr>
          <w:rFonts w:ascii="仿宋" w:hAnsi="仿宋" w:eastAsia="仿宋" w:cs="仿宋"/>
          <w:szCs w:val="21"/>
          <w:highlight w:val="none"/>
        </w:rPr>
      </w:pPr>
    </w:p>
    <w:tbl>
      <w:tblPr>
        <w:tblStyle w:val="1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spacing w:line="640" w:lineRule="exact"/>
              <w:jc w:val="center"/>
              <w:rPr>
                <w:rFonts w:ascii="仿宋" w:hAnsi="仿宋" w:eastAsia="仿宋" w:cs="仿宋"/>
                <w:szCs w:val="21"/>
                <w:highlight w:val="none"/>
              </w:rPr>
            </w:pPr>
            <w:r>
              <w:rPr>
                <w:rFonts w:hint="eastAsia" w:ascii="仿宋" w:hAnsi="仿宋" w:eastAsia="仿宋" w:cs="仿宋"/>
                <w:szCs w:val="21"/>
                <w:highlight w:val="none"/>
              </w:rPr>
              <w:t>岗位名称</w:t>
            </w:r>
          </w:p>
        </w:tc>
        <w:tc>
          <w:tcPr>
            <w:tcW w:w="7560" w:type="dxa"/>
            <w:gridSpan w:val="3"/>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性    别</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学历和专业</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毕业时间</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执业/岗位资格</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专业职称</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执业/岗位</w:t>
            </w:r>
          </w:p>
          <w:p>
            <w:pPr>
              <w:jc w:val="center"/>
              <w:rPr>
                <w:rFonts w:ascii="仿宋" w:hAnsi="仿宋" w:eastAsia="仿宋" w:cs="仿宋"/>
                <w:szCs w:val="21"/>
                <w:highlight w:val="none"/>
              </w:rPr>
            </w:pPr>
            <w:r>
              <w:rPr>
                <w:rFonts w:hint="eastAsia" w:ascii="仿宋" w:hAnsi="仿宋" w:eastAsia="仿宋" w:cs="仿宋"/>
                <w:szCs w:val="21"/>
                <w:highlight w:val="none"/>
              </w:rPr>
              <w:t>证书编号</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2880" w:type="dxa"/>
            <w:vAlign w:val="center"/>
          </w:tcPr>
          <w:p>
            <w:pPr>
              <w:jc w:val="center"/>
              <w:rPr>
                <w:rFonts w:ascii="仿宋" w:hAnsi="仿宋" w:eastAsia="仿宋" w:cs="仿宋"/>
                <w:szCs w:val="21"/>
                <w:highlight w:val="none"/>
              </w:rPr>
            </w:pPr>
          </w:p>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业</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绩</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及</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担</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任</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的</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tc>
        <w:tc>
          <w:tcPr>
            <w:tcW w:w="7560" w:type="dxa"/>
            <w:gridSpan w:val="3"/>
          </w:tcPr>
          <w:p>
            <w:pPr>
              <w:rPr>
                <w:rFonts w:ascii="仿宋" w:hAnsi="仿宋" w:eastAsia="仿宋" w:cs="仿宋"/>
                <w:szCs w:val="21"/>
                <w:highlight w:val="none"/>
              </w:rPr>
            </w:pPr>
          </w:p>
        </w:tc>
      </w:tr>
    </w:tbl>
    <w:p>
      <w:pPr>
        <w:rPr>
          <w:rFonts w:ascii="仿宋" w:hAnsi="仿宋" w:eastAsia="仿宋" w:cs="仿宋"/>
          <w:highlight w:val="none"/>
        </w:rPr>
      </w:pPr>
    </w:p>
    <w:p>
      <w:pPr>
        <w:ind w:left="630" w:hanging="630" w:hangingChars="300"/>
        <w:rPr>
          <w:rFonts w:ascii="仿宋" w:hAnsi="仿宋" w:eastAsia="仿宋" w:cs="仿宋"/>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pPr>
        <w:spacing w:line="440" w:lineRule="exact"/>
        <w:rPr>
          <w:rFonts w:ascii="仿宋" w:hAnsi="仿宋" w:eastAsia="仿宋" w:cs="仿宋"/>
          <w:szCs w:val="21"/>
          <w:highlight w:val="none"/>
        </w:rPr>
      </w:pPr>
    </w:p>
    <w:p>
      <w:pPr>
        <w:spacing w:line="440" w:lineRule="exact"/>
        <w:rPr>
          <w:rFonts w:ascii="仿宋" w:hAnsi="仿宋" w:eastAsia="仿宋" w:cs="仿宋"/>
          <w:szCs w:val="21"/>
          <w:highlight w:val="none"/>
        </w:rPr>
      </w:pPr>
    </w:p>
    <w:p>
      <w:pPr>
        <w:spacing w:line="440" w:lineRule="exact"/>
        <w:rPr>
          <w:rFonts w:ascii="仿宋" w:hAnsi="仿宋" w:eastAsia="仿宋" w:cs="仿宋"/>
          <w:szCs w:val="21"/>
          <w:highlight w:val="none"/>
        </w:rPr>
      </w:pPr>
    </w:p>
    <w:p>
      <w:pPr>
        <w:spacing w:line="440" w:lineRule="exact"/>
        <w:rPr>
          <w:rFonts w:ascii="仿宋" w:hAnsi="仿宋" w:eastAsia="仿宋" w:cs="仿宋"/>
          <w:szCs w:val="21"/>
          <w:highlight w:val="none"/>
        </w:rPr>
      </w:pPr>
    </w:p>
    <w:p>
      <w:pPr>
        <w:pStyle w:val="4"/>
        <w:spacing w:before="0" w:after="156" w:afterLines="50" w:line="240" w:lineRule="auto"/>
        <w:ind w:left="567"/>
        <w:jc w:val="center"/>
        <w:rPr>
          <w:rFonts w:ascii="仿宋" w:hAnsi="仿宋" w:eastAsia="仿宋" w:cs="仿宋"/>
          <w:highlight w:val="none"/>
        </w:rPr>
      </w:pPr>
      <w:bookmarkStart w:id="382" w:name="_Toc499378930"/>
      <w:bookmarkStart w:id="383" w:name="_Toc499379052"/>
      <w:r>
        <w:rPr>
          <w:rFonts w:hint="eastAsia" w:ascii="仿宋" w:hAnsi="仿宋" w:eastAsia="仿宋" w:cs="仿宋"/>
          <w:highlight w:val="none"/>
          <w:lang w:val="en-US" w:eastAsia="zh-CN"/>
        </w:rPr>
        <w:t>七</w:t>
      </w:r>
      <w:r>
        <w:rPr>
          <w:rFonts w:hint="eastAsia" w:ascii="仿宋" w:hAnsi="仿宋" w:eastAsia="仿宋" w:cs="仿宋"/>
          <w:highlight w:val="none"/>
        </w:rPr>
        <w:t>、 资格审查资料</w:t>
      </w:r>
      <w:bookmarkEnd w:id="382"/>
      <w:bookmarkEnd w:id="383"/>
    </w:p>
    <w:p>
      <w:pPr>
        <w:pStyle w:val="6"/>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t>（一）投标人基本情况表</w:t>
      </w:r>
    </w:p>
    <w:tbl>
      <w:tblPr>
        <w:tblStyle w:val="1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投标人名称</w:t>
            </w:r>
          </w:p>
        </w:tc>
        <w:tc>
          <w:tcPr>
            <w:tcW w:w="7319" w:type="dxa"/>
            <w:gridSpan w:val="10"/>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注册地址</w:t>
            </w:r>
          </w:p>
        </w:tc>
        <w:tc>
          <w:tcPr>
            <w:tcW w:w="3669" w:type="dxa"/>
            <w:gridSpan w:val="4"/>
            <w:vAlign w:val="center"/>
          </w:tcPr>
          <w:p>
            <w:pPr>
              <w:spacing w:line="492" w:lineRule="exact"/>
              <w:jc w:val="center"/>
              <w:rPr>
                <w:rFonts w:ascii="仿宋" w:hAnsi="仿宋" w:eastAsia="仿宋" w:cs="仿宋"/>
                <w:sz w:val="24"/>
                <w:highlight w:val="none"/>
              </w:rPr>
            </w:pPr>
          </w:p>
        </w:tc>
        <w:tc>
          <w:tcPr>
            <w:tcW w:w="1293"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邮政编码</w:t>
            </w:r>
          </w:p>
        </w:tc>
        <w:tc>
          <w:tcPr>
            <w:tcW w:w="2357" w:type="dxa"/>
            <w:gridSpan w:val="3"/>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联系方式</w:t>
            </w: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联系人</w:t>
            </w:r>
          </w:p>
        </w:tc>
        <w:tc>
          <w:tcPr>
            <w:tcW w:w="2690" w:type="dxa"/>
            <w:gridSpan w:val="3"/>
            <w:vAlign w:val="center"/>
          </w:tcPr>
          <w:p>
            <w:pPr>
              <w:spacing w:line="492" w:lineRule="exact"/>
              <w:jc w:val="center"/>
              <w:rPr>
                <w:rFonts w:ascii="仿宋" w:hAnsi="仿宋" w:eastAsia="仿宋" w:cs="仿宋"/>
                <w:sz w:val="24"/>
                <w:highlight w:val="none"/>
              </w:rPr>
            </w:pPr>
          </w:p>
        </w:tc>
        <w:tc>
          <w:tcPr>
            <w:tcW w:w="1293"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2357" w:type="dxa"/>
            <w:gridSpan w:val="3"/>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pPr>
              <w:spacing w:line="492" w:lineRule="exact"/>
              <w:jc w:val="center"/>
              <w:rPr>
                <w:rFonts w:ascii="仿宋" w:hAnsi="仿宋" w:eastAsia="仿宋" w:cs="仿宋"/>
                <w:sz w:val="24"/>
                <w:highlight w:val="none"/>
              </w:rPr>
            </w:pP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传真</w:t>
            </w:r>
          </w:p>
        </w:tc>
        <w:tc>
          <w:tcPr>
            <w:tcW w:w="2690" w:type="dxa"/>
            <w:gridSpan w:val="3"/>
            <w:vAlign w:val="center"/>
          </w:tcPr>
          <w:p>
            <w:pPr>
              <w:spacing w:line="492" w:lineRule="exact"/>
              <w:jc w:val="center"/>
              <w:rPr>
                <w:rFonts w:ascii="仿宋" w:hAnsi="仿宋" w:eastAsia="仿宋" w:cs="仿宋"/>
                <w:sz w:val="24"/>
                <w:highlight w:val="none"/>
              </w:rPr>
            </w:pPr>
          </w:p>
        </w:tc>
        <w:tc>
          <w:tcPr>
            <w:tcW w:w="1293"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网址</w:t>
            </w:r>
          </w:p>
        </w:tc>
        <w:tc>
          <w:tcPr>
            <w:tcW w:w="2357" w:type="dxa"/>
            <w:gridSpan w:val="3"/>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组织结构</w:t>
            </w:r>
          </w:p>
        </w:tc>
        <w:tc>
          <w:tcPr>
            <w:tcW w:w="7319" w:type="dxa"/>
            <w:gridSpan w:val="10"/>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w:t>
            </w: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pPr>
              <w:spacing w:line="492" w:lineRule="exact"/>
              <w:jc w:val="center"/>
              <w:rPr>
                <w:rFonts w:ascii="仿宋" w:hAnsi="仿宋" w:eastAsia="仿宋" w:cs="仿宋"/>
                <w:sz w:val="24"/>
                <w:highlight w:val="none"/>
              </w:rPr>
            </w:pPr>
          </w:p>
        </w:tc>
        <w:tc>
          <w:tcPr>
            <w:tcW w:w="1334"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pPr>
              <w:spacing w:line="492" w:lineRule="exact"/>
              <w:jc w:val="center"/>
              <w:rPr>
                <w:rFonts w:ascii="仿宋" w:hAnsi="仿宋" w:eastAsia="仿宋" w:cs="仿宋"/>
                <w:sz w:val="24"/>
                <w:highlight w:val="none"/>
              </w:rPr>
            </w:pPr>
          </w:p>
        </w:tc>
        <w:tc>
          <w:tcPr>
            <w:tcW w:w="879"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pPr>
              <w:spacing w:line="492" w:lineRule="exact"/>
              <w:jc w:val="center"/>
              <w:rPr>
                <w:rFonts w:ascii="仿宋" w:hAnsi="仿宋" w:eastAsia="仿宋" w:cs="仿宋"/>
                <w:sz w:val="24"/>
                <w:highlight w:val="none"/>
              </w:rPr>
            </w:pPr>
          </w:p>
        </w:tc>
        <w:tc>
          <w:tcPr>
            <w:tcW w:w="1334"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pPr>
              <w:spacing w:line="492" w:lineRule="exact"/>
              <w:jc w:val="center"/>
              <w:rPr>
                <w:rFonts w:ascii="仿宋" w:hAnsi="仿宋" w:eastAsia="仿宋" w:cs="仿宋"/>
                <w:sz w:val="24"/>
                <w:highlight w:val="none"/>
              </w:rPr>
            </w:pPr>
          </w:p>
        </w:tc>
        <w:tc>
          <w:tcPr>
            <w:tcW w:w="879"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成立时间</w:t>
            </w:r>
          </w:p>
        </w:tc>
        <w:tc>
          <w:tcPr>
            <w:tcW w:w="2542" w:type="dxa"/>
            <w:gridSpan w:val="2"/>
            <w:vAlign w:val="center"/>
          </w:tcPr>
          <w:p>
            <w:pPr>
              <w:spacing w:line="492" w:lineRule="exact"/>
              <w:jc w:val="center"/>
              <w:rPr>
                <w:rFonts w:ascii="仿宋" w:hAnsi="仿宋" w:eastAsia="仿宋" w:cs="仿宋"/>
                <w:sz w:val="24"/>
                <w:highlight w:val="none"/>
              </w:rPr>
            </w:pPr>
          </w:p>
        </w:tc>
        <w:tc>
          <w:tcPr>
            <w:tcW w:w="4777" w:type="dxa"/>
            <w:gridSpan w:val="8"/>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企业资质等级</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restart"/>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其中</w:t>
            </w: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营业执照号</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高级职称人员</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注册资金</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中级职称人员</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开户银行</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初级职称人员</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账号</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技工</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经营范围</w:t>
            </w:r>
          </w:p>
        </w:tc>
        <w:tc>
          <w:tcPr>
            <w:tcW w:w="7319" w:type="dxa"/>
            <w:gridSpan w:val="10"/>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7319" w:type="dxa"/>
            <w:gridSpan w:val="10"/>
            <w:vAlign w:val="center"/>
          </w:tcPr>
          <w:p>
            <w:pPr>
              <w:spacing w:line="492" w:lineRule="exact"/>
              <w:jc w:val="center"/>
              <w:rPr>
                <w:rFonts w:ascii="仿宋" w:hAnsi="仿宋" w:eastAsia="仿宋" w:cs="仿宋"/>
                <w:sz w:val="24"/>
                <w:highlight w:val="none"/>
              </w:rPr>
            </w:pPr>
          </w:p>
        </w:tc>
      </w:tr>
    </w:tbl>
    <w:p>
      <w:pPr>
        <w:spacing w:line="400" w:lineRule="atLeas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备注：按要求提供</w:t>
      </w:r>
    </w:p>
    <w:p>
      <w:pPr>
        <w:spacing w:line="400" w:lineRule="atLeast"/>
        <w:ind w:left="946" w:leftChars="350" w:hanging="211" w:hangingChars="100"/>
        <w:rPr>
          <w:rFonts w:ascii="仿宋" w:hAnsi="仿宋" w:eastAsia="仿宋" w:cs="仿宋"/>
          <w:highlight w:val="none"/>
        </w:rPr>
      </w:pPr>
      <w:r>
        <w:rPr>
          <w:rFonts w:hint="eastAsia" w:ascii="仿宋" w:hAnsi="仿宋" w:eastAsia="仿宋" w:cs="仿宋"/>
          <w:b/>
          <w:szCs w:val="24"/>
          <w:highlight w:val="none"/>
        </w:rPr>
        <w:br w:type="page"/>
      </w:r>
    </w:p>
    <w:p>
      <w:pPr>
        <w:spacing w:line="492" w:lineRule="exact"/>
        <w:jc w:val="center"/>
        <w:rPr>
          <w:rFonts w:hint="eastAsia" w:ascii="仿宋" w:hAnsi="仿宋" w:eastAsia="仿宋" w:cs="仿宋"/>
          <w:sz w:val="24"/>
          <w:highlight w:val="none"/>
        </w:rPr>
      </w:pPr>
      <w:bookmarkStart w:id="384" w:name="_Toc499378932"/>
      <w:bookmarkStart w:id="385" w:name="_Toc496685988"/>
      <w:bookmarkStart w:id="386" w:name="_Toc499379054"/>
      <w:r>
        <w:rPr>
          <w:rFonts w:hint="eastAsia" w:ascii="仿宋" w:hAnsi="仿宋" w:eastAsia="仿宋" w:cs="仿宋"/>
          <w:sz w:val="24"/>
          <w:highlight w:val="none"/>
        </w:rPr>
        <w:t>1-2 拟投入主要施工机械设备情况表</w:t>
      </w:r>
      <w:bookmarkEnd w:id="384"/>
      <w:bookmarkEnd w:id="385"/>
      <w:bookmarkEnd w:id="386"/>
    </w:p>
    <w:p>
      <w:pPr>
        <w:spacing w:line="400" w:lineRule="exact"/>
        <w:rPr>
          <w:rFonts w:ascii="仿宋" w:hAnsi="仿宋" w:eastAsia="仿宋" w:cs="仿宋"/>
          <w:sz w:val="28"/>
          <w:szCs w:val="20"/>
          <w:highlight w:val="none"/>
        </w:rPr>
      </w:pPr>
    </w:p>
    <w:tbl>
      <w:tblPr>
        <w:tblStyle w:val="15"/>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457"/>
        <w:gridCol w:w="11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机械设备名称</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数  量</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来  源</w:t>
            </w:r>
          </w:p>
        </w:tc>
        <w:tc>
          <w:tcPr>
            <w:tcW w:w="1457"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现停放地点</w:t>
            </w:r>
          </w:p>
        </w:tc>
        <w:tc>
          <w:tcPr>
            <w:tcW w:w="1150" w:type="dxa"/>
            <w:tcBorders>
              <w:top w:val="single" w:color="auto" w:sz="8" w:space="0"/>
              <w:left w:val="single" w:color="auto" w:sz="4" w:space="0"/>
              <w:bottom w:val="single" w:color="auto" w:sz="4" w:space="0"/>
              <w:right w:val="single" w:color="auto" w:sz="8"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8" w:space="0"/>
              <w:right w:val="single" w:color="auto" w:sz="8" w:space="0"/>
            </w:tcBorders>
            <w:vAlign w:val="center"/>
          </w:tcPr>
          <w:p>
            <w:pPr>
              <w:jc w:val="center"/>
              <w:rPr>
                <w:rFonts w:ascii="仿宋" w:hAnsi="仿宋" w:eastAsia="仿宋" w:cs="仿宋"/>
                <w:szCs w:val="21"/>
                <w:highlight w:val="none"/>
              </w:rPr>
            </w:pPr>
          </w:p>
        </w:tc>
      </w:tr>
    </w:tbl>
    <w:p>
      <w:pPr>
        <w:spacing w:line="492" w:lineRule="exact"/>
        <w:jc w:val="left"/>
        <w:rPr>
          <w:rFonts w:hint="eastAsia" w:ascii="仿宋" w:hAnsi="仿宋" w:eastAsia="仿宋" w:cs="仿宋"/>
          <w:sz w:val="24"/>
          <w:highlight w:val="none"/>
        </w:rPr>
      </w:pPr>
      <w:r>
        <w:rPr>
          <w:rFonts w:hint="eastAsia" w:ascii="仿宋" w:hAnsi="仿宋" w:eastAsia="仿宋" w:cs="仿宋"/>
          <w:sz w:val="24"/>
          <w:highlight w:val="none"/>
        </w:rPr>
        <w:t>备注：“目前状况”应说明已使用年限、是否完好以及目前是否正在使用，“来源”分为“自有”和“市场租赁”两种情况，正在使用中的设备应在“备注”中注明何时能够投入本项目。</w:t>
      </w: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
          <w:sz w:val="24"/>
          <w:szCs w:val="24"/>
          <w:highlight w:val="none"/>
        </w:rPr>
      </w:pPr>
      <w:r>
        <w:rPr>
          <w:rFonts w:hint="eastAsia" w:ascii="仿宋" w:hAnsi="仿宋" w:eastAsia="仿宋" w:cs="仿宋"/>
          <w:b/>
          <w:sz w:val="24"/>
          <w:szCs w:val="24"/>
          <w:highlight w:val="none"/>
        </w:rPr>
        <w:t>（二）财务状况表</w:t>
      </w:r>
      <w:bookmarkStart w:id="387" w:name="_Toc496685990"/>
    </w:p>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2-1 财务状况表</w:t>
      </w:r>
      <w:bookmarkEnd w:id="387"/>
    </w:p>
    <w:tbl>
      <w:tblPr>
        <w:tblStyle w:val="15"/>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850"/>
        <w:gridCol w:w="1560"/>
        <w:gridCol w:w="1417"/>
        <w:gridCol w:w="1559"/>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单位</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平均值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一．注册资金</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二．净资产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三．总资产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四．固定资产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五．流动资产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六．流动负债</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七．负债合计</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八．营业收入</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九．净利润</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十．现金流量净额</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十一．主要财务指标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1．净资产收益率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2．总资产报酬率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3．主营业务利润</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4．资产负债率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5．流动比率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6．速动比率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bl>
    <w:p>
      <w:pPr>
        <w:spacing w:line="492" w:lineRule="exact"/>
        <w:ind w:firstLine="3360" w:firstLineChars="1400"/>
        <w:jc w:val="right"/>
        <w:rPr>
          <w:rFonts w:ascii="仿宋" w:hAnsi="仿宋" w:eastAsia="仿宋" w:cs="仿宋"/>
          <w:sz w:val="24"/>
          <w:highlight w:val="none"/>
        </w:rPr>
      </w:pPr>
      <w:r>
        <w:rPr>
          <w:rFonts w:hint="eastAsia" w:ascii="仿宋" w:hAnsi="仿宋" w:eastAsia="仿宋" w:cs="仿宋"/>
          <w:sz w:val="24"/>
          <w:highlight w:val="none"/>
        </w:rPr>
        <w:t>投标人：（盖单位章）</w:t>
      </w:r>
    </w:p>
    <w:p>
      <w:pPr>
        <w:spacing w:before="156" w:beforeLines="50" w:line="492" w:lineRule="exact"/>
        <w:ind w:firstLine="4320" w:firstLineChars="1800"/>
        <w:jc w:val="right"/>
        <w:rPr>
          <w:rFonts w:ascii="仿宋" w:hAnsi="仿宋" w:eastAsia="仿宋" w:cs="仿宋"/>
          <w:sz w:val="28"/>
          <w:szCs w:val="28"/>
          <w:highlight w:val="none"/>
        </w:rPr>
      </w:pPr>
      <w:r>
        <w:rPr>
          <w:rFonts w:hint="eastAsia" w:ascii="仿宋" w:hAnsi="仿宋" w:eastAsia="仿宋" w:cs="仿宋"/>
          <w:sz w:val="24"/>
          <w:highlight w:val="none"/>
        </w:rPr>
        <w:t>年月日</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备注：按要求提供。</w:t>
      </w:r>
    </w:p>
    <w:p>
      <w:pPr>
        <w:pStyle w:val="25"/>
        <w:pageBreakBefore/>
        <w:numPr>
          <w:ilvl w:val="0"/>
          <w:numId w:val="0"/>
        </w:numPr>
        <w:ind w:left="709"/>
        <w:jc w:val="center"/>
        <w:outlineLvl w:val="3"/>
        <w:rPr>
          <w:rFonts w:ascii="仿宋" w:hAnsi="仿宋" w:eastAsia="仿宋" w:cs="仿宋"/>
          <w:szCs w:val="24"/>
          <w:highlight w:val="none"/>
        </w:rPr>
      </w:pPr>
      <w:bookmarkStart w:id="388" w:name="_Toc499379055"/>
      <w:bookmarkStart w:id="389" w:name="_Toc499378933"/>
      <w:bookmarkStart w:id="390" w:name="_Toc496685991"/>
      <w:r>
        <w:rPr>
          <w:rFonts w:hint="eastAsia" w:ascii="仿宋" w:hAnsi="仿宋" w:eastAsia="仿宋" w:cs="仿宋"/>
          <w:szCs w:val="24"/>
          <w:highlight w:val="none"/>
        </w:rPr>
        <w:t>2-2 拟投入的流动资金函(格式)</w:t>
      </w:r>
      <w:bookmarkEnd w:id="388"/>
      <w:bookmarkEnd w:id="389"/>
      <w:bookmarkEnd w:id="390"/>
    </w:p>
    <w:p>
      <w:pPr>
        <w:spacing w:line="400" w:lineRule="exact"/>
        <w:rPr>
          <w:rFonts w:ascii="仿宋" w:hAnsi="仿宋" w:eastAsia="仿宋" w:cs="仿宋"/>
          <w:szCs w:val="21"/>
          <w:highlight w:val="none"/>
          <w:u w:val="single"/>
        </w:rPr>
      </w:pPr>
    </w:p>
    <w:p>
      <w:pPr>
        <w:spacing w:line="400" w:lineRule="exac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(招标人名称)：</w:t>
      </w:r>
    </w:p>
    <w:p>
      <w:pPr>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我方拟投入</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(项目名称)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(标段名称)的流动资金为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万元，资金来源于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，资金来源证明文件附后。</w:t>
      </w:r>
    </w:p>
    <w:p>
      <w:pPr>
        <w:tabs>
          <w:tab w:val="left" w:pos="2670"/>
        </w:tabs>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我方可使用的银行授信余额和银行存款共计</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w:t>
      </w:r>
    </w:p>
    <w:p>
      <w:pPr>
        <w:spacing w:line="400" w:lineRule="exact"/>
        <w:ind w:firstLine="420" w:firstLineChars="200"/>
        <w:rPr>
          <w:rFonts w:ascii="仿宋" w:hAnsi="仿宋" w:eastAsia="仿宋" w:cs="仿宋"/>
          <w:szCs w:val="21"/>
          <w:highlight w:val="none"/>
        </w:rPr>
      </w:pPr>
    </w:p>
    <w:p>
      <w:pPr>
        <w:spacing w:line="400" w:lineRule="exact"/>
        <w:ind w:firstLine="420" w:firstLineChars="200"/>
        <w:rPr>
          <w:rFonts w:ascii="仿宋" w:hAnsi="仿宋" w:eastAsia="仿宋" w:cs="仿宋"/>
          <w:szCs w:val="21"/>
          <w:highlight w:val="none"/>
        </w:rPr>
      </w:pPr>
    </w:p>
    <w:p>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rPr>
        <w:t>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(盖单位章)</w:t>
      </w:r>
    </w:p>
    <w:p>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pPr>
        <w:rPr>
          <w:rFonts w:ascii="仿宋" w:hAnsi="仿宋" w:eastAsia="仿宋" w:cs="仿宋"/>
          <w:highlight w:val="none"/>
        </w:rPr>
      </w:pP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w:t>
      </w:r>
    </w:p>
    <w:p>
      <w:pPr>
        <w:autoSpaceDE w:val="0"/>
        <w:autoSpaceDN w:val="0"/>
        <w:adjustRightInd w:val="0"/>
        <w:snapToGrid w:val="0"/>
        <w:spacing w:line="325" w:lineRule="exact"/>
        <w:ind w:left="630" w:hanging="630" w:hangingChars="300"/>
        <w:jc w:val="both"/>
        <w:rPr>
          <w:rFonts w:hint="eastAsia" w:ascii="仿宋" w:hAnsi="仿宋" w:eastAsia="仿宋" w:cs="仿宋"/>
          <w:szCs w:val="21"/>
          <w:highlight w:val="none"/>
        </w:rPr>
      </w:pPr>
      <w:r>
        <w:rPr>
          <w:rFonts w:hint="eastAsia" w:ascii="仿宋" w:hAnsi="仿宋" w:eastAsia="仿宋" w:cs="仿宋"/>
          <w:szCs w:val="21"/>
          <w:highlight w:val="none"/>
        </w:rPr>
        <w:t>1．如招标人为避免投标人中标后因流动资金不足影响工程施工，而要求投标人具有一定的流动资金的，投标人应当填写此表。</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 xml:space="preserve">    2．资金来源填写银行存款、银行信贷或其它形式，如银行授信总额度、本年度可使用的银行授信余额等。</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3．本表后附相关资金来源证明文件复印件，银行存款证明、银行信贷证明应采用相关银行出具的格式。</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4．招标人也可根据招标项目具体情况要求说明是否拥有有效期内的银行AAA资信证明。</w:t>
      </w:r>
    </w:p>
    <w:p>
      <w:pPr>
        <w:pStyle w:val="6"/>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sz w:val="24"/>
          <w:highlight w:val="none"/>
        </w:rPr>
        <w:br w:type="page"/>
      </w:r>
      <w:r>
        <w:rPr>
          <w:rFonts w:hint="eastAsia" w:ascii="仿宋" w:hAnsi="仿宋" w:eastAsia="仿宋" w:cs="仿宋"/>
          <w:b w:val="0"/>
          <w:highlight w:val="none"/>
        </w:rPr>
        <w:t>（三）近3年完成的类似项目情况表</w:t>
      </w:r>
    </w:p>
    <w:p>
      <w:pPr>
        <w:spacing w:after="156" w:afterLines="50" w:line="492"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（近3年指投标截止之日前三年）</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firstLine="36" w:firstLineChars="15"/>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合同价格</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竣工日期</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合同项目描述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  注</w:t>
            </w:r>
          </w:p>
        </w:tc>
        <w:tc>
          <w:tcPr>
            <w:tcW w:w="6547" w:type="dxa"/>
            <w:vAlign w:val="center"/>
          </w:tcPr>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合同项目描述内容至少包括项目概况、本合同在项目中的地位 （部位、合同价格所占比例）和合同工程完工验收鉴定书有关验收结论</w:t>
            </w:r>
          </w:p>
        </w:tc>
      </w:tr>
    </w:tbl>
    <w:p>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pPr>
        <w:pStyle w:val="6"/>
        <w:numPr>
          <w:ilvl w:val="0"/>
          <w:numId w:val="0"/>
        </w:numPr>
        <w:spacing w:before="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br w:type="page"/>
      </w:r>
      <w:r>
        <w:rPr>
          <w:rFonts w:hint="eastAsia" w:ascii="仿宋" w:hAnsi="仿宋" w:eastAsia="仿宋" w:cs="仿宋"/>
          <w:b w:val="0"/>
          <w:highlight w:val="none"/>
        </w:rPr>
        <w:t>（四）正在施工的和新承接的项目情况表</w:t>
      </w:r>
    </w:p>
    <w:tbl>
      <w:tblPr>
        <w:tblStyle w:val="15"/>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签约合同价</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计划竣工日期</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项目描述</w:t>
            </w:r>
          </w:p>
        </w:tc>
        <w:tc>
          <w:tcPr>
            <w:tcW w:w="6511" w:type="dxa"/>
            <w:vAlign w:val="center"/>
          </w:tcPr>
          <w:p>
            <w:pPr>
              <w:spacing w:line="492" w:lineRule="exact"/>
              <w:ind w:firstLine="480" w:firstLineChars="20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6511" w:type="dxa"/>
            <w:vAlign w:val="center"/>
          </w:tcPr>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合同所属项目描述内容至少包括项目概况、本合同在项目中的地位（部位、合同价格所占比例）</w:t>
            </w:r>
          </w:p>
        </w:tc>
      </w:tr>
    </w:tbl>
    <w:p>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pPr>
        <w:pStyle w:val="25"/>
        <w:numPr>
          <w:ilvl w:val="0"/>
          <w:numId w:val="0"/>
        </w:numPr>
        <w:jc w:val="center"/>
        <w:outlineLvl w:val="9"/>
        <w:rPr>
          <w:rFonts w:ascii="仿宋" w:hAnsi="仿宋" w:eastAsia="仿宋" w:cs="仿宋"/>
          <w:highlight w:val="none"/>
        </w:rPr>
      </w:pPr>
      <w:r>
        <w:rPr>
          <w:rFonts w:hint="eastAsia" w:ascii="仿宋" w:hAnsi="仿宋" w:eastAsia="仿宋" w:cs="仿宋"/>
          <w:sz w:val="28"/>
          <w:szCs w:val="28"/>
          <w:highlight w:val="none"/>
        </w:rPr>
        <w:br w:type="page"/>
      </w:r>
      <w:bookmarkStart w:id="391" w:name="_Toc499378934"/>
      <w:bookmarkStart w:id="392" w:name="_Toc496685998"/>
      <w:bookmarkStart w:id="393" w:name="_Toc499379056"/>
      <w:r>
        <w:rPr>
          <w:rFonts w:hint="eastAsia" w:ascii="仿宋" w:hAnsi="仿宋" w:eastAsia="仿宋" w:cs="仿宋"/>
          <w:szCs w:val="24"/>
          <w:highlight w:val="none"/>
        </w:rPr>
        <w:t>（五）企业信誉情况</w:t>
      </w:r>
      <w:bookmarkEnd w:id="391"/>
      <w:bookmarkEnd w:id="392"/>
      <w:bookmarkEnd w:id="393"/>
    </w:p>
    <w:p>
      <w:pPr>
        <w:rPr>
          <w:rFonts w:ascii="仿宋" w:hAnsi="仿宋" w:eastAsia="仿宋" w:cs="仿宋"/>
          <w:highlight w:val="none"/>
        </w:rPr>
      </w:pPr>
    </w:p>
    <w:p>
      <w:pPr>
        <w:pStyle w:val="25"/>
        <w:numPr>
          <w:ilvl w:val="0"/>
          <w:numId w:val="0"/>
        </w:numPr>
        <w:jc w:val="center"/>
        <w:outlineLvl w:val="9"/>
        <w:rPr>
          <w:rFonts w:ascii="仿宋" w:hAnsi="仿宋" w:eastAsia="仿宋" w:cs="仿宋"/>
          <w:szCs w:val="24"/>
          <w:highlight w:val="none"/>
        </w:rPr>
      </w:pPr>
      <w:bookmarkStart w:id="394" w:name="_Toc499379057"/>
      <w:bookmarkStart w:id="395" w:name="_Toc499378935"/>
      <w:r>
        <w:rPr>
          <w:rFonts w:hint="eastAsia" w:ascii="仿宋" w:hAnsi="仿宋" w:eastAsia="仿宋" w:cs="仿宋"/>
          <w:szCs w:val="24"/>
          <w:highlight w:val="none"/>
        </w:rPr>
        <w:t>5-1 企业信誉声明</w:t>
      </w:r>
      <w:bookmarkEnd w:id="394"/>
      <w:bookmarkEnd w:id="395"/>
    </w:p>
    <w:tbl>
      <w:tblPr>
        <w:tblStyle w:val="15"/>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szCs w:val="21"/>
                <w:highlight w:val="none"/>
              </w:rPr>
            </w:pPr>
          </w:p>
          <w:p>
            <w:pPr>
              <w:spacing w:line="440" w:lineRule="exact"/>
              <w:jc w:val="center"/>
              <w:rPr>
                <w:rFonts w:ascii="仿宋" w:hAnsi="仿宋" w:eastAsia="仿宋" w:cs="仿宋"/>
                <w:szCs w:val="21"/>
                <w:highlight w:val="none"/>
              </w:rPr>
            </w:pPr>
            <w:r>
              <w:rPr>
                <w:rFonts w:hint="eastAsia" w:ascii="仿宋" w:hAnsi="仿宋" w:eastAsia="仿宋" w:cs="仿宋"/>
                <w:szCs w:val="21"/>
                <w:highlight w:val="none"/>
              </w:rPr>
              <w:t>企业信誉声明</w:t>
            </w:r>
          </w:p>
          <w:p>
            <w:pPr>
              <w:spacing w:line="440" w:lineRule="exact"/>
              <w:rPr>
                <w:rFonts w:ascii="仿宋" w:hAnsi="仿宋" w:eastAsia="仿宋" w:cs="仿宋"/>
                <w:szCs w:val="21"/>
                <w:highlight w:val="none"/>
              </w:rPr>
            </w:pPr>
          </w:p>
          <w:p>
            <w:pPr>
              <w:rPr>
                <w:rFonts w:ascii="仿宋" w:hAnsi="仿宋" w:eastAsia="仿宋" w:cs="仿宋"/>
                <w:szCs w:val="24"/>
                <w:highlight w:val="none"/>
              </w:rPr>
            </w:pPr>
            <w:r>
              <w:rPr>
                <w:rFonts w:hint="eastAsia" w:ascii="仿宋" w:hAnsi="仿宋" w:eastAsia="仿宋" w:cs="仿宋"/>
                <w:highlight w:val="none"/>
              </w:rPr>
              <w:t>（招标人名称）：</w:t>
            </w:r>
          </w:p>
          <w:p>
            <w:pPr>
              <w:rPr>
                <w:rFonts w:ascii="仿宋" w:hAnsi="仿宋" w:eastAsia="仿宋" w:cs="仿宋"/>
                <w:highlight w:val="none"/>
              </w:rPr>
            </w:pP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我方在此声明，</w:t>
            </w:r>
            <w:r>
              <w:rPr>
                <w:rFonts w:hint="eastAsia" w:ascii="仿宋" w:hAnsi="仿宋" w:eastAsia="仿宋" w:cs="仿宋"/>
                <w:highlight w:val="none"/>
              </w:rPr>
              <w:t>截止本招标项目投标截止时间，我方处于</w:t>
            </w:r>
            <w:r>
              <w:rPr>
                <w:rFonts w:hint="eastAsia" w:ascii="仿宋" w:hAnsi="仿宋" w:eastAsia="仿宋" w:cs="仿宋"/>
                <w:szCs w:val="21"/>
                <w:highlight w:val="none"/>
              </w:rPr>
              <w:t>正常的经营状态，不存在下列任何一种情形。</w:t>
            </w:r>
          </w:p>
          <w:p>
            <w:pPr>
              <w:spacing w:line="400" w:lineRule="exact"/>
              <w:ind w:left="420"/>
              <w:rPr>
                <w:rFonts w:ascii="仿宋" w:hAnsi="仿宋" w:eastAsia="仿宋" w:cs="仿宋"/>
                <w:szCs w:val="24"/>
                <w:highlight w:val="none"/>
              </w:rPr>
            </w:pPr>
            <w:r>
              <w:rPr>
                <w:rFonts w:hint="eastAsia" w:ascii="仿宋" w:hAnsi="仿宋" w:eastAsia="仿宋" w:cs="仿宋"/>
                <w:highlight w:val="none"/>
              </w:rPr>
              <w:t>（1）被责令停业；</w:t>
            </w:r>
          </w:p>
          <w:p>
            <w:pPr>
              <w:spacing w:line="400" w:lineRule="exact"/>
              <w:ind w:left="420"/>
              <w:rPr>
                <w:rFonts w:ascii="仿宋" w:hAnsi="仿宋" w:eastAsia="仿宋" w:cs="仿宋"/>
                <w:highlight w:val="none"/>
              </w:rPr>
            </w:pPr>
            <w:r>
              <w:rPr>
                <w:rFonts w:hint="eastAsia" w:ascii="仿宋" w:hAnsi="仿宋" w:eastAsia="仿宋" w:cs="仿宋"/>
                <w:highlight w:val="none"/>
              </w:rPr>
              <w:t>（2）被暂停或取消投标资格；</w:t>
            </w: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（3）财产被接管或冻结；</w:t>
            </w: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（4）在最近三年内有骗取中标或严重违约或重大工程质量问题。</w:t>
            </w: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pPr>
              <w:spacing w:line="440" w:lineRule="exact"/>
              <w:ind w:left="420"/>
              <w:rPr>
                <w:rFonts w:ascii="仿宋" w:hAnsi="仿宋" w:eastAsia="仿宋" w:cs="仿宋"/>
                <w:szCs w:val="21"/>
                <w:highlight w:val="none"/>
              </w:rPr>
            </w:pPr>
          </w:p>
          <w:p>
            <w:pPr>
              <w:spacing w:line="440" w:lineRule="exact"/>
              <w:ind w:left="3990"/>
              <w:jc w:val="both"/>
              <w:rPr>
                <w:rFonts w:ascii="仿宋" w:hAnsi="仿宋" w:eastAsia="仿宋" w:cs="仿宋"/>
                <w:szCs w:val="21"/>
                <w:highlight w:val="none"/>
              </w:rPr>
            </w:pPr>
            <w:r>
              <w:rPr>
                <w:rFonts w:hint="eastAsia" w:ascii="仿宋" w:hAnsi="仿宋" w:eastAsia="仿宋" w:cs="仿宋"/>
                <w:szCs w:val="21"/>
                <w:highlight w:val="none"/>
              </w:rPr>
              <w:t>投标人：（盖单位章）</w:t>
            </w:r>
          </w:p>
          <w:p>
            <w:pPr>
              <w:spacing w:line="440" w:lineRule="exact"/>
              <w:ind w:left="3990"/>
              <w:jc w:val="both"/>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pPr>
              <w:spacing w:line="440" w:lineRule="exact"/>
              <w:ind w:left="420"/>
              <w:jc w:val="right"/>
              <w:rPr>
                <w:rFonts w:ascii="仿宋" w:hAnsi="仿宋" w:eastAsia="仿宋" w:cs="仿宋"/>
                <w:szCs w:val="21"/>
                <w:highlight w:val="none"/>
              </w:rPr>
            </w:pPr>
          </w:p>
          <w:p>
            <w:pPr>
              <w:spacing w:line="440" w:lineRule="exact"/>
              <w:ind w:left="420"/>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p>
            <w:pPr>
              <w:spacing w:line="440" w:lineRule="exact"/>
              <w:ind w:left="420"/>
              <w:rPr>
                <w:rFonts w:ascii="仿宋" w:hAnsi="仿宋" w:eastAsia="仿宋" w:cs="仿宋"/>
                <w:szCs w:val="21"/>
                <w:highlight w:val="none"/>
              </w:rPr>
            </w:pPr>
          </w:p>
          <w:p>
            <w:pPr>
              <w:spacing w:line="440" w:lineRule="exact"/>
              <w:rPr>
                <w:rFonts w:ascii="仿宋" w:hAnsi="仿宋" w:eastAsia="仿宋" w:cs="仿宋"/>
                <w:szCs w:val="21"/>
                <w:highlight w:val="none"/>
              </w:rPr>
            </w:pPr>
            <w:r>
              <w:rPr>
                <w:rFonts w:hint="eastAsia" w:ascii="仿宋" w:hAnsi="仿宋" w:eastAsia="仿宋" w:cs="仿宋"/>
                <w:szCs w:val="21"/>
                <w:highlight w:val="none"/>
              </w:rPr>
              <w:t>备注：投标人应针对第二章“投标人须知”第1.4.1项的要求，在此对其信誉情况做出说明。如上格式文件所示。联合体投标的，联合体各成员单位均应按要求做出说明。</w:t>
            </w:r>
          </w:p>
          <w:p>
            <w:pPr>
              <w:spacing w:line="440" w:lineRule="exact"/>
              <w:rPr>
                <w:rFonts w:ascii="仿宋" w:hAnsi="仿宋" w:eastAsia="仿宋" w:cs="仿宋"/>
                <w:szCs w:val="21"/>
                <w:highlight w:val="none"/>
              </w:rPr>
            </w:pPr>
          </w:p>
        </w:tc>
      </w:tr>
    </w:tbl>
    <w:p>
      <w:pPr>
        <w:jc w:val="center"/>
        <w:rPr>
          <w:rFonts w:ascii="仿宋" w:hAnsi="仿宋" w:eastAsia="仿宋" w:cs="仿宋"/>
          <w:szCs w:val="24"/>
          <w:highlight w:val="none"/>
        </w:rPr>
      </w:pPr>
      <w:r>
        <w:rPr>
          <w:rFonts w:hint="eastAsia" w:ascii="仿宋" w:hAnsi="仿宋" w:eastAsia="仿宋" w:cs="仿宋"/>
          <w:szCs w:val="24"/>
          <w:highlight w:val="none"/>
        </w:rPr>
        <w:br w:type="page"/>
      </w:r>
      <w:bookmarkStart w:id="396" w:name="_Toc499378937"/>
      <w:bookmarkStart w:id="397" w:name="_Toc499379059"/>
      <w:r>
        <w:rPr>
          <w:rFonts w:hint="eastAsia" w:ascii="仿宋" w:hAnsi="仿宋" w:eastAsia="仿宋" w:cs="仿宋"/>
          <w:sz w:val="24"/>
          <w:szCs w:val="24"/>
          <w:highlight w:val="none"/>
        </w:rPr>
        <w:t>5-2投标人未被列入“信用中国”网站（www.creditchina.gov.cn）失信被执行人、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rPr>
        <w:t>、政府采购严重违法失信行为记录名单的查询结果</w:t>
      </w:r>
      <w:bookmarkEnd w:id="396"/>
      <w:bookmarkEnd w:id="397"/>
    </w:p>
    <w:p>
      <w:pPr>
        <w:rPr>
          <w:rFonts w:ascii="仿宋" w:hAnsi="仿宋" w:eastAsia="仿宋" w:cs="仿宋"/>
          <w:szCs w:val="20"/>
          <w:highlight w:val="none"/>
        </w:rPr>
      </w:pPr>
    </w:p>
    <w:p>
      <w:pPr>
        <w:rPr>
          <w:rFonts w:ascii="仿宋" w:hAnsi="仿宋" w:eastAsia="仿宋" w:cs="仿宋"/>
          <w:highlight w:val="none"/>
        </w:rPr>
      </w:pPr>
    </w:p>
    <w:tbl>
      <w:tblPr>
        <w:tblStyle w:val="15"/>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仿宋" w:hAnsi="仿宋" w:eastAsia="仿宋" w:cs="仿宋"/>
                <w:szCs w:val="21"/>
                <w:highlight w:val="none"/>
              </w:rPr>
            </w:pPr>
          </w:p>
          <w:p>
            <w:pPr>
              <w:tabs>
                <w:tab w:val="left" w:pos="6039"/>
              </w:tabs>
              <w:snapToGrid w:val="0"/>
              <w:spacing w:line="360" w:lineRule="exact"/>
              <w:rPr>
                <w:rFonts w:ascii="仿宋" w:hAnsi="仿宋" w:eastAsia="仿宋" w:cs="仿宋"/>
                <w:szCs w:val="21"/>
                <w:highlight w:val="none"/>
              </w:rPr>
            </w:pPr>
          </w:p>
        </w:tc>
      </w:tr>
    </w:tbl>
    <w:p>
      <w:pPr>
        <w:rPr>
          <w:rFonts w:ascii="仿宋" w:hAnsi="仿宋" w:eastAsia="仿宋" w:cs="仿宋"/>
          <w:sz w:val="20"/>
          <w:szCs w:val="20"/>
          <w:highlight w:val="none"/>
        </w:rPr>
      </w:pPr>
    </w:p>
    <w:p>
      <w:pPr>
        <w:rPr>
          <w:rFonts w:ascii="仿宋" w:hAnsi="仿宋" w:eastAsia="仿宋" w:cs="仿宋"/>
          <w:szCs w:val="21"/>
          <w:highlight w:val="none"/>
        </w:rPr>
      </w:pPr>
    </w:p>
    <w:p>
      <w:pPr>
        <w:spacing w:line="400" w:lineRule="atLeast"/>
        <w:rPr>
          <w:rFonts w:hint="eastAsia" w:ascii="仿宋" w:hAnsi="仿宋" w:eastAsia="仿宋" w:cs="仿宋"/>
          <w:highlight w:val="none"/>
        </w:rPr>
      </w:pPr>
      <w:r>
        <w:rPr>
          <w:rFonts w:hint="eastAsia" w:ascii="仿宋" w:hAnsi="仿宋" w:eastAsia="仿宋" w:cs="仿宋"/>
          <w:highlight w:val="none"/>
        </w:rPr>
        <w:t>备注：1. 投标人根据《关于在招标投标活动中对失信被执行人实施联合惩戒的通知》（法〔2016〕285号）的规定，自行通过“信用中国”网站（www.creditchina.gov.cn）失信被执行人、</w:t>
      </w:r>
      <w:r>
        <w:rPr>
          <w:rFonts w:hint="eastAsia" w:ascii="仿宋" w:hAnsi="仿宋" w:eastAsia="仿宋" w:cs="仿宋"/>
          <w:highlight w:val="none"/>
          <w:lang w:val="zh-CN" w:eastAsia="zh-CN"/>
        </w:rPr>
        <w:t>重大税收违法失信主体</w:t>
      </w:r>
      <w:r>
        <w:rPr>
          <w:rFonts w:hint="eastAsia" w:ascii="仿宋" w:hAnsi="仿宋" w:eastAsia="仿宋" w:cs="仿宋"/>
          <w:highlight w:val="none"/>
        </w:rPr>
        <w:t>、政府采购严重违法失信行为记录名单，并将查询结果“截图”附在本表中。</w:t>
      </w:r>
    </w:p>
    <w:p>
      <w:pPr>
        <w:spacing w:line="400" w:lineRule="atLeast"/>
        <w:ind w:firstLine="630" w:firstLineChars="300"/>
        <w:rPr>
          <w:rFonts w:hint="eastAsia" w:ascii="仿宋" w:hAnsi="仿宋" w:eastAsia="仿宋" w:cs="仿宋"/>
          <w:highlight w:val="none"/>
        </w:rPr>
      </w:pPr>
      <w:r>
        <w:rPr>
          <w:rFonts w:hint="eastAsia" w:ascii="仿宋" w:hAnsi="仿宋" w:eastAsia="仿宋" w:cs="仿宋"/>
          <w:highlight w:val="none"/>
        </w:rPr>
        <w:t>2. 联合体投标的，应当对所有联合体成员进行查询。</w:t>
      </w:r>
    </w:p>
    <w:p>
      <w:pPr>
        <w:pStyle w:val="25"/>
        <w:pageBreakBefore/>
        <w:numPr>
          <w:ilvl w:val="0"/>
          <w:numId w:val="0"/>
        </w:numPr>
        <w:jc w:val="center"/>
        <w:outlineLvl w:val="9"/>
        <w:rPr>
          <w:rFonts w:ascii="仿宋" w:hAnsi="仿宋" w:eastAsia="仿宋" w:cs="仿宋"/>
          <w:szCs w:val="24"/>
          <w:highlight w:val="none"/>
        </w:rPr>
      </w:pPr>
      <w:bookmarkStart w:id="398" w:name="_Toc499378938"/>
      <w:bookmarkStart w:id="399" w:name="_Toc496686002"/>
      <w:bookmarkStart w:id="400" w:name="_Toc499379060"/>
      <w:r>
        <w:rPr>
          <w:rFonts w:hint="eastAsia" w:ascii="仿宋" w:hAnsi="仿宋" w:eastAsia="仿宋" w:cs="仿宋"/>
          <w:szCs w:val="24"/>
          <w:highlight w:val="none"/>
        </w:rPr>
        <w:t>5-4近3年发生的诉讼和仲裁情况</w:t>
      </w:r>
      <w:bookmarkEnd w:id="398"/>
      <w:bookmarkEnd w:id="399"/>
      <w:bookmarkEnd w:id="400"/>
    </w:p>
    <w:p>
      <w:pPr>
        <w:rPr>
          <w:rFonts w:ascii="仿宋" w:hAnsi="仿宋" w:eastAsia="仿宋" w:cs="仿宋"/>
          <w:highlight w:val="none"/>
        </w:rPr>
      </w:pPr>
    </w:p>
    <w:tbl>
      <w:tblPr>
        <w:tblStyle w:val="15"/>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类别</w:t>
            </w:r>
          </w:p>
        </w:tc>
        <w:tc>
          <w:tcPr>
            <w:tcW w:w="954"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60"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诉</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讼</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仲</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裁</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8" w:space="0"/>
              <w:right w:val="single" w:color="auto" w:sz="8" w:space="0"/>
            </w:tcBorders>
            <w:vAlign w:val="center"/>
          </w:tcPr>
          <w:p>
            <w:pPr>
              <w:jc w:val="center"/>
              <w:rPr>
                <w:rFonts w:ascii="仿宋" w:hAnsi="仿宋" w:eastAsia="仿宋" w:cs="仿宋"/>
                <w:szCs w:val="21"/>
                <w:highlight w:val="none"/>
              </w:rPr>
            </w:pPr>
          </w:p>
        </w:tc>
      </w:tr>
    </w:tbl>
    <w:p>
      <w:pPr>
        <w:spacing w:line="400" w:lineRule="exact"/>
        <w:rPr>
          <w:rFonts w:ascii="仿宋" w:hAnsi="仿宋" w:eastAsia="仿宋" w:cs="仿宋"/>
          <w:szCs w:val="21"/>
          <w:highlight w:val="none"/>
        </w:rPr>
      </w:pPr>
      <w:r>
        <w:rPr>
          <w:rFonts w:hint="eastAsia" w:ascii="仿宋" w:hAnsi="仿宋" w:eastAsia="仿宋" w:cs="仿宋"/>
          <w:szCs w:val="21"/>
          <w:highlight w:val="none"/>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2. 近3年是指从投标截止日往前推算3年，以仲裁裁决或判决书时间为准。</w:t>
      </w:r>
    </w:p>
    <w:p>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3. 投标人不如实填报或隐瞒实情，视为弄虚作假。没有相关情况应明确填“无”。</w:t>
      </w:r>
    </w:p>
    <w:p>
      <w:pPr>
        <w:pStyle w:val="25"/>
        <w:pageBreakBefore/>
        <w:numPr>
          <w:ilvl w:val="0"/>
          <w:numId w:val="0"/>
        </w:numPr>
        <w:jc w:val="center"/>
        <w:outlineLvl w:val="9"/>
        <w:rPr>
          <w:rFonts w:ascii="仿宋" w:hAnsi="仿宋" w:eastAsia="仿宋" w:cs="仿宋"/>
          <w:szCs w:val="24"/>
          <w:highlight w:val="none"/>
        </w:rPr>
      </w:pPr>
      <w:bookmarkStart w:id="401" w:name="_Toc496686003"/>
      <w:bookmarkStart w:id="402" w:name="_Toc499378939"/>
      <w:bookmarkStart w:id="403" w:name="_Toc499379061"/>
      <w:r>
        <w:rPr>
          <w:rFonts w:hint="eastAsia" w:ascii="仿宋" w:hAnsi="仿宋" w:eastAsia="仿宋" w:cs="仿宋"/>
          <w:szCs w:val="24"/>
          <w:highlight w:val="none"/>
        </w:rPr>
        <w:t>5-5近3年投标人工程获质量奖项情况表</w:t>
      </w:r>
      <w:bookmarkEnd w:id="401"/>
      <w:bookmarkEnd w:id="402"/>
      <w:bookmarkEnd w:id="403"/>
    </w:p>
    <w:p>
      <w:pPr>
        <w:rPr>
          <w:rFonts w:ascii="仿宋" w:hAnsi="仿宋" w:eastAsia="仿宋" w:cs="仿宋"/>
          <w:highlight w:val="none"/>
        </w:rPr>
      </w:pPr>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bl>
    <w:p>
      <w:pPr>
        <w:pStyle w:val="10"/>
        <w:rPr>
          <w:rFonts w:ascii="仿宋" w:hAnsi="仿宋" w:eastAsia="仿宋" w:cs="仿宋"/>
          <w:szCs w:val="24"/>
          <w:highlight w:val="none"/>
        </w:rPr>
      </w:pPr>
    </w:p>
    <w:p>
      <w:pPr>
        <w:pStyle w:val="10"/>
        <w:rPr>
          <w:rFonts w:ascii="仿宋" w:hAnsi="仿宋" w:eastAsia="仿宋" w:cs="仿宋"/>
          <w:szCs w:val="24"/>
          <w:highlight w:val="none"/>
        </w:rPr>
      </w:pPr>
    </w:p>
    <w:p>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pPr>
        <w:pStyle w:val="25"/>
        <w:pageBreakBefore/>
        <w:numPr>
          <w:ilvl w:val="0"/>
          <w:numId w:val="0"/>
        </w:numPr>
        <w:jc w:val="center"/>
        <w:outlineLvl w:val="9"/>
        <w:rPr>
          <w:rFonts w:ascii="仿宋" w:hAnsi="仿宋" w:eastAsia="仿宋" w:cs="仿宋"/>
          <w:szCs w:val="24"/>
          <w:highlight w:val="none"/>
        </w:rPr>
      </w:pPr>
      <w:bookmarkStart w:id="404" w:name="_Toc499379062"/>
      <w:bookmarkStart w:id="405" w:name="_Toc496686004"/>
      <w:bookmarkStart w:id="406" w:name="_Toc499378940"/>
      <w:r>
        <w:rPr>
          <w:rFonts w:hint="eastAsia" w:ascii="仿宋" w:hAnsi="仿宋" w:eastAsia="仿宋" w:cs="仿宋"/>
          <w:szCs w:val="24"/>
          <w:highlight w:val="none"/>
        </w:rPr>
        <w:t>5-6近3年项目经理已完工程获质量奖项情况表</w:t>
      </w:r>
      <w:bookmarkEnd w:id="404"/>
      <w:bookmarkEnd w:id="405"/>
      <w:bookmarkEnd w:id="406"/>
    </w:p>
    <w:p>
      <w:pPr>
        <w:pStyle w:val="8"/>
        <w:spacing w:after="0" w:line="400" w:lineRule="atLeast"/>
        <w:ind w:left="0" w:leftChars="0"/>
        <w:jc w:val="center"/>
        <w:rPr>
          <w:rFonts w:ascii="仿宋" w:hAnsi="仿宋" w:eastAsia="仿宋" w:cs="仿宋"/>
          <w:sz w:val="24"/>
          <w:szCs w:val="24"/>
          <w:highlight w:val="none"/>
        </w:rPr>
      </w:pPr>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bl>
    <w:p>
      <w:pPr>
        <w:pStyle w:val="10"/>
        <w:rPr>
          <w:rFonts w:ascii="仿宋" w:hAnsi="仿宋" w:eastAsia="仿宋" w:cs="仿宋"/>
          <w:szCs w:val="24"/>
          <w:highlight w:val="none"/>
        </w:rPr>
      </w:pPr>
    </w:p>
    <w:p>
      <w:pPr>
        <w:pStyle w:val="10"/>
        <w:rPr>
          <w:rFonts w:ascii="仿宋" w:hAnsi="仿宋" w:eastAsia="仿宋" w:cs="仿宋"/>
          <w:szCs w:val="24"/>
          <w:highlight w:val="none"/>
        </w:rPr>
      </w:pPr>
    </w:p>
    <w:p>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pPr>
        <w:pStyle w:val="27"/>
        <w:pageBreakBefore/>
        <w:jc w:val="center"/>
        <w:outlineLvl w:val="9"/>
        <w:rPr>
          <w:rFonts w:ascii="仿宋" w:hAnsi="仿宋" w:eastAsia="仿宋" w:cs="仿宋"/>
          <w:b/>
          <w:i w:val="0"/>
          <w:sz w:val="24"/>
          <w:szCs w:val="24"/>
          <w:highlight w:val="none"/>
          <w:lang w:eastAsia="zh-CN"/>
        </w:rPr>
      </w:pPr>
      <w:bookmarkStart w:id="407" w:name="_Toc496686005"/>
      <w:bookmarkStart w:id="408" w:name="_Toc499378941"/>
      <w:bookmarkStart w:id="409" w:name="_Toc499379063"/>
      <w:r>
        <w:rPr>
          <w:rFonts w:hint="eastAsia" w:ascii="仿宋" w:hAnsi="仿宋" w:eastAsia="仿宋" w:cs="仿宋"/>
          <w:b/>
          <w:bCs/>
          <w:i w:val="0"/>
          <w:sz w:val="32"/>
          <w:szCs w:val="32"/>
          <w:highlight w:val="white"/>
          <w:lang w:val="en-US" w:eastAsia="zh-CN"/>
        </w:rPr>
        <w:t>八</w:t>
      </w:r>
      <w:r>
        <w:rPr>
          <w:rFonts w:hint="eastAsia" w:ascii="仿宋" w:hAnsi="仿宋" w:eastAsia="仿宋" w:cs="仿宋"/>
          <w:b/>
          <w:bCs/>
          <w:i w:val="0"/>
          <w:sz w:val="32"/>
          <w:szCs w:val="32"/>
          <w:highlight w:val="white"/>
          <w:lang w:eastAsia="zh-CN"/>
        </w:rPr>
        <w:t>、其他材料</w:t>
      </w:r>
      <w:bookmarkEnd w:id="407"/>
      <w:r>
        <w:rPr>
          <w:rFonts w:hint="eastAsia" w:ascii="仿宋" w:hAnsi="仿宋" w:eastAsia="仿宋" w:cs="仿宋"/>
          <w:i w:val="0"/>
          <w:highlight w:val="none"/>
          <w:lang w:eastAsia="zh-CN"/>
        </w:rPr>
        <w:br w:type="page"/>
      </w:r>
      <w:bookmarkStart w:id="410" w:name="_Toc499378942"/>
      <w:bookmarkStart w:id="411" w:name="_Toc499379064"/>
      <w:r>
        <w:rPr>
          <w:rFonts w:hint="eastAsia" w:ascii="仿宋" w:hAnsi="仿宋" w:eastAsia="仿宋" w:cs="仿宋"/>
          <w:b/>
          <w:i w:val="0"/>
          <w:sz w:val="24"/>
          <w:szCs w:val="24"/>
          <w:highlight w:val="none"/>
          <w:lang w:eastAsia="zh-CN"/>
        </w:rPr>
        <w:t>附件1：</w:t>
      </w:r>
      <w:bookmarkEnd w:id="408"/>
      <w:bookmarkEnd w:id="409"/>
      <w:bookmarkEnd w:id="410"/>
      <w:bookmarkEnd w:id="411"/>
    </w:p>
    <w:p>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承诺书</w:t>
      </w:r>
    </w:p>
    <w:p>
      <w:pPr>
        <w:rPr>
          <w:rFonts w:ascii="仿宋" w:hAnsi="仿宋" w:eastAsia="仿宋" w:cs="仿宋"/>
          <w:highlight w:val="none"/>
          <w:u w:val="single"/>
        </w:rPr>
      </w:pPr>
    </w:p>
    <w:p>
      <w:pPr>
        <w:spacing w:line="360" w:lineRule="auto"/>
        <w:rPr>
          <w:rFonts w:ascii="仿宋" w:hAnsi="仿宋" w:eastAsia="仿宋" w:cs="仿宋"/>
          <w:highlight w:val="none"/>
        </w:rPr>
      </w:pPr>
      <w:r>
        <w:rPr>
          <w:rFonts w:hint="eastAsia" w:ascii="仿宋" w:hAnsi="仿宋" w:eastAsia="仿宋" w:cs="仿宋"/>
          <w:highlight w:val="none"/>
        </w:rPr>
        <w:t>（招标人名称）：</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我方在此声明，我方拟派往（项目名称）标段（以下简称“本工程”）的项目经理 （项目经理姓名） 现阶段（投标截止时间之前）没有担其他在施建设工程项目的项目经理。</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根据《注册建造师执业管理办法（试行）》第九条规定“注册建造师不得同时担任两个及以上建设工程施工项目负责人”， 第十条规定“注册建造师担任施工项目负责人期间原则上不得更换”。我方拟派项目经理的能够参加本工程的投标是基于以下理由：</w:t>
      </w:r>
    </w:p>
    <w:p>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拟派项目经理存在《注册建造师执业管理办法（试行）》第九条规定的下列情形：</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（1）同一工程相邻分段发包或分期施工的;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（2）合同约定的工程验收合格的；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（3）因非承包方原因致使工程项目停工超过120天（含），经建设单位同意的。</w:t>
      </w:r>
    </w:p>
    <w:p>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拟派项目经理担任其他施工项目负责人期间因下列原因进行了更换，并办理书面交接手续：</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（1）发包方与注册建造师受聘企业已解除承包合同的；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（2）发包方同意更换项目负责人的；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（3）因不可抗力等特殊情况必须更换项目负责人的。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我方在此声明，如拟派项目经理参加不同工程项目投标，我方先后被列为第一中标候选人，我方将无条件放弃评标结果后公示的工程建设项目的中标资格。</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特此承诺</w:t>
      </w:r>
    </w:p>
    <w:p>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投标人：（盖单位章）</w:t>
      </w:r>
    </w:p>
    <w:p>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年月日</w:t>
      </w:r>
    </w:p>
    <w:p>
      <w:pPr>
        <w:spacing w:line="360" w:lineRule="auto"/>
        <w:jc w:val="right"/>
        <w:rPr>
          <w:rFonts w:ascii="仿宋" w:hAnsi="仿宋" w:eastAsia="仿宋" w:cs="仿宋"/>
          <w:szCs w:val="21"/>
          <w:highlight w:val="none"/>
        </w:rPr>
      </w:pPr>
    </w:p>
    <w:p>
      <w:pPr>
        <w:spacing w:line="360" w:lineRule="auto"/>
        <w:ind w:left="945" w:hanging="945" w:hangingChars="450"/>
        <w:rPr>
          <w:rFonts w:ascii="仿宋" w:hAnsi="仿宋" w:eastAsia="仿宋" w:cs="仿宋"/>
          <w:szCs w:val="21"/>
          <w:highlight w:val="none"/>
        </w:rPr>
      </w:pPr>
      <w:r>
        <w:rPr>
          <w:rFonts w:hint="eastAsia" w:ascii="仿宋" w:hAnsi="仿宋" w:eastAsia="仿宋" w:cs="仿宋"/>
          <w:szCs w:val="21"/>
          <w:highlight w:val="none"/>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pPr>
        <w:spacing w:line="360" w:lineRule="auto"/>
        <w:rPr>
          <w:rFonts w:ascii="仿宋" w:hAnsi="仿宋" w:eastAsia="仿宋" w:cs="仿宋"/>
          <w:szCs w:val="21"/>
          <w:highlight w:val="none"/>
        </w:rPr>
      </w:pPr>
      <w:r>
        <w:rPr>
          <w:rFonts w:hint="eastAsia" w:ascii="仿宋" w:hAnsi="仿宋" w:eastAsia="仿宋" w:cs="仿宋"/>
          <w:szCs w:val="21"/>
          <w:highlight w:val="none"/>
        </w:rPr>
        <w:t>2. 投标人“承诺书”的实质内容应当与格式规定的实质内容一致。</w:t>
      </w:r>
      <w:bookmarkStart w:id="412" w:name="_Toc345249464"/>
      <w:bookmarkStart w:id="413" w:name="_Toc336091368"/>
    </w:p>
    <w:p>
      <w:pPr>
        <w:spacing w:line="440" w:lineRule="exact"/>
        <w:rPr>
          <w:rFonts w:ascii="仿宋" w:hAnsi="仿宋" w:eastAsia="仿宋" w:cs="仿宋"/>
          <w:szCs w:val="21"/>
          <w:highlight w:val="none"/>
        </w:rPr>
      </w:pPr>
      <w:r>
        <w:rPr>
          <w:rFonts w:hint="eastAsia" w:ascii="仿宋" w:hAnsi="仿宋" w:eastAsia="仿宋" w:cs="仿宋"/>
          <w:b/>
          <w:sz w:val="24"/>
          <w:szCs w:val="24"/>
          <w:highlight w:val="none"/>
        </w:rPr>
        <w:t>附件2：</w:t>
      </w:r>
    </w:p>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工农关系承诺函</w:t>
      </w:r>
    </w:p>
    <w:p>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（根据招标文件第二章投标人须知10.2要求，投标人自行编写）</w:t>
      </w: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rPr>
          <w:rFonts w:ascii="仿宋" w:hAnsi="仿宋" w:eastAsia="仿宋" w:cs="仿宋"/>
          <w:sz w:val="24"/>
          <w:highlight w:val="none"/>
        </w:rPr>
        <w:sectPr>
          <w:pgSz w:w="11905" w:h="16838"/>
          <w:pgMar w:top="1276" w:right="1417" w:bottom="1134" w:left="1531" w:header="851" w:footer="680" w:gutter="0"/>
          <w:pgNumType w:fmt="decimal"/>
          <w:cols w:space="0" w:num="1"/>
          <w:titlePg/>
          <w:docGrid w:type="lines" w:linePitch="312" w:charSpace="0"/>
        </w:sectPr>
      </w:pPr>
      <w:bookmarkStart w:id="414" w:name="_Toc408861064"/>
    </w:p>
    <w:p>
      <w:pPr>
        <w:rPr>
          <w:rFonts w:ascii="仿宋" w:hAnsi="仿宋" w:eastAsia="仿宋" w:cs="仿宋"/>
          <w:b/>
          <w:sz w:val="24"/>
          <w:szCs w:val="24"/>
          <w:highlight w:val="none"/>
        </w:rPr>
      </w:pPr>
      <w:r>
        <w:rPr>
          <w:rFonts w:hint="eastAsia" w:ascii="仿宋" w:hAnsi="仿宋" w:eastAsia="仿宋" w:cs="仿宋"/>
          <w:b/>
          <w:sz w:val="24"/>
          <w:szCs w:val="24"/>
          <w:highlight w:val="none"/>
        </w:rPr>
        <w:t>附件3：</w:t>
      </w:r>
    </w:p>
    <w:p>
      <w:pPr>
        <w:jc w:val="center"/>
        <w:rPr>
          <w:rFonts w:ascii="仿宋" w:hAnsi="仿宋" w:eastAsia="仿宋" w:cs="仿宋"/>
          <w:b/>
          <w:sz w:val="36"/>
          <w:szCs w:val="36"/>
          <w:highlight w:val="none"/>
        </w:rPr>
      </w:pPr>
    </w:p>
    <w:p>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拟投入管理人员承诺</w:t>
      </w:r>
    </w:p>
    <w:p>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（根据招标文件第二章投标人须知10.3要求，投标人自行编写）</w:t>
      </w: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r>
        <w:rPr>
          <w:rFonts w:hint="eastAsia" w:ascii="仿宋" w:hAnsi="仿宋" w:eastAsia="仿宋" w:cs="仿宋"/>
          <w:b/>
          <w:sz w:val="24"/>
          <w:szCs w:val="24"/>
          <w:highlight w:val="none"/>
        </w:rPr>
        <w:t>附件4：投标人自行踏勘现场照片</w:t>
      </w:r>
    </w:p>
    <w:p>
      <w:pPr>
        <w:tabs>
          <w:tab w:val="left" w:pos="-284"/>
        </w:tabs>
        <w:spacing w:line="360" w:lineRule="auto"/>
        <w:ind w:firstLine="487" w:firstLineChars="202"/>
        <w:jc w:val="left"/>
        <w:rPr>
          <w:rFonts w:ascii="仿宋" w:hAnsi="仿宋" w:eastAsia="仿宋" w:cs="仿宋"/>
          <w:b/>
          <w:sz w:val="24"/>
          <w:szCs w:val="24"/>
          <w:highlight w:val="none"/>
        </w:rPr>
      </w:pPr>
    </w:p>
    <w:p>
      <w:pPr>
        <w:tabs>
          <w:tab w:val="left" w:pos="-284"/>
        </w:tabs>
        <w:spacing w:line="360" w:lineRule="auto"/>
        <w:ind w:firstLine="544" w:firstLineChars="202"/>
        <w:jc w:val="center"/>
        <w:rPr>
          <w:rFonts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投标人踏勘现场图片</w:t>
      </w:r>
    </w:p>
    <w:p>
      <w:pPr>
        <w:tabs>
          <w:tab w:val="left" w:pos="-284"/>
        </w:tabs>
        <w:spacing w:line="360" w:lineRule="auto"/>
        <w:ind w:firstLine="399" w:firstLineChars="202"/>
        <w:rPr>
          <w:rFonts w:ascii="仿宋" w:hAnsi="仿宋" w:eastAsia="仿宋" w:cs="仿宋"/>
          <w:spacing w:val="-6"/>
          <w:szCs w:val="21"/>
          <w:highlight w:val="none"/>
        </w:rPr>
      </w:pPr>
    </w:p>
    <w:p>
      <w:pPr>
        <w:tabs>
          <w:tab w:val="left" w:pos="-284"/>
        </w:tabs>
        <w:spacing w:line="360" w:lineRule="auto"/>
        <w:ind w:firstLine="399" w:firstLineChars="202"/>
        <w:rPr>
          <w:rFonts w:ascii="仿宋" w:hAnsi="仿宋" w:eastAsia="仿宋" w:cs="仿宋"/>
          <w:spacing w:val="-6"/>
          <w:szCs w:val="21"/>
          <w:highlight w:val="none"/>
        </w:rPr>
      </w:pPr>
      <w:r>
        <w:rPr>
          <w:rFonts w:hint="eastAsia" w:ascii="仿宋" w:hAnsi="仿宋" w:eastAsia="仿宋" w:cs="仿宋"/>
          <w:spacing w:val="-6"/>
          <w:szCs w:val="21"/>
          <w:highlight w:val="none"/>
        </w:rPr>
        <w:t>确认书填写日期：      年     月     日</w:t>
      </w:r>
    </w:p>
    <w:p>
      <w:pPr>
        <w:tabs>
          <w:tab w:val="left" w:pos="-284"/>
        </w:tabs>
        <w:spacing w:line="360" w:lineRule="auto"/>
        <w:ind w:firstLine="460" w:firstLineChars="202"/>
        <w:rPr>
          <w:rFonts w:ascii="仿宋" w:hAnsi="仿宋" w:eastAsia="仿宋" w:cs="仿宋"/>
          <w:spacing w:val="-6"/>
          <w:sz w:val="24"/>
          <w:szCs w:val="24"/>
        </w:rPr>
      </w:pPr>
      <w:r>
        <w:rPr>
          <w:rFonts w:hint="eastAsia" w:ascii="仿宋" w:hAnsi="仿宋" w:eastAsia="仿宋" w:cs="仿宋"/>
          <w:spacing w:val="-6"/>
          <w:sz w:val="24"/>
          <w:szCs w:val="24"/>
        </w:rPr>
        <w:t>未附投标人踏勘现场图片，将作无效响应招标文件。</w:t>
      </w: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sectPr>
          <w:pgSz w:w="11905" w:h="16838"/>
          <w:pgMar w:top="1276" w:right="1417" w:bottom="1134" w:left="1531" w:header="851" w:footer="680" w:gutter="0"/>
          <w:pgNumType w:fmt="decimal"/>
          <w:cols w:space="0" w:num="1"/>
          <w:titlePg/>
          <w:docGrid w:type="lines" w:linePitch="312" w:charSpace="0"/>
        </w:sectPr>
      </w:pPr>
    </w:p>
    <w:p>
      <w:pPr>
        <w:sectPr>
          <w:pgSz w:w="11905" w:h="16838"/>
          <w:pgMar w:top="1276" w:right="1417" w:bottom="1134" w:left="1531" w:header="851" w:footer="680" w:gutter="0"/>
          <w:pgNumType w:fmt="decimal"/>
          <w:cols w:space="0" w:num="1"/>
          <w:titlePg/>
          <w:docGrid w:type="lines" w:linePitch="312" w:charSpace="0"/>
        </w:sectPr>
      </w:pPr>
      <w:r>
        <w:rPr>
          <w:rFonts w:hint="eastAsia" w:ascii="仿宋" w:hAnsi="仿宋" w:eastAsia="仿宋" w:cs="仿宋"/>
          <w:b/>
          <w:sz w:val="24"/>
          <w:szCs w:val="24"/>
        </w:rPr>
        <w:t>附件5：其它证明材料</w:t>
      </w:r>
      <w:r>
        <w:rPr>
          <w:rFonts w:hint="eastAsia" w:ascii="仿宋" w:hAnsi="仿宋" w:eastAsia="仿宋" w:cs="仿宋"/>
          <w:spacing w:val="-6"/>
          <w:szCs w:val="21"/>
          <w:lang w:val="zh-CN"/>
        </w:rPr>
        <w:t>（</w:t>
      </w:r>
      <w:r>
        <w:rPr>
          <w:rFonts w:hint="eastAsia" w:ascii="仿宋" w:hAnsi="仿宋" w:eastAsia="仿宋" w:cs="仿宋"/>
          <w:spacing w:val="-6"/>
          <w:szCs w:val="21"/>
        </w:rPr>
        <w:t>含评审所需材料等</w:t>
      </w:r>
      <w:r>
        <w:rPr>
          <w:rFonts w:hint="eastAsia" w:ascii="仿宋" w:hAnsi="仿宋" w:eastAsia="仿宋" w:cs="仿宋"/>
          <w:spacing w:val="-6"/>
          <w:szCs w:val="21"/>
          <w:lang w:val="zh-CN"/>
        </w:rPr>
        <w:t>）</w:t>
      </w:r>
    </w:p>
    <w:bookmarkEnd w:id="412"/>
    <w:bookmarkEnd w:id="413"/>
    <w:bookmarkEnd w:id="414"/>
    <w:p>
      <w:pPr>
        <w:spacing w:before="156" w:beforeLines="50" w:line="492" w:lineRule="exact"/>
        <w:jc w:val="center"/>
        <w:rPr>
          <w:rFonts w:ascii="仿宋" w:hAnsi="仿宋" w:eastAsia="仿宋" w:cs="仿宋"/>
          <w:b/>
          <w:bCs/>
          <w:sz w:val="24"/>
          <w:highlight w:val="none"/>
        </w:rPr>
      </w:pPr>
      <w:r>
        <w:rPr>
          <w:rFonts w:hint="eastAsia" w:ascii="仿宋" w:hAnsi="仿宋" w:eastAsia="仿宋" w:cs="仿宋"/>
          <w:b/>
          <w:bCs/>
          <w:sz w:val="24"/>
          <w:highlight w:val="none"/>
        </w:rPr>
        <w:t>投标人加盖公章复印件审查表</w:t>
      </w:r>
    </w:p>
    <w:p>
      <w:pPr>
        <w:spacing w:line="492" w:lineRule="exact"/>
        <w:ind w:left="840"/>
        <w:rPr>
          <w:rFonts w:ascii="仿宋" w:hAnsi="仿宋" w:eastAsia="仿宋" w:cs="仿宋"/>
          <w:sz w:val="24"/>
          <w:highlight w:val="none"/>
          <w:u w:val="single"/>
        </w:rPr>
      </w:pPr>
      <w:r>
        <w:rPr>
          <w:rFonts w:hint="eastAsia" w:ascii="仿宋" w:hAnsi="仿宋" w:eastAsia="仿宋" w:cs="仿宋"/>
          <w:sz w:val="24"/>
          <w:highlight w:val="none"/>
        </w:rPr>
        <w:t>项目名称：</w:t>
      </w:r>
    </w:p>
    <w:p>
      <w:pPr>
        <w:spacing w:before="156" w:beforeLines="50" w:line="492" w:lineRule="exact"/>
        <w:ind w:left="840"/>
        <w:rPr>
          <w:rFonts w:ascii="仿宋" w:hAnsi="仿宋" w:eastAsia="仿宋" w:cs="仿宋"/>
          <w:sz w:val="24"/>
          <w:highlight w:val="none"/>
        </w:rPr>
      </w:pPr>
      <w:r>
        <w:rPr>
          <w:rFonts w:hint="eastAsia" w:ascii="仿宋" w:hAnsi="仿宋" w:eastAsia="仿宋" w:cs="仿宋"/>
          <w:sz w:val="24"/>
          <w:highlight w:val="none"/>
        </w:rPr>
        <w:t>投标人：（盖章）</w:t>
      </w:r>
    </w:p>
    <w:tbl>
      <w:tblPr>
        <w:tblStyle w:val="15"/>
        <w:tblpPr w:leftFromText="180" w:rightFromText="180" w:vertAnchor="text" w:horzAnchor="page" w:tblpX="1642" w:tblpY="34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486"/>
        <w:gridCol w:w="3153"/>
        <w:gridCol w:w="2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加盖公章复印件名称</w:t>
            </w:r>
          </w:p>
        </w:tc>
        <w:tc>
          <w:tcPr>
            <w:tcW w:w="3639" w:type="dxa"/>
            <w:gridSpan w:val="2"/>
            <w:vAlign w:val="center"/>
          </w:tcPr>
          <w:p>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加盖公章复印件内容</w:t>
            </w:r>
          </w:p>
        </w:tc>
        <w:tc>
          <w:tcPr>
            <w:tcW w:w="2353" w:type="dxa"/>
            <w:vAlign w:val="center"/>
          </w:tcPr>
          <w:p>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审查结果有效或无效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rPr>
              <w:t>营业执照</w:t>
            </w:r>
          </w:p>
        </w:tc>
        <w:tc>
          <w:tcPr>
            <w:tcW w:w="3639" w:type="dxa"/>
            <w:gridSpan w:val="2"/>
            <w:vAlign w:val="center"/>
          </w:tcPr>
          <w:p>
            <w:pPr>
              <w:spacing w:line="460" w:lineRule="exact"/>
              <w:jc w:val="left"/>
              <w:rPr>
                <w:rFonts w:ascii="仿宋" w:hAnsi="仿宋" w:eastAsia="仿宋" w:cs="仿宋"/>
                <w:szCs w:val="21"/>
              </w:rPr>
            </w:pPr>
            <w:r>
              <w:rPr>
                <w:rFonts w:hint="eastAsia" w:ascii="仿宋" w:hAnsi="仿宋" w:eastAsia="仿宋" w:cs="仿宋"/>
                <w:szCs w:val="21"/>
              </w:rPr>
              <w:t>证书编号：</w:t>
            </w:r>
          </w:p>
          <w:p>
            <w:pPr>
              <w:spacing w:line="460" w:lineRule="exact"/>
              <w:jc w:val="left"/>
              <w:rPr>
                <w:rFonts w:ascii="仿宋" w:hAnsi="仿宋" w:eastAsia="仿宋" w:cs="仿宋"/>
                <w:kern w:val="2"/>
                <w:sz w:val="21"/>
                <w:szCs w:val="21"/>
                <w:lang w:val="en-US" w:eastAsia="zh-CN" w:bidi="ar-SA"/>
              </w:rPr>
            </w:pPr>
            <w:r>
              <w:rPr>
                <w:rFonts w:hint="eastAsia" w:ascii="仿宋" w:hAnsi="仿宋" w:eastAsia="仿宋" w:cs="仿宋"/>
                <w:szCs w:val="21"/>
              </w:rPr>
              <w:t>最近一次年检时间：</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资质证书（提供加盖公章复印件或提供可查询二维码标识的证书复印件并加盖公章）</w:t>
            </w: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资质等级：</w:t>
            </w:r>
          </w:p>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证书编号：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近三年完成类似</w:t>
            </w:r>
            <w:r>
              <w:rPr>
                <w:rFonts w:hint="eastAsia" w:ascii="仿宋" w:hAnsi="仿宋" w:eastAsia="仿宋" w:cs="仿宋"/>
                <w:color w:val="auto"/>
                <w:highlight w:val="none"/>
                <w:lang w:eastAsia="zh-CN"/>
              </w:rPr>
              <w:t>建筑工程</w:t>
            </w:r>
            <w:r>
              <w:rPr>
                <w:rFonts w:hint="eastAsia" w:ascii="仿宋" w:hAnsi="仿宋" w:eastAsia="仿宋" w:cs="仿宋"/>
                <w:szCs w:val="21"/>
                <w:highlight w:val="none"/>
              </w:rPr>
              <w:t>业绩证明（如有）</w:t>
            </w: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①</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②</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202</w:t>
            </w:r>
            <w:r>
              <w:rPr>
                <w:rFonts w:hint="eastAsia" w:ascii="仿宋" w:hAnsi="仿宋" w:eastAsia="仿宋" w:cs="仿宋"/>
                <w:szCs w:val="21"/>
                <w:highlight w:val="none"/>
                <w:lang w:val="en-US" w:eastAsia="zh-CN"/>
              </w:rPr>
              <w:t>3或2024</w:t>
            </w:r>
            <w:r>
              <w:rPr>
                <w:rFonts w:hint="eastAsia" w:ascii="仿宋" w:hAnsi="仿宋" w:eastAsia="仿宋" w:cs="仿宋"/>
                <w:szCs w:val="21"/>
                <w:highlight w:val="none"/>
              </w:rPr>
              <w:t>年度的财务审计报告（如成立不足1年的公司无需提供）</w:t>
            </w:r>
          </w:p>
        </w:tc>
        <w:tc>
          <w:tcPr>
            <w:tcW w:w="3639" w:type="dxa"/>
            <w:gridSpan w:val="2"/>
            <w:vAlign w:val="center"/>
          </w:tcPr>
          <w:p>
            <w:pPr>
              <w:spacing w:line="460" w:lineRule="exact"/>
              <w:jc w:val="left"/>
              <w:rPr>
                <w:rFonts w:ascii="仿宋" w:hAnsi="仿宋" w:eastAsia="仿宋" w:cs="仿宋"/>
                <w:szCs w:val="21"/>
                <w:highlight w:val="none"/>
              </w:rPr>
            </w:pP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注册建造师（不含临时证）</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资格证书：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68" w:type="dxa"/>
            <w:vMerge w:val="restart"/>
            <w:vAlign w:val="center"/>
          </w:tcPr>
          <w:p>
            <w:pPr>
              <w:spacing w:line="460" w:lineRule="exact"/>
              <w:rPr>
                <w:rFonts w:ascii="仿宋" w:hAnsi="仿宋" w:eastAsia="仿宋" w:cs="仿宋"/>
                <w:bCs/>
                <w:szCs w:val="21"/>
                <w:highlight w:val="none"/>
              </w:rPr>
            </w:pPr>
            <w:r>
              <w:rPr>
                <w:rFonts w:hint="eastAsia" w:ascii="仿宋" w:hAnsi="仿宋" w:eastAsia="仿宋" w:cs="仿宋"/>
                <w:szCs w:val="21"/>
                <w:highlight w:val="none"/>
              </w:rPr>
              <w:t>技术负责人</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职称证书：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施工员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质检员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材料员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资料员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安全生产许可证</w:t>
            </w: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证号：</w:t>
            </w:r>
          </w:p>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最近一次年检时间：</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rPr>
                <w:rFonts w:hint="default" w:ascii="仿宋" w:hAnsi="仿宋" w:eastAsia="仿宋" w:cs="仿宋"/>
                <w:szCs w:val="21"/>
                <w:highlight w:val="none"/>
                <w:lang w:val="en-US" w:eastAsia="zh-CN"/>
              </w:rPr>
            </w:pPr>
            <w:r>
              <w:rPr>
                <w:rFonts w:hint="eastAsia" w:ascii="仿宋" w:hAnsi="仿宋" w:eastAsia="仿宋" w:cs="仿宋"/>
                <w:szCs w:val="21"/>
                <w:highlight w:val="none"/>
              </w:rPr>
              <w:t>银行基本</w:t>
            </w:r>
            <w:r>
              <w:rPr>
                <w:rFonts w:hint="eastAsia" w:ascii="仿宋" w:hAnsi="仿宋" w:eastAsia="仿宋" w:cs="仿宋"/>
                <w:szCs w:val="21"/>
                <w:highlight w:val="none"/>
                <w:lang w:eastAsia="zh-CN"/>
              </w:rPr>
              <w:t>账</w:t>
            </w:r>
            <w:bookmarkStart w:id="422" w:name="_GoBack"/>
            <w:bookmarkEnd w:id="422"/>
            <w:r>
              <w:rPr>
                <w:rFonts w:hint="eastAsia" w:ascii="仿宋" w:hAnsi="仿宋" w:eastAsia="仿宋" w:cs="仿宋"/>
                <w:szCs w:val="21"/>
                <w:highlight w:val="none"/>
              </w:rPr>
              <w:t>户开户许可证</w:t>
            </w:r>
            <w:r>
              <w:rPr>
                <w:rFonts w:hint="eastAsia" w:ascii="仿宋" w:hAnsi="仿宋" w:eastAsia="仿宋" w:cs="仿宋"/>
                <w:szCs w:val="21"/>
                <w:highlight w:val="none"/>
                <w:lang w:val="en-US" w:eastAsia="zh-CN"/>
              </w:rPr>
              <w:t>或银行账户基本存款信息</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证号：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其他证明材料</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招标文件要求提供的相关材料。</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068" w:type="dxa"/>
            <w:vAlign w:val="center"/>
          </w:tcPr>
          <w:p>
            <w:pPr>
              <w:spacing w:line="460" w:lineRule="exact"/>
              <w:rPr>
                <w:rFonts w:ascii="仿宋" w:hAnsi="仿宋" w:eastAsia="仿宋" w:cs="仿宋"/>
                <w:bCs/>
                <w:szCs w:val="21"/>
                <w:highlight w:val="none"/>
              </w:rPr>
            </w:pPr>
            <w:r>
              <w:rPr>
                <w:rFonts w:hint="eastAsia" w:ascii="仿宋" w:hAnsi="仿宋" w:eastAsia="仿宋" w:cs="仿宋"/>
                <w:szCs w:val="21"/>
                <w:highlight w:val="none"/>
              </w:rPr>
              <w:t>参加投标、开标的投标人代表持证明材料要求</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法定代表人或被授权人： </w:t>
            </w:r>
          </w:p>
          <w:p>
            <w:pPr>
              <w:spacing w:line="460" w:lineRule="exact"/>
              <w:rPr>
                <w:rFonts w:ascii="仿宋" w:hAnsi="仿宋" w:eastAsia="仿宋" w:cs="仿宋"/>
                <w:strike/>
                <w:szCs w:val="21"/>
                <w:highlight w:val="none"/>
              </w:rPr>
            </w:pPr>
            <w:r>
              <w:rPr>
                <w:rFonts w:hint="eastAsia" w:ascii="仿宋" w:hAnsi="仿宋" w:eastAsia="仿宋" w:cs="仿宋"/>
                <w:szCs w:val="21"/>
                <w:highlight w:val="none"/>
              </w:rPr>
              <w:t>身份证号：</w:t>
            </w:r>
          </w:p>
        </w:tc>
        <w:tc>
          <w:tcPr>
            <w:tcW w:w="2353" w:type="dxa"/>
            <w:vAlign w:val="center"/>
          </w:tcPr>
          <w:p>
            <w:pPr>
              <w:spacing w:line="460" w:lineRule="exact"/>
              <w:jc w:val="center"/>
              <w:rPr>
                <w:rFonts w:ascii="仿宋" w:hAnsi="仿宋" w:eastAsia="仿宋" w:cs="仿宋"/>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060" w:type="dxa"/>
            <w:gridSpan w:val="4"/>
            <w:tcBorders>
              <w:top w:val="single" w:color="auto" w:sz="4" w:space="0"/>
              <w:left w:val="single" w:color="auto" w:sz="4" w:space="0"/>
              <w:bottom w:val="single" w:color="auto" w:sz="4" w:space="0"/>
              <w:right w:val="single" w:color="auto" w:sz="4" w:space="0"/>
            </w:tcBorders>
          </w:tcPr>
          <w:p>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以上有关证明或证件的加盖公章复印件共计  份 </w:t>
            </w:r>
          </w:p>
          <w:p>
            <w:pPr>
              <w:spacing w:line="460" w:lineRule="exact"/>
              <w:ind w:firstLine="3570" w:firstLineChars="1700"/>
              <w:rPr>
                <w:rFonts w:ascii="仿宋" w:hAnsi="仿宋" w:eastAsia="仿宋" w:cs="仿宋"/>
                <w:szCs w:val="21"/>
                <w:highlight w:val="none"/>
              </w:rPr>
            </w:pPr>
            <w:r>
              <w:rPr>
                <w:rFonts w:hint="eastAsia" w:ascii="仿宋" w:hAnsi="仿宋" w:eastAsia="仿宋" w:cs="仿宋"/>
                <w:szCs w:val="21"/>
                <w:highlight w:val="none"/>
              </w:rPr>
              <w:t>投标人代表：（签字）</w:t>
            </w:r>
          </w:p>
          <w:p>
            <w:pPr>
              <w:spacing w:line="460" w:lineRule="exact"/>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3554"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审查结论：</w:t>
            </w:r>
          </w:p>
        </w:tc>
        <w:tc>
          <w:tcPr>
            <w:tcW w:w="5506"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评标委员会：                                                              </w:t>
            </w:r>
          </w:p>
          <w:p>
            <w:pPr>
              <w:spacing w:line="460" w:lineRule="exact"/>
              <w:rPr>
                <w:rFonts w:ascii="仿宋" w:hAnsi="仿宋" w:eastAsia="仿宋" w:cs="仿宋"/>
                <w:szCs w:val="21"/>
                <w:highlight w:val="none"/>
              </w:rPr>
            </w:pPr>
          </w:p>
          <w:p>
            <w:pPr>
              <w:spacing w:line="460" w:lineRule="exact"/>
              <w:ind w:firstLine="2625" w:firstLineChars="1250"/>
              <w:rPr>
                <w:rFonts w:ascii="仿宋" w:hAnsi="仿宋" w:eastAsia="仿宋" w:cs="仿宋"/>
                <w:szCs w:val="21"/>
                <w:highlight w:val="none"/>
              </w:rPr>
            </w:pPr>
            <w:r>
              <w:rPr>
                <w:rFonts w:hint="eastAsia" w:ascii="仿宋" w:hAnsi="仿宋" w:eastAsia="仿宋" w:cs="仿宋"/>
                <w:szCs w:val="21"/>
                <w:highlight w:val="none"/>
              </w:rPr>
              <w:t xml:space="preserve"> 年   月   日</w:t>
            </w:r>
          </w:p>
        </w:tc>
      </w:tr>
    </w:tbl>
    <w:p>
      <w:pPr>
        <w:tabs>
          <w:tab w:val="left" w:pos="-180"/>
        </w:tabs>
        <w:spacing w:line="360" w:lineRule="exact"/>
        <w:ind w:firstLine="315" w:firstLineChars="150"/>
        <w:rPr>
          <w:rFonts w:ascii="仿宋" w:hAnsi="仿宋" w:eastAsia="仿宋" w:cs="仿宋"/>
          <w:szCs w:val="21"/>
          <w:highlight w:val="none"/>
        </w:rPr>
      </w:pPr>
      <w:r>
        <w:rPr>
          <w:rFonts w:hint="eastAsia" w:ascii="仿宋" w:hAnsi="仿宋" w:eastAsia="仿宋" w:cs="仿宋"/>
          <w:szCs w:val="21"/>
          <w:highlight w:val="none"/>
        </w:rPr>
        <w:t>注：投标人应依据招标文件涉及的投标人资格、信誉、业绩、能力以及相关人员证件等证明文件加盖公章复印件应在递交投标文件时一起递交。</w:t>
      </w:r>
    </w:p>
    <w:p>
      <w:pPr>
        <w:tabs>
          <w:tab w:val="left" w:pos="-284"/>
        </w:tabs>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rPr>
        <w:t>1、</w:t>
      </w:r>
      <w:r>
        <w:rPr>
          <w:rFonts w:hint="eastAsia" w:ascii="仿宋" w:hAnsi="仿宋" w:eastAsia="仿宋" w:cs="仿宋"/>
          <w:spacing w:val="-6"/>
          <w:szCs w:val="21"/>
          <w:highlight w:val="none"/>
        </w:rPr>
        <w:t>以上证件为资格条件需要的</w:t>
      </w:r>
      <w:r>
        <w:rPr>
          <w:rFonts w:hint="eastAsia" w:ascii="仿宋" w:hAnsi="仿宋" w:eastAsia="仿宋" w:cs="仿宋"/>
          <w:szCs w:val="21"/>
          <w:highlight w:val="none"/>
        </w:rPr>
        <w:t>加盖公章复印件</w:t>
      </w:r>
      <w:r>
        <w:rPr>
          <w:rFonts w:hint="eastAsia" w:ascii="仿宋" w:hAnsi="仿宋" w:eastAsia="仿宋" w:cs="仿宋"/>
          <w:spacing w:val="-6"/>
          <w:szCs w:val="21"/>
          <w:highlight w:val="none"/>
        </w:rPr>
        <w:t xml:space="preserve">，如不提供或不满足资格条件则不能通过资格审查作无效投标处理； </w:t>
      </w:r>
    </w:p>
    <w:p>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rPr>
        <w:t>2、本表投标人填写的内容必须与提供的加盖公章复印件内容一致；</w:t>
      </w:r>
    </w:p>
    <w:p>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rPr>
        <w:t>3、加盖公章复印件审查结论由评标委员会填写，其余由投标人填写；评标委员会按“第三章评标办法”标准进行评分。</w:t>
      </w:r>
    </w:p>
    <w:p>
      <w:pPr>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rPr>
        <w:t>4、本表由投标人填写好后加盖单位公章，不与投标文件装订。</w:t>
      </w:r>
    </w:p>
    <w:p>
      <w:pPr>
        <w:spacing w:line="360" w:lineRule="auto"/>
        <w:ind w:firstLine="399" w:firstLineChars="202"/>
        <w:rPr>
          <w:rFonts w:ascii="仿宋" w:hAnsi="仿宋" w:eastAsia="仿宋" w:cs="仿宋"/>
          <w:spacing w:val="-6"/>
          <w:szCs w:val="21"/>
          <w:highlight w:val="none"/>
        </w:rPr>
      </w:pPr>
    </w:p>
    <w:p>
      <w:pPr>
        <w:rPr>
          <w:rFonts w:ascii="仿宋" w:hAnsi="仿宋" w:eastAsia="仿宋" w:cs="仿宋"/>
          <w:highlight w:val="none"/>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 </w:t>
      </w:r>
    </w:p>
    <w:sectPr>
      <w:pgSz w:w="11905" w:h="16838"/>
      <w:pgMar w:top="1276" w:right="1417" w:bottom="1134" w:left="1531" w:header="851" w:footer="680"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17"/>
      </w:rPr>
    </w:pPr>
    <w:r>
      <w:fldChar w:fldCharType="begin"/>
    </w:r>
    <w:r>
      <w:rPr>
        <w:rStyle w:val="17"/>
      </w:rPr>
      <w:instrText xml:space="preserve">PAGE  </w:instrText>
    </w:r>
    <w:r>
      <w:fldChar w:fldCharType="separate"/>
    </w:r>
    <w:ins w:id="0" w:author="Administrator" w:date="2013-11-08T10:25:00Z">
      <w:r>
        <w:rPr>
          <w:rStyle w:val="17"/>
        </w:rPr>
        <w:t>36</w:t>
      </w:r>
    </w:ins>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78"/>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bookmarkStart w:id="415" w:name="OLE_LINK25"/>
    <w:bookmarkStart w:id="416" w:name="OLE_LINK20"/>
    <w:bookmarkStart w:id="417" w:name="OLE_LINK21"/>
    <w:bookmarkStart w:id="418" w:name="OLE_LINK24"/>
    <w:bookmarkStart w:id="419" w:name="OLE_LINK22"/>
    <w:bookmarkStart w:id="420" w:name="OLE_LINK23"/>
    <w:bookmarkStart w:id="421" w:name="OLE_LINK26"/>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1NVb69YAAAAHAQAADwAAAAAAAAABACAA&#10;AAA4AAAAZHJzL2Rvd25yZXYueG1sUEsBAhQAFAAAAAgAh07iQNteLHwyAgAAVQQAAA4AAAAAAAAA&#10;AQAgAAAAOwEAAGRycy9lMm9Eb2MueG1sUEsFBgAAAAAGAAYAWQEAAN8FAAAAAA==&#10;">
              <v:fill on="f" focussize="0,0"/>
              <v:stroke on="f" weight="0.5pt"/>
              <v:imagedata o:title=""/>
              <o:lock v:ext="edit" aspectratio="f"/>
              <v:textbox inset="0mm,0mm,0mm,0mm">
                <w:txbxContent>
                  <w:p>
                    <w:pPr>
                      <w:pStyle w:val="12"/>
                    </w:pPr>
                  </w:p>
                </w:txbxContent>
              </v:textbox>
            </v:shape>
          </w:pict>
        </mc:Fallback>
      </mc:AlternateContent>
    </w:r>
  </w:p>
  <w:bookmarkEnd w:id="415"/>
  <w:bookmarkEnd w:id="416"/>
  <w:bookmarkEnd w:id="417"/>
  <w:bookmarkEnd w:id="418"/>
  <w:bookmarkEnd w:id="419"/>
  <w:bookmarkEnd w:id="420"/>
  <w:bookmarkEnd w:id="421"/>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4965"/>
        <w:tab w:val="clear" w:pos="4153"/>
        <w:tab w:val="clear" w:pos="8306"/>
      </w:tabs>
      <w:ind w:right="6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9AE57751"/>
    <w:multiLevelType w:val="singleLevel"/>
    <w:tmpl w:val="9AE57751"/>
    <w:lvl w:ilvl="0" w:tentative="0">
      <w:start w:val="1"/>
      <w:numFmt w:val="decimal"/>
      <w:suff w:val="space"/>
      <w:lvlText w:val="%1."/>
      <w:lvlJc w:val="left"/>
      <w:rPr>
        <w:rFonts w:hint="default"/>
        <w:b/>
        <w:bCs/>
      </w:rPr>
    </w:lvl>
  </w:abstractNum>
  <w:abstractNum w:abstractNumId="2">
    <w:nsid w:val="F8C8BA9A"/>
    <w:multiLevelType w:val="singleLevel"/>
    <w:tmpl w:val="F8C8BA9A"/>
    <w:lvl w:ilvl="0" w:tentative="0">
      <w:start w:val="6"/>
      <w:numFmt w:val="chineseCounting"/>
      <w:suff w:val="space"/>
      <w:lvlText w:val="第%1章"/>
      <w:lvlJc w:val="left"/>
      <w:rPr>
        <w:rFonts w:hint="eastAsia"/>
      </w:rPr>
    </w:lvl>
  </w:abstractNum>
  <w:abstractNum w:abstractNumId="3">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5"/>
      <w:isLgl/>
      <w:lvlText w:val="%1.%2.%3"/>
      <w:lvlJc w:val="left"/>
      <w:pPr>
        <w:tabs>
          <w:tab w:val="left" w:pos="709"/>
        </w:tabs>
        <w:ind w:left="709" w:hanging="709"/>
      </w:pPr>
      <w:rPr>
        <w:rFonts w:hint="eastAsia"/>
      </w:rPr>
    </w:lvl>
    <w:lvl w:ilvl="3" w:tentative="0">
      <w:start w:val="1"/>
      <w:numFmt w:val="decimal"/>
      <w:pStyle w:val="6"/>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12D7A0B3"/>
    <w:multiLevelType w:val="singleLevel"/>
    <w:tmpl w:val="12D7A0B3"/>
    <w:lvl w:ilvl="0" w:tentative="0">
      <w:start w:val="1"/>
      <w:numFmt w:val="chineseCounting"/>
      <w:suff w:val="space"/>
      <w:lvlText w:val="第%1章"/>
      <w:lvlJc w:val="left"/>
      <w:rPr>
        <w:rFonts w:hint="eastAsia"/>
      </w:rPr>
    </w:lvl>
  </w:abstractNum>
  <w:abstractNum w:abstractNumId="5">
    <w:nsid w:val="53702EB3"/>
    <w:multiLevelType w:val="singleLevel"/>
    <w:tmpl w:val="53702EB3"/>
    <w:lvl w:ilvl="0" w:tentative="0">
      <w:start w:val="1"/>
      <w:numFmt w:val="decimal"/>
      <w:suff w:val="nothing"/>
      <w:lvlText w:val="%1、"/>
      <w:lvlJc w:val="left"/>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Y2JjNDYzMmIxYjdlNjA2NTIyMmNjZTc0YjVmMTMifQ=="/>
    <w:docVar w:name="KSO_WPS_MARK_KEY" w:val="1f2c4acd-16a2-4184-abb9-98c1fa637219"/>
  </w:docVars>
  <w:rsids>
    <w:rsidRoot w:val="6AE320AD"/>
    <w:rsid w:val="000222DE"/>
    <w:rsid w:val="00113A55"/>
    <w:rsid w:val="00146D8A"/>
    <w:rsid w:val="00192FF6"/>
    <w:rsid w:val="0022237E"/>
    <w:rsid w:val="0028780F"/>
    <w:rsid w:val="002A1C40"/>
    <w:rsid w:val="002A54CF"/>
    <w:rsid w:val="002B3716"/>
    <w:rsid w:val="002C4449"/>
    <w:rsid w:val="00363E82"/>
    <w:rsid w:val="00384D25"/>
    <w:rsid w:val="00480CBD"/>
    <w:rsid w:val="00481D2C"/>
    <w:rsid w:val="0049596B"/>
    <w:rsid w:val="004A79AD"/>
    <w:rsid w:val="00515C5E"/>
    <w:rsid w:val="005308BC"/>
    <w:rsid w:val="00723C4C"/>
    <w:rsid w:val="00753673"/>
    <w:rsid w:val="00753E8A"/>
    <w:rsid w:val="00793D63"/>
    <w:rsid w:val="007B29F3"/>
    <w:rsid w:val="0089568A"/>
    <w:rsid w:val="008A2DC9"/>
    <w:rsid w:val="008A5EC3"/>
    <w:rsid w:val="008B7A70"/>
    <w:rsid w:val="009108D8"/>
    <w:rsid w:val="00966500"/>
    <w:rsid w:val="009F328B"/>
    <w:rsid w:val="00AB384B"/>
    <w:rsid w:val="00AD43E0"/>
    <w:rsid w:val="00B13072"/>
    <w:rsid w:val="00B31772"/>
    <w:rsid w:val="00B33155"/>
    <w:rsid w:val="00B65DF2"/>
    <w:rsid w:val="00B76518"/>
    <w:rsid w:val="00BB4147"/>
    <w:rsid w:val="00BC11B9"/>
    <w:rsid w:val="00BE4759"/>
    <w:rsid w:val="00BF4BC1"/>
    <w:rsid w:val="00C216F9"/>
    <w:rsid w:val="00C22E2C"/>
    <w:rsid w:val="00C540FE"/>
    <w:rsid w:val="00C93293"/>
    <w:rsid w:val="00CC4F4B"/>
    <w:rsid w:val="00CC62CD"/>
    <w:rsid w:val="00D07CE7"/>
    <w:rsid w:val="00D2206F"/>
    <w:rsid w:val="00D24FF0"/>
    <w:rsid w:val="00DC6C24"/>
    <w:rsid w:val="00DD2FED"/>
    <w:rsid w:val="00E26CB9"/>
    <w:rsid w:val="00E55C19"/>
    <w:rsid w:val="00E57E77"/>
    <w:rsid w:val="00E61298"/>
    <w:rsid w:val="00EB2CB7"/>
    <w:rsid w:val="00F654F0"/>
    <w:rsid w:val="00FA0A94"/>
    <w:rsid w:val="00FA21E1"/>
    <w:rsid w:val="00FB3EF7"/>
    <w:rsid w:val="010327FB"/>
    <w:rsid w:val="0138573D"/>
    <w:rsid w:val="0147153B"/>
    <w:rsid w:val="01604271"/>
    <w:rsid w:val="018159AF"/>
    <w:rsid w:val="01932CF4"/>
    <w:rsid w:val="01A6098D"/>
    <w:rsid w:val="01AA30A5"/>
    <w:rsid w:val="01D6466C"/>
    <w:rsid w:val="01E943A0"/>
    <w:rsid w:val="01FA0A63"/>
    <w:rsid w:val="01FB0577"/>
    <w:rsid w:val="01FF4EDD"/>
    <w:rsid w:val="0217630E"/>
    <w:rsid w:val="021A27F4"/>
    <w:rsid w:val="022B2C0A"/>
    <w:rsid w:val="023B0973"/>
    <w:rsid w:val="027D0F8C"/>
    <w:rsid w:val="02B344D7"/>
    <w:rsid w:val="02CB5453"/>
    <w:rsid w:val="03275024"/>
    <w:rsid w:val="034947EB"/>
    <w:rsid w:val="035444F6"/>
    <w:rsid w:val="037759DB"/>
    <w:rsid w:val="03990047"/>
    <w:rsid w:val="039C2912"/>
    <w:rsid w:val="03EE2141"/>
    <w:rsid w:val="041277DC"/>
    <w:rsid w:val="042F69BB"/>
    <w:rsid w:val="044518AC"/>
    <w:rsid w:val="046917C8"/>
    <w:rsid w:val="048A6FDB"/>
    <w:rsid w:val="048B7990"/>
    <w:rsid w:val="04976DFA"/>
    <w:rsid w:val="04A711A6"/>
    <w:rsid w:val="04BA2023"/>
    <w:rsid w:val="04C106F1"/>
    <w:rsid w:val="04C32C69"/>
    <w:rsid w:val="04DA057F"/>
    <w:rsid w:val="05123C0E"/>
    <w:rsid w:val="052D5AC4"/>
    <w:rsid w:val="054B5371"/>
    <w:rsid w:val="05637982"/>
    <w:rsid w:val="0566574C"/>
    <w:rsid w:val="056974FD"/>
    <w:rsid w:val="05A86320"/>
    <w:rsid w:val="05AF76AE"/>
    <w:rsid w:val="05CB200E"/>
    <w:rsid w:val="060C2D53"/>
    <w:rsid w:val="062B4BCD"/>
    <w:rsid w:val="06581AF4"/>
    <w:rsid w:val="06610827"/>
    <w:rsid w:val="06B34F7C"/>
    <w:rsid w:val="06BE1569"/>
    <w:rsid w:val="06D168AC"/>
    <w:rsid w:val="06EE06AA"/>
    <w:rsid w:val="07155C37"/>
    <w:rsid w:val="0728596A"/>
    <w:rsid w:val="075A7AEE"/>
    <w:rsid w:val="076D5A73"/>
    <w:rsid w:val="077A7A71"/>
    <w:rsid w:val="078057A6"/>
    <w:rsid w:val="07A86AAB"/>
    <w:rsid w:val="07B13FA0"/>
    <w:rsid w:val="07B74F40"/>
    <w:rsid w:val="07C40CD1"/>
    <w:rsid w:val="07DD49A7"/>
    <w:rsid w:val="0808754A"/>
    <w:rsid w:val="082425D6"/>
    <w:rsid w:val="083A2978"/>
    <w:rsid w:val="08433A76"/>
    <w:rsid w:val="0863453A"/>
    <w:rsid w:val="08892439"/>
    <w:rsid w:val="088A6F87"/>
    <w:rsid w:val="088E3EF3"/>
    <w:rsid w:val="08A82A76"/>
    <w:rsid w:val="08AB47DB"/>
    <w:rsid w:val="08B13FC0"/>
    <w:rsid w:val="08C571E9"/>
    <w:rsid w:val="08CF1E16"/>
    <w:rsid w:val="08DA2C94"/>
    <w:rsid w:val="08E3610E"/>
    <w:rsid w:val="09287A39"/>
    <w:rsid w:val="09306D58"/>
    <w:rsid w:val="09357EC0"/>
    <w:rsid w:val="09385C0D"/>
    <w:rsid w:val="09862E1C"/>
    <w:rsid w:val="099C65CF"/>
    <w:rsid w:val="09DF51AD"/>
    <w:rsid w:val="09E244F6"/>
    <w:rsid w:val="09F67BE2"/>
    <w:rsid w:val="0A083E41"/>
    <w:rsid w:val="0A252635"/>
    <w:rsid w:val="0A343490"/>
    <w:rsid w:val="0A696084"/>
    <w:rsid w:val="0A9F117E"/>
    <w:rsid w:val="0ABA708C"/>
    <w:rsid w:val="0B115059"/>
    <w:rsid w:val="0B6C008E"/>
    <w:rsid w:val="0BAE6DA7"/>
    <w:rsid w:val="0BB417B0"/>
    <w:rsid w:val="0BCA5242"/>
    <w:rsid w:val="0BCE4606"/>
    <w:rsid w:val="0BD25EA5"/>
    <w:rsid w:val="0BF57DE5"/>
    <w:rsid w:val="0BF91AC6"/>
    <w:rsid w:val="0C101E16"/>
    <w:rsid w:val="0C210BDA"/>
    <w:rsid w:val="0C394176"/>
    <w:rsid w:val="0C4265C6"/>
    <w:rsid w:val="0C4274CE"/>
    <w:rsid w:val="0C4548C9"/>
    <w:rsid w:val="0C656D19"/>
    <w:rsid w:val="0C700C3A"/>
    <w:rsid w:val="0C9615C8"/>
    <w:rsid w:val="0CAD246E"/>
    <w:rsid w:val="0CB86236"/>
    <w:rsid w:val="0CBF203E"/>
    <w:rsid w:val="0CE2480D"/>
    <w:rsid w:val="0D1F22DB"/>
    <w:rsid w:val="0D325F50"/>
    <w:rsid w:val="0D330BC5"/>
    <w:rsid w:val="0D523D6C"/>
    <w:rsid w:val="0D5E5104"/>
    <w:rsid w:val="0D7B6685"/>
    <w:rsid w:val="0D8E04F1"/>
    <w:rsid w:val="0DC65EDD"/>
    <w:rsid w:val="0DFE1C82"/>
    <w:rsid w:val="0E1D28DE"/>
    <w:rsid w:val="0E252C04"/>
    <w:rsid w:val="0E395D20"/>
    <w:rsid w:val="0E796AAB"/>
    <w:rsid w:val="0EA343BD"/>
    <w:rsid w:val="0EB94E27"/>
    <w:rsid w:val="0EDF4883"/>
    <w:rsid w:val="0EE6313B"/>
    <w:rsid w:val="0EF80CCA"/>
    <w:rsid w:val="0F0740B7"/>
    <w:rsid w:val="0F61620B"/>
    <w:rsid w:val="0F7E59C5"/>
    <w:rsid w:val="0F997694"/>
    <w:rsid w:val="0FA77648"/>
    <w:rsid w:val="0FDB48C3"/>
    <w:rsid w:val="0FE4264A"/>
    <w:rsid w:val="0FF7237E"/>
    <w:rsid w:val="101E5B5C"/>
    <w:rsid w:val="106A3398"/>
    <w:rsid w:val="10863702"/>
    <w:rsid w:val="109E373D"/>
    <w:rsid w:val="10AA5642"/>
    <w:rsid w:val="10C67E92"/>
    <w:rsid w:val="10CE3E9D"/>
    <w:rsid w:val="111B6540"/>
    <w:rsid w:val="117B4847"/>
    <w:rsid w:val="11A02C31"/>
    <w:rsid w:val="11EE5A02"/>
    <w:rsid w:val="11F02A0F"/>
    <w:rsid w:val="120B5B74"/>
    <w:rsid w:val="122F6707"/>
    <w:rsid w:val="12680F5D"/>
    <w:rsid w:val="12942106"/>
    <w:rsid w:val="12C80243"/>
    <w:rsid w:val="12D13FC1"/>
    <w:rsid w:val="12D544CC"/>
    <w:rsid w:val="12E0531B"/>
    <w:rsid w:val="12F463D6"/>
    <w:rsid w:val="130017C1"/>
    <w:rsid w:val="130A686C"/>
    <w:rsid w:val="1313026B"/>
    <w:rsid w:val="133438E9"/>
    <w:rsid w:val="13985003"/>
    <w:rsid w:val="13B862BA"/>
    <w:rsid w:val="14005579"/>
    <w:rsid w:val="140515F2"/>
    <w:rsid w:val="14134B52"/>
    <w:rsid w:val="14290BA5"/>
    <w:rsid w:val="143860A5"/>
    <w:rsid w:val="145002B2"/>
    <w:rsid w:val="14FE5F5C"/>
    <w:rsid w:val="15064E11"/>
    <w:rsid w:val="153E27FD"/>
    <w:rsid w:val="156A53A0"/>
    <w:rsid w:val="158A77F0"/>
    <w:rsid w:val="158C15DD"/>
    <w:rsid w:val="159A5332"/>
    <w:rsid w:val="15A73BB3"/>
    <w:rsid w:val="15CE3B81"/>
    <w:rsid w:val="161E510B"/>
    <w:rsid w:val="16252489"/>
    <w:rsid w:val="16691AFB"/>
    <w:rsid w:val="16695657"/>
    <w:rsid w:val="16797F90"/>
    <w:rsid w:val="16811856"/>
    <w:rsid w:val="16926EB0"/>
    <w:rsid w:val="16BC0089"/>
    <w:rsid w:val="16D90A2F"/>
    <w:rsid w:val="16F65939"/>
    <w:rsid w:val="170F26A3"/>
    <w:rsid w:val="172A34A0"/>
    <w:rsid w:val="1740291A"/>
    <w:rsid w:val="176B16D0"/>
    <w:rsid w:val="1788408B"/>
    <w:rsid w:val="17B4718C"/>
    <w:rsid w:val="17C36FE9"/>
    <w:rsid w:val="17CD1D49"/>
    <w:rsid w:val="18055854"/>
    <w:rsid w:val="183C74C7"/>
    <w:rsid w:val="1865498C"/>
    <w:rsid w:val="18754787"/>
    <w:rsid w:val="18A4506D"/>
    <w:rsid w:val="18B90B18"/>
    <w:rsid w:val="18BB409B"/>
    <w:rsid w:val="18C526FD"/>
    <w:rsid w:val="18C92463"/>
    <w:rsid w:val="18CD7911"/>
    <w:rsid w:val="19794E4D"/>
    <w:rsid w:val="198923E1"/>
    <w:rsid w:val="19C441F2"/>
    <w:rsid w:val="1A07140F"/>
    <w:rsid w:val="1A2521DD"/>
    <w:rsid w:val="1A8A3B6A"/>
    <w:rsid w:val="1A8B0292"/>
    <w:rsid w:val="1A947038"/>
    <w:rsid w:val="1AAE3739"/>
    <w:rsid w:val="1AC832B0"/>
    <w:rsid w:val="1ADA6F79"/>
    <w:rsid w:val="1ADE33DB"/>
    <w:rsid w:val="1AE14356"/>
    <w:rsid w:val="1AFF2141"/>
    <w:rsid w:val="1B1818B7"/>
    <w:rsid w:val="1B3E49ED"/>
    <w:rsid w:val="1B3E70B3"/>
    <w:rsid w:val="1B4641B9"/>
    <w:rsid w:val="1BB867EB"/>
    <w:rsid w:val="1BDB0E37"/>
    <w:rsid w:val="1BE468B0"/>
    <w:rsid w:val="1BEF2432"/>
    <w:rsid w:val="1BF17BBC"/>
    <w:rsid w:val="1BF31CF7"/>
    <w:rsid w:val="1C35119D"/>
    <w:rsid w:val="1C4032FE"/>
    <w:rsid w:val="1C4253B4"/>
    <w:rsid w:val="1C654B13"/>
    <w:rsid w:val="1C6B074A"/>
    <w:rsid w:val="1C6E1C1A"/>
    <w:rsid w:val="1C8F0543"/>
    <w:rsid w:val="1CA47DEB"/>
    <w:rsid w:val="1CC41839"/>
    <w:rsid w:val="1CCF469C"/>
    <w:rsid w:val="1CD22318"/>
    <w:rsid w:val="1CDA0CA2"/>
    <w:rsid w:val="1CE23067"/>
    <w:rsid w:val="1CE4028E"/>
    <w:rsid w:val="1D0166A9"/>
    <w:rsid w:val="1D086EEA"/>
    <w:rsid w:val="1D341FC9"/>
    <w:rsid w:val="1D45701B"/>
    <w:rsid w:val="1D5232E9"/>
    <w:rsid w:val="1D5319AE"/>
    <w:rsid w:val="1D666D95"/>
    <w:rsid w:val="1D864D41"/>
    <w:rsid w:val="1D8B3D52"/>
    <w:rsid w:val="1DC15D79"/>
    <w:rsid w:val="1DD71A40"/>
    <w:rsid w:val="1DE06B13"/>
    <w:rsid w:val="1E125DAF"/>
    <w:rsid w:val="1E1C7858"/>
    <w:rsid w:val="1E430E84"/>
    <w:rsid w:val="1E9138F9"/>
    <w:rsid w:val="1E9E3728"/>
    <w:rsid w:val="1EA00084"/>
    <w:rsid w:val="1EB678A8"/>
    <w:rsid w:val="1EC866FF"/>
    <w:rsid w:val="1EDF6DFF"/>
    <w:rsid w:val="1F6A2B6C"/>
    <w:rsid w:val="1F8C2951"/>
    <w:rsid w:val="1F943C50"/>
    <w:rsid w:val="1FA50DFC"/>
    <w:rsid w:val="1FB931AC"/>
    <w:rsid w:val="1FCD4EA9"/>
    <w:rsid w:val="1FD82143"/>
    <w:rsid w:val="20030218"/>
    <w:rsid w:val="202E7875"/>
    <w:rsid w:val="204F0C38"/>
    <w:rsid w:val="205F772F"/>
    <w:rsid w:val="20886949"/>
    <w:rsid w:val="20A91472"/>
    <w:rsid w:val="20AC1A47"/>
    <w:rsid w:val="20CB0226"/>
    <w:rsid w:val="20D44015"/>
    <w:rsid w:val="20F67E1D"/>
    <w:rsid w:val="20FB5A46"/>
    <w:rsid w:val="20FF5536"/>
    <w:rsid w:val="214B1450"/>
    <w:rsid w:val="215A276C"/>
    <w:rsid w:val="215D400B"/>
    <w:rsid w:val="21703DEA"/>
    <w:rsid w:val="217E28FF"/>
    <w:rsid w:val="219E4D4F"/>
    <w:rsid w:val="21A96F56"/>
    <w:rsid w:val="21AD4124"/>
    <w:rsid w:val="21C77B3B"/>
    <w:rsid w:val="220426D8"/>
    <w:rsid w:val="223F6CC9"/>
    <w:rsid w:val="228E5FEA"/>
    <w:rsid w:val="22A5210D"/>
    <w:rsid w:val="22B10AB2"/>
    <w:rsid w:val="22C0224B"/>
    <w:rsid w:val="22C0330E"/>
    <w:rsid w:val="22DF73CD"/>
    <w:rsid w:val="22ED766F"/>
    <w:rsid w:val="22EF6D5E"/>
    <w:rsid w:val="22F610D4"/>
    <w:rsid w:val="234C07DB"/>
    <w:rsid w:val="23513A90"/>
    <w:rsid w:val="236305DE"/>
    <w:rsid w:val="2366163A"/>
    <w:rsid w:val="237A5548"/>
    <w:rsid w:val="238E526D"/>
    <w:rsid w:val="23BE3486"/>
    <w:rsid w:val="23C744C3"/>
    <w:rsid w:val="23E638D4"/>
    <w:rsid w:val="24450C65"/>
    <w:rsid w:val="246F0F0A"/>
    <w:rsid w:val="248202D2"/>
    <w:rsid w:val="248C5445"/>
    <w:rsid w:val="24B86128"/>
    <w:rsid w:val="2500655F"/>
    <w:rsid w:val="254C25A7"/>
    <w:rsid w:val="25595DB5"/>
    <w:rsid w:val="25643BBA"/>
    <w:rsid w:val="26173D8C"/>
    <w:rsid w:val="2633764F"/>
    <w:rsid w:val="265F63E2"/>
    <w:rsid w:val="26761D5F"/>
    <w:rsid w:val="267C3C1B"/>
    <w:rsid w:val="26C31621"/>
    <w:rsid w:val="26D42FC1"/>
    <w:rsid w:val="26E31456"/>
    <w:rsid w:val="26F87849"/>
    <w:rsid w:val="26FB22FC"/>
    <w:rsid w:val="27007912"/>
    <w:rsid w:val="270528BB"/>
    <w:rsid w:val="271909D4"/>
    <w:rsid w:val="271A0D57"/>
    <w:rsid w:val="27207530"/>
    <w:rsid w:val="275A1718"/>
    <w:rsid w:val="275B723E"/>
    <w:rsid w:val="27690E5B"/>
    <w:rsid w:val="27897BB6"/>
    <w:rsid w:val="27902E1F"/>
    <w:rsid w:val="2795188A"/>
    <w:rsid w:val="27B62FDF"/>
    <w:rsid w:val="27E15995"/>
    <w:rsid w:val="28302479"/>
    <w:rsid w:val="28492FD6"/>
    <w:rsid w:val="287A36F4"/>
    <w:rsid w:val="287F2A40"/>
    <w:rsid w:val="288A1906"/>
    <w:rsid w:val="28E219C5"/>
    <w:rsid w:val="28FB6E79"/>
    <w:rsid w:val="290556B4"/>
    <w:rsid w:val="290D1643"/>
    <w:rsid w:val="294D46E8"/>
    <w:rsid w:val="296A19BB"/>
    <w:rsid w:val="29736AC1"/>
    <w:rsid w:val="29931FF3"/>
    <w:rsid w:val="29A33487"/>
    <w:rsid w:val="29DE2E66"/>
    <w:rsid w:val="29E17ECF"/>
    <w:rsid w:val="29E5184E"/>
    <w:rsid w:val="29EE439A"/>
    <w:rsid w:val="29F86FC6"/>
    <w:rsid w:val="2A1A518F"/>
    <w:rsid w:val="2A2D6946"/>
    <w:rsid w:val="2A482200"/>
    <w:rsid w:val="2A612DBE"/>
    <w:rsid w:val="2A621291"/>
    <w:rsid w:val="2A6B45FC"/>
    <w:rsid w:val="2A6D1CE0"/>
    <w:rsid w:val="2A7E01B8"/>
    <w:rsid w:val="2A89754D"/>
    <w:rsid w:val="2A995D5F"/>
    <w:rsid w:val="2A9B5F0E"/>
    <w:rsid w:val="2ABE7D51"/>
    <w:rsid w:val="2AD969C7"/>
    <w:rsid w:val="2AF67119"/>
    <w:rsid w:val="2B1E2A5D"/>
    <w:rsid w:val="2B536BAA"/>
    <w:rsid w:val="2B5D5D69"/>
    <w:rsid w:val="2B5F3338"/>
    <w:rsid w:val="2B681F2A"/>
    <w:rsid w:val="2B685BFA"/>
    <w:rsid w:val="2B7B552E"/>
    <w:rsid w:val="2B923A90"/>
    <w:rsid w:val="2B980A61"/>
    <w:rsid w:val="2B986339"/>
    <w:rsid w:val="2C3948FE"/>
    <w:rsid w:val="2C5030EA"/>
    <w:rsid w:val="2C581F9E"/>
    <w:rsid w:val="2CA9738C"/>
    <w:rsid w:val="2CB27900"/>
    <w:rsid w:val="2CD771DF"/>
    <w:rsid w:val="2CDA6E57"/>
    <w:rsid w:val="2D020BF2"/>
    <w:rsid w:val="2D0D4B37"/>
    <w:rsid w:val="2D453370"/>
    <w:rsid w:val="2D546C0A"/>
    <w:rsid w:val="2D5C0C70"/>
    <w:rsid w:val="2D676453"/>
    <w:rsid w:val="2D69103B"/>
    <w:rsid w:val="2D73274B"/>
    <w:rsid w:val="2D7828F8"/>
    <w:rsid w:val="2D8C1C26"/>
    <w:rsid w:val="2D8E0792"/>
    <w:rsid w:val="2D9E60D7"/>
    <w:rsid w:val="2DC67641"/>
    <w:rsid w:val="2DCD34F3"/>
    <w:rsid w:val="2E0C1292"/>
    <w:rsid w:val="2E2C36E3"/>
    <w:rsid w:val="2E342819"/>
    <w:rsid w:val="2E382087"/>
    <w:rsid w:val="2E712469"/>
    <w:rsid w:val="2E8348D0"/>
    <w:rsid w:val="2E886A64"/>
    <w:rsid w:val="2E951220"/>
    <w:rsid w:val="2E982B26"/>
    <w:rsid w:val="2EA45068"/>
    <w:rsid w:val="2EB62B24"/>
    <w:rsid w:val="2EBB1EE0"/>
    <w:rsid w:val="2EE46AE1"/>
    <w:rsid w:val="2EF57F78"/>
    <w:rsid w:val="2F087CAC"/>
    <w:rsid w:val="2F0A286B"/>
    <w:rsid w:val="2F0E4046"/>
    <w:rsid w:val="2F2A7C22"/>
    <w:rsid w:val="2F3A2DBE"/>
    <w:rsid w:val="2F9652B7"/>
    <w:rsid w:val="2FA1069E"/>
    <w:rsid w:val="2FF33C18"/>
    <w:rsid w:val="2FF724B1"/>
    <w:rsid w:val="30071D11"/>
    <w:rsid w:val="300A1801"/>
    <w:rsid w:val="30204BF2"/>
    <w:rsid w:val="302527A4"/>
    <w:rsid w:val="302E377C"/>
    <w:rsid w:val="30694673"/>
    <w:rsid w:val="306B5F67"/>
    <w:rsid w:val="30761B00"/>
    <w:rsid w:val="307D4341"/>
    <w:rsid w:val="3082583C"/>
    <w:rsid w:val="30A25E33"/>
    <w:rsid w:val="30C32B47"/>
    <w:rsid w:val="30D243F2"/>
    <w:rsid w:val="30DA5678"/>
    <w:rsid w:val="313263BC"/>
    <w:rsid w:val="315F16D9"/>
    <w:rsid w:val="31651F77"/>
    <w:rsid w:val="316C54C9"/>
    <w:rsid w:val="31737FFF"/>
    <w:rsid w:val="31864EB8"/>
    <w:rsid w:val="319629B3"/>
    <w:rsid w:val="31DA33BF"/>
    <w:rsid w:val="31E57E30"/>
    <w:rsid w:val="31ED3189"/>
    <w:rsid w:val="31F523AF"/>
    <w:rsid w:val="31FA532E"/>
    <w:rsid w:val="3207424B"/>
    <w:rsid w:val="320D55D9"/>
    <w:rsid w:val="3222674F"/>
    <w:rsid w:val="324F5BF1"/>
    <w:rsid w:val="325925CC"/>
    <w:rsid w:val="327127D7"/>
    <w:rsid w:val="329350BF"/>
    <w:rsid w:val="32935ADE"/>
    <w:rsid w:val="32995C04"/>
    <w:rsid w:val="32A01313"/>
    <w:rsid w:val="32D47835"/>
    <w:rsid w:val="331A6039"/>
    <w:rsid w:val="33437B1C"/>
    <w:rsid w:val="33477DBB"/>
    <w:rsid w:val="33493FC3"/>
    <w:rsid w:val="336F2B30"/>
    <w:rsid w:val="337E22EA"/>
    <w:rsid w:val="339A6A30"/>
    <w:rsid w:val="33BA0F0C"/>
    <w:rsid w:val="33CF3D43"/>
    <w:rsid w:val="33D346C2"/>
    <w:rsid w:val="33DE760F"/>
    <w:rsid w:val="33EB6420"/>
    <w:rsid w:val="33F55E8C"/>
    <w:rsid w:val="340F6798"/>
    <w:rsid w:val="343B0AD4"/>
    <w:rsid w:val="343B7960"/>
    <w:rsid w:val="34433534"/>
    <w:rsid w:val="344E79FA"/>
    <w:rsid w:val="346346E1"/>
    <w:rsid w:val="34675E29"/>
    <w:rsid w:val="3474101C"/>
    <w:rsid w:val="348A2C50"/>
    <w:rsid w:val="349036EC"/>
    <w:rsid w:val="34A55488"/>
    <w:rsid w:val="34C329EB"/>
    <w:rsid w:val="34CA1229"/>
    <w:rsid w:val="34D7636C"/>
    <w:rsid w:val="34EE084F"/>
    <w:rsid w:val="351801A3"/>
    <w:rsid w:val="35A30825"/>
    <w:rsid w:val="35ED6A68"/>
    <w:rsid w:val="360A7DEF"/>
    <w:rsid w:val="363C65A8"/>
    <w:rsid w:val="36462460"/>
    <w:rsid w:val="366F6A73"/>
    <w:rsid w:val="3680483A"/>
    <w:rsid w:val="369158E8"/>
    <w:rsid w:val="36B37CF7"/>
    <w:rsid w:val="36B83D65"/>
    <w:rsid w:val="36C6342D"/>
    <w:rsid w:val="36C941C4"/>
    <w:rsid w:val="36CA2CAD"/>
    <w:rsid w:val="36DE5790"/>
    <w:rsid w:val="36E0150E"/>
    <w:rsid w:val="36EC7EB3"/>
    <w:rsid w:val="36FB7E86"/>
    <w:rsid w:val="37184804"/>
    <w:rsid w:val="376700D3"/>
    <w:rsid w:val="3788506C"/>
    <w:rsid w:val="379E59C2"/>
    <w:rsid w:val="37A57E20"/>
    <w:rsid w:val="37B24C58"/>
    <w:rsid w:val="37BD2FE3"/>
    <w:rsid w:val="37E56DDC"/>
    <w:rsid w:val="38064FA4"/>
    <w:rsid w:val="381D2C8D"/>
    <w:rsid w:val="38334CF5"/>
    <w:rsid w:val="38351301"/>
    <w:rsid w:val="38367638"/>
    <w:rsid w:val="38424B47"/>
    <w:rsid w:val="38464AAD"/>
    <w:rsid w:val="38726127"/>
    <w:rsid w:val="38D26C34"/>
    <w:rsid w:val="38DA238F"/>
    <w:rsid w:val="391F14DD"/>
    <w:rsid w:val="393523D3"/>
    <w:rsid w:val="394F686C"/>
    <w:rsid w:val="395064D7"/>
    <w:rsid w:val="39AB024A"/>
    <w:rsid w:val="39BA5382"/>
    <w:rsid w:val="39BE02A5"/>
    <w:rsid w:val="3A326FA8"/>
    <w:rsid w:val="3A3D715E"/>
    <w:rsid w:val="3A540249"/>
    <w:rsid w:val="3A601248"/>
    <w:rsid w:val="3A6366DE"/>
    <w:rsid w:val="3A824DB6"/>
    <w:rsid w:val="3AAA1C17"/>
    <w:rsid w:val="3B0806B1"/>
    <w:rsid w:val="3B0B723D"/>
    <w:rsid w:val="3B2B74FF"/>
    <w:rsid w:val="3B351E28"/>
    <w:rsid w:val="3B4F3957"/>
    <w:rsid w:val="3B585B17"/>
    <w:rsid w:val="3B587318"/>
    <w:rsid w:val="3B96663F"/>
    <w:rsid w:val="3BB43A35"/>
    <w:rsid w:val="3BCB62E9"/>
    <w:rsid w:val="3C074670"/>
    <w:rsid w:val="3C4B567C"/>
    <w:rsid w:val="3C7626F9"/>
    <w:rsid w:val="3C8223A9"/>
    <w:rsid w:val="3C84443D"/>
    <w:rsid w:val="3C960568"/>
    <w:rsid w:val="3C9B215F"/>
    <w:rsid w:val="3CAB294D"/>
    <w:rsid w:val="3CBB0581"/>
    <w:rsid w:val="3D487E4E"/>
    <w:rsid w:val="3D516CC2"/>
    <w:rsid w:val="3D77622A"/>
    <w:rsid w:val="3DB07827"/>
    <w:rsid w:val="3DD33F6E"/>
    <w:rsid w:val="3DDD33BB"/>
    <w:rsid w:val="3E0022DF"/>
    <w:rsid w:val="3E101EA5"/>
    <w:rsid w:val="3E17513D"/>
    <w:rsid w:val="3E18333B"/>
    <w:rsid w:val="3E611186"/>
    <w:rsid w:val="3E99527C"/>
    <w:rsid w:val="3EBF1A09"/>
    <w:rsid w:val="3F081602"/>
    <w:rsid w:val="3F1F43E3"/>
    <w:rsid w:val="3F2B7977"/>
    <w:rsid w:val="3F362D2A"/>
    <w:rsid w:val="3F52287D"/>
    <w:rsid w:val="3F660F57"/>
    <w:rsid w:val="3F6727CC"/>
    <w:rsid w:val="3FB524E9"/>
    <w:rsid w:val="3FCB66BF"/>
    <w:rsid w:val="3FD1295E"/>
    <w:rsid w:val="3FDE7841"/>
    <w:rsid w:val="3FF031AE"/>
    <w:rsid w:val="403128FF"/>
    <w:rsid w:val="403622AC"/>
    <w:rsid w:val="403B0B67"/>
    <w:rsid w:val="40414BF7"/>
    <w:rsid w:val="40477F08"/>
    <w:rsid w:val="405B41EC"/>
    <w:rsid w:val="40BE641C"/>
    <w:rsid w:val="40C63523"/>
    <w:rsid w:val="40D12038"/>
    <w:rsid w:val="40D479EE"/>
    <w:rsid w:val="40E345C5"/>
    <w:rsid w:val="40F66EB7"/>
    <w:rsid w:val="40F938F8"/>
    <w:rsid w:val="41024E82"/>
    <w:rsid w:val="413B2663"/>
    <w:rsid w:val="41410DFB"/>
    <w:rsid w:val="41481633"/>
    <w:rsid w:val="41493CAE"/>
    <w:rsid w:val="415F07FD"/>
    <w:rsid w:val="41686388"/>
    <w:rsid w:val="4178632F"/>
    <w:rsid w:val="41A76EB0"/>
    <w:rsid w:val="41A84564"/>
    <w:rsid w:val="41B31CF9"/>
    <w:rsid w:val="41E501B8"/>
    <w:rsid w:val="41FA16D6"/>
    <w:rsid w:val="41FB1A1C"/>
    <w:rsid w:val="420C765B"/>
    <w:rsid w:val="421309EA"/>
    <w:rsid w:val="421B33FA"/>
    <w:rsid w:val="42343FB2"/>
    <w:rsid w:val="423D549C"/>
    <w:rsid w:val="42834A26"/>
    <w:rsid w:val="428A6B11"/>
    <w:rsid w:val="429069C9"/>
    <w:rsid w:val="43780983"/>
    <w:rsid w:val="437D7E35"/>
    <w:rsid w:val="438F0645"/>
    <w:rsid w:val="439C6B78"/>
    <w:rsid w:val="43B62E73"/>
    <w:rsid w:val="43BE6733"/>
    <w:rsid w:val="43C32313"/>
    <w:rsid w:val="43D4509D"/>
    <w:rsid w:val="43E3357B"/>
    <w:rsid w:val="43E85DA1"/>
    <w:rsid w:val="43F2498B"/>
    <w:rsid w:val="441503EE"/>
    <w:rsid w:val="44290050"/>
    <w:rsid w:val="442B112C"/>
    <w:rsid w:val="445826E4"/>
    <w:rsid w:val="446C318F"/>
    <w:rsid w:val="44841BEE"/>
    <w:rsid w:val="44890AEF"/>
    <w:rsid w:val="44C77384"/>
    <w:rsid w:val="44DD27AE"/>
    <w:rsid w:val="45184A87"/>
    <w:rsid w:val="452265A3"/>
    <w:rsid w:val="45697F02"/>
    <w:rsid w:val="456F1416"/>
    <w:rsid w:val="45B464F6"/>
    <w:rsid w:val="45BF365F"/>
    <w:rsid w:val="45D632F8"/>
    <w:rsid w:val="45EC5B60"/>
    <w:rsid w:val="46055D2E"/>
    <w:rsid w:val="461000CE"/>
    <w:rsid w:val="463F1DAD"/>
    <w:rsid w:val="46DD3374"/>
    <w:rsid w:val="46E917B1"/>
    <w:rsid w:val="46EC0CE7"/>
    <w:rsid w:val="46F632A5"/>
    <w:rsid w:val="471C20EE"/>
    <w:rsid w:val="472E597E"/>
    <w:rsid w:val="47573126"/>
    <w:rsid w:val="47D16198"/>
    <w:rsid w:val="4810062C"/>
    <w:rsid w:val="48384E9C"/>
    <w:rsid w:val="48500B6B"/>
    <w:rsid w:val="489155D8"/>
    <w:rsid w:val="48925F3C"/>
    <w:rsid w:val="489A151D"/>
    <w:rsid w:val="489E2F43"/>
    <w:rsid w:val="48B11138"/>
    <w:rsid w:val="48BD0B0F"/>
    <w:rsid w:val="48C42A3E"/>
    <w:rsid w:val="49180849"/>
    <w:rsid w:val="492139EC"/>
    <w:rsid w:val="49490E9D"/>
    <w:rsid w:val="494B6CBB"/>
    <w:rsid w:val="495A0BEE"/>
    <w:rsid w:val="495C0EF5"/>
    <w:rsid w:val="49670F93"/>
    <w:rsid w:val="49734417"/>
    <w:rsid w:val="49951AC7"/>
    <w:rsid w:val="49A96C1B"/>
    <w:rsid w:val="49C21C51"/>
    <w:rsid w:val="49D87CB5"/>
    <w:rsid w:val="4A050C18"/>
    <w:rsid w:val="4A0713C9"/>
    <w:rsid w:val="4A286FFC"/>
    <w:rsid w:val="4A8E02D7"/>
    <w:rsid w:val="4A920589"/>
    <w:rsid w:val="4AB23A41"/>
    <w:rsid w:val="4ABE32DC"/>
    <w:rsid w:val="4ACB5EE9"/>
    <w:rsid w:val="4AF96CFF"/>
    <w:rsid w:val="4B0146E0"/>
    <w:rsid w:val="4B094738"/>
    <w:rsid w:val="4B1A0B9C"/>
    <w:rsid w:val="4B2E133F"/>
    <w:rsid w:val="4B473D14"/>
    <w:rsid w:val="4B5F6A4E"/>
    <w:rsid w:val="4B692739"/>
    <w:rsid w:val="4B840EAA"/>
    <w:rsid w:val="4B8C2EEE"/>
    <w:rsid w:val="4BA04CB7"/>
    <w:rsid w:val="4BB24AD8"/>
    <w:rsid w:val="4BC845F3"/>
    <w:rsid w:val="4BDF3D93"/>
    <w:rsid w:val="4C0B44E0"/>
    <w:rsid w:val="4C1D5C05"/>
    <w:rsid w:val="4C286E40"/>
    <w:rsid w:val="4C371CCB"/>
    <w:rsid w:val="4CA41CDE"/>
    <w:rsid w:val="4CA77C4A"/>
    <w:rsid w:val="4CE216E4"/>
    <w:rsid w:val="4CE92A73"/>
    <w:rsid w:val="4D021D86"/>
    <w:rsid w:val="4D0850B7"/>
    <w:rsid w:val="4D2B308B"/>
    <w:rsid w:val="4D2D1861"/>
    <w:rsid w:val="4DA62F71"/>
    <w:rsid w:val="4DD03C33"/>
    <w:rsid w:val="4DF20511"/>
    <w:rsid w:val="4DF307D4"/>
    <w:rsid w:val="4E160CF0"/>
    <w:rsid w:val="4E810A89"/>
    <w:rsid w:val="4E9D1D67"/>
    <w:rsid w:val="4EDA15B9"/>
    <w:rsid w:val="4EEC05F8"/>
    <w:rsid w:val="4EF31987"/>
    <w:rsid w:val="4EFA6E03"/>
    <w:rsid w:val="4F3B413A"/>
    <w:rsid w:val="4F420554"/>
    <w:rsid w:val="4F443F90"/>
    <w:rsid w:val="4F5F526E"/>
    <w:rsid w:val="4F94365E"/>
    <w:rsid w:val="4F9E66E6"/>
    <w:rsid w:val="4FA11A6D"/>
    <w:rsid w:val="4FC5181C"/>
    <w:rsid w:val="4FC6709B"/>
    <w:rsid w:val="4FE85264"/>
    <w:rsid w:val="4FFD1DCE"/>
    <w:rsid w:val="500F0F90"/>
    <w:rsid w:val="50235712"/>
    <w:rsid w:val="503B1837"/>
    <w:rsid w:val="503B514F"/>
    <w:rsid w:val="504358F4"/>
    <w:rsid w:val="504C131D"/>
    <w:rsid w:val="50A5479F"/>
    <w:rsid w:val="50A82E3D"/>
    <w:rsid w:val="50CF1F80"/>
    <w:rsid w:val="50E3504D"/>
    <w:rsid w:val="50E97891"/>
    <w:rsid w:val="50ED5F52"/>
    <w:rsid w:val="50F80838"/>
    <w:rsid w:val="51104FAB"/>
    <w:rsid w:val="51286055"/>
    <w:rsid w:val="514708BF"/>
    <w:rsid w:val="51695D01"/>
    <w:rsid w:val="518555DF"/>
    <w:rsid w:val="51D81308"/>
    <w:rsid w:val="51DE0C6A"/>
    <w:rsid w:val="51ED6B61"/>
    <w:rsid w:val="522D3A25"/>
    <w:rsid w:val="52812ED5"/>
    <w:rsid w:val="52B15DDC"/>
    <w:rsid w:val="52CD5ECD"/>
    <w:rsid w:val="52ED0E30"/>
    <w:rsid w:val="52EF06B7"/>
    <w:rsid w:val="52F50195"/>
    <w:rsid w:val="532760A3"/>
    <w:rsid w:val="53533514"/>
    <w:rsid w:val="535D7D17"/>
    <w:rsid w:val="5364378D"/>
    <w:rsid w:val="53764E85"/>
    <w:rsid w:val="5379612A"/>
    <w:rsid w:val="53980DD9"/>
    <w:rsid w:val="53A913E3"/>
    <w:rsid w:val="53B86CFB"/>
    <w:rsid w:val="53F32429"/>
    <w:rsid w:val="53F83BBD"/>
    <w:rsid w:val="540208BE"/>
    <w:rsid w:val="540F1543"/>
    <w:rsid w:val="54161619"/>
    <w:rsid w:val="544E203C"/>
    <w:rsid w:val="5454111A"/>
    <w:rsid w:val="545C45DA"/>
    <w:rsid w:val="5495528E"/>
    <w:rsid w:val="549C03CB"/>
    <w:rsid w:val="549C3935"/>
    <w:rsid w:val="54DC6BBB"/>
    <w:rsid w:val="54F230EF"/>
    <w:rsid w:val="550A5D7A"/>
    <w:rsid w:val="55275D92"/>
    <w:rsid w:val="55381AB5"/>
    <w:rsid w:val="554A6079"/>
    <w:rsid w:val="55561F99"/>
    <w:rsid w:val="55C23E61"/>
    <w:rsid w:val="55D013B1"/>
    <w:rsid w:val="55FD30EB"/>
    <w:rsid w:val="56095F34"/>
    <w:rsid w:val="566C7598"/>
    <w:rsid w:val="567710EF"/>
    <w:rsid w:val="569F41A2"/>
    <w:rsid w:val="569F550E"/>
    <w:rsid w:val="56B22127"/>
    <w:rsid w:val="56D90CC5"/>
    <w:rsid w:val="56F269C8"/>
    <w:rsid w:val="56F72230"/>
    <w:rsid w:val="57007337"/>
    <w:rsid w:val="570A1F63"/>
    <w:rsid w:val="573B036F"/>
    <w:rsid w:val="57437223"/>
    <w:rsid w:val="57574A7D"/>
    <w:rsid w:val="57735B94"/>
    <w:rsid w:val="57744C6A"/>
    <w:rsid w:val="57891F20"/>
    <w:rsid w:val="5789732C"/>
    <w:rsid w:val="579E08FE"/>
    <w:rsid w:val="57A63163"/>
    <w:rsid w:val="57AD0B6C"/>
    <w:rsid w:val="57EC3578"/>
    <w:rsid w:val="58366D88"/>
    <w:rsid w:val="58405511"/>
    <w:rsid w:val="584F1C4F"/>
    <w:rsid w:val="58503767"/>
    <w:rsid w:val="58825B29"/>
    <w:rsid w:val="58991C86"/>
    <w:rsid w:val="58A31E24"/>
    <w:rsid w:val="58AB51A8"/>
    <w:rsid w:val="58B96055"/>
    <w:rsid w:val="58DF5D43"/>
    <w:rsid w:val="58FA4BB3"/>
    <w:rsid w:val="59140E77"/>
    <w:rsid w:val="59200455"/>
    <w:rsid w:val="59271254"/>
    <w:rsid w:val="59382B87"/>
    <w:rsid w:val="593E5EF4"/>
    <w:rsid w:val="595B4B60"/>
    <w:rsid w:val="595B6AA6"/>
    <w:rsid w:val="598F6750"/>
    <w:rsid w:val="59945B14"/>
    <w:rsid w:val="59AD742A"/>
    <w:rsid w:val="59C83B76"/>
    <w:rsid w:val="59DE4339"/>
    <w:rsid w:val="59E84AD6"/>
    <w:rsid w:val="5A001BC6"/>
    <w:rsid w:val="5A0031AA"/>
    <w:rsid w:val="5A190DCB"/>
    <w:rsid w:val="5A1A070F"/>
    <w:rsid w:val="5A273808"/>
    <w:rsid w:val="5A3D61AC"/>
    <w:rsid w:val="5A4A4609"/>
    <w:rsid w:val="5A4B6B1B"/>
    <w:rsid w:val="5A5A4DA7"/>
    <w:rsid w:val="5A600EBB"/>
    <w:rsid w:val="5A854F44"/>
    <w:rsid w:val="5A9D6C4B"/>
    <w:rsid w:val="5A9F59CC"/>
    <w:rsid w:val="5AA004E9"/>
    <w:rsid w:val="5AB63D16"/>
    <w:rsid w:val="5ABE4931"/>
    <w:rsid w:val="5AC031EC"/>
    <w:rsid w:val="5AC4067B"/>
    <w:rsid w:val="5AE1418F"/>
    <w:rsid w:val="5AEC0A8A"/>
    <w:rsid w:val="5B2C2A7F"/>
    <w:rsid w:val="5B5F03A4"/>
    <w:rsid w:val="5B68776B"/>
    <w:rsid w:val="5B9078F1"/>
    <w:rsid w:val="5B9818E8"/>
    <w:rsid w:val="5BCC0465"/>
    <w:rsid w:val="5BDC2283"/>
    <w:rsid w:val="5BE66CE8"/>
    <w:rsid w:val="5BFC3CB3"/>
    <w:rsid w:val="5BFE4BB1"/>
    <w:rsid w:val="5C0C0F24"/>
    <w:rsid w:val="5C11433C"/>
    <w:rsid w:val="5C166DEF"/>
    <w:rsid w:val="5C330B90"/>
    <w:rsid w:val="5C563408"/>
    <w:rsid w:val="5C674393"/>
    <w:rsid w:val="5C761E49"/>
    <w:rsid w:val="5C850E8B"/>
    <w:rsid w:val="5C9F4D34"/>
    <w:rsid w:val="5CAD5C12"/>
    <w:rsid w:val="5CC74F4E"/>
    <w:rsid w:val="5CD821BC"/>
    <w:rsid w:val="5CE24DE9"/>
    <w:rsid w:val="5CF60C59"/>
    <w:rsid w:val="5CF74D65"/>
    <w:rsid w:val="5CFC51BB"/>
    <w:rsid w:val="5D2D69AC"/>
    <w:rsid w:val="5D556928"/>
    <w:rsid w:val="5D5F6439"/>
    <w:rsid w:val="5D810AA5"/>
    <w:rsid w:val="5DB26D32"/>
    <w:rsid w:val="5DDA1440"/>
    <w:rsid w:val="5DDE6A16"/>
    <w:rsid w:val="5DE92CBE"/>
    <w:rsid w:val="5E0716AD"/>
    <w:rsid w:val="5E0874EC"/>
    <w:rsid w:val="5E337FF2"/>
    <w:rsid w:val="5E6E2DD8"/>
    <w:rsid w:val="5E734892"/>
    <w:rsid w:val="5E8425FB"/>
    <w:rsid w:val="5E8F2D4E"/>
    <w:rsid w:val="5E940814"/>
    <w:rsid w:val="5E9F5687"/>
    <w:rsid w:val="5EAC1B52"/>
    <w:rsid w:val="5EFC4888"/>
    <w:rsid w:val="5F2C02FE"/>
    <w:rsid w:val="5F2C67EF"/>
    <w:rsid w:val="5F323EBD"/>
    <w:rsid w:val="5F4E106E"/>
    <w:rsid w:val="5F5A53E8"/>
    <w:rsid w:val="5F5F7741"/>
    <w:rsid w:val="5F872AC4"/>
    <w:rsid w:val="5FAB005C"/>
    <w:rsid w:val="5FBC4017"/>
    <w:rsid w:val="5FC40F53"/>
    <w:rsid w:val="5FD500A2"/>
    <w:rsid w:val="5FDE2435"/>
    <w:rsid w:val="5FE5356E"/>
    <w:rsid w:val="5FED7171"/>
    <w:rsid w:val="600B28A8"/>
    <w:rsid w:val="60183FF5"/>
    <w:rsid w:val="60234A74"/>
    <w:rsid w:val="60310561"/>
    <w:rsid w:val="603445E0"/>
    <w:rsid w:val="604F4E8B"/>
    <w:rsid w:val="605B3830"/>
    <w:rsid w:val="608C585A"/>
    <w:rsid w:val="60AB5A97"/>
    <w:rsid w:val="60AF2097"/>
    <w:rsid w:val="60CE2EFF"/>
    <w:rsid w:val="60D84E80"/>
    <w:rsid w:val="60EC6ACC"/>
    <w:rsid w:val="613542E6"/>
    <w:rsid w:val="613610D3"/>
    <w:rsid w:val="61674D41"/>
    <w:rsid w:val="616D00C2"/>
    <w:rsid w:val="61B41449"/>
    <w:rsid w:val="61DF429F"/>
    <w:rsid w:val="61F07FA8"/>
    <w:rsid w:val="61F730E4"/>
    <w:rsid w:val="61FA4982"/>
    <w:rsid w:val="620416DB"/>
    <w:rsid w:val="620B12FC"/>
    <w:rsid w:val="620B4ED1"/>
    <w:rsid w:val="62143C96"/>
    <w:rsid w:val="622540F5"/>
    <w:rsid w:val="62373E29"/>
    <w:rsid w:val="62483940"/>
    <w:rsid w:val="624A3B5C"/>
    <w:rsid w:val="62582460"/>
    <w:rsid w:val="625D3876"/>
    <w:rsid w:val="626C155A"/>
    <w:rsid w:val="627209BD"/>
    <w:rsid w:val="62A212A2"/>
    <w:rsid w:val="630C7063"/>
    <w:rsid w:val="63230B51"/>
    <w:rsid w:val="6336726C"/>
    <w:rsid w:val="633A3BD0"/>
    <w:rsid w:val="63435BFE"/>
    <w:rsid w:val="634E57B0"/>
    <w:rsid w:val="6372336A"/>
    <w:rsid w:val="63770981"/>
    <w:rsid w:val="6389159B"/>
    <w:rsid w:val="639F463C"/>
    <w:rsid w:val="63E27554"/>
    <w:rsid w:val="64373C6C"/>
    <w:rsid w:val="64536959"/>
    <w:rsid w:val="64596EBA"/>
    <w:rsid w:val="64A01811"/>
    <w:rsid w:val="64A80478"/>
    <w:rsid w:val="64CD45D0"/>
    <w:rsid w:val="64E3380F"/>
    <w:rsid w:val="64F24760"/>
    <w:rsid w:val="65172FF8"/>
    <w:rsid w:val="651F1349"/>
    <w:rsid w:val="6528588D"/>
    <w:rsid w:val="65293EFC"/>
    <w:rsid w:val="655E16AA"/>
    <w:rsid w:val="65DA0D53"/>
    <w:rsid w:val="65F8164D"/>
    <w:rsid w:val="65FB5EB5"/>
    <w:rsid w:val="662326FA"/>
    <w:rsid w:val="663E5C6F"/>
    <w:rsid w:val="66755B85"/>
    <w:rsid w:val="667F7026"/>
    <w:rsid w:val="668533B4"/>
    <w:rsid w:val="66A15D14"/>
    <w:rsid w:val="66B21CD0"/>
    <w:rsid w:val="66B9305E"/>
    <w:rsid w:val="66E359D2"/>
    <w:rsid w:val="670267B3"/>
    <w:rsid w:val="674619B9"/>
    <w:rsid w:val="6753700F"/>
    <w:rsid w:val="676603AA"/>
    <w:rsid w:val="677376B1"/>
    <w:rsid w:val="67997C61"/>
    <w:rsid w:val="679F04A6"/>
    <w:rsid w:val="67A97771"/>
    <w:rsid w:val="67DA328C"/>
    <w:rsid w:val="67DE7902"/>
    <w:rsid w:val="680048B2"/>
    <w:rsid w:val="68012BC0"/>
    <w:rsid w:val="680613F8"/>
    <w:rsid w:val="68273FF7"/>
    <w:rsid w:val="683E593A"/>
    <w:rsid w:val="68594909"/>
    <w:rsid w:val="68B10EF7"/>
    <w:rsid w:val="68B951AD"/>
    <w:rsid w:val="68C26A26"/>
    <w:rsid w:val="68D27A22"/>
    <w:rsid w:val="68D365EB"/>
    <w:rsid w:val="68D45F2D"/>
    <w:rsid w:val="68E0776A"/>
    <w:rsid w:val="68E12337"/>
    <w:rsid w:val="68E322A8"/>
    <w:rsid w:val="68EF0733"/>
    <w:rsid w:val="68EF5857"/>
    <w:rsid w:val="68F42334"/>
    <w:rsid w:val="69117559"/>
    <w:rsid w:val="691535C1"/>
    <w:rsid w:val="692E3D88"/>
    <w:rsid w:val="693A655A"/>
    <w:rsid w:val="694921C5"/>
    <w:rsid w:val="69501209"/>
    <w:rsid w:val="69553D12"/>
    <w:rsid w:val="698711F2"/>
    <w:rsid w:val="69BB60CE"/>
    <w:rsid w:val="69CE5543"/>
    <w:rsid w:val="69DD7064"/>
    <w:rsid w:val="6A1A2066"/>
    <w:rsid w:val="6A50337D"/>
    <w:rsid w:val="6A6D03E7"/>
    <w:rsid w:val="6AAB0296"/>
    <w:rsid w:val="6AAD2EDA"/>
    <w:rsid w:val="6AD1153C"/>
    <w:rsid w:val="6AE01E1B"/>
    <w:rsid w:val="6AE320AD"/>
    <w:rsid w:val="6AE970AD"/>
    <w:rsid w:val="6B01646B"/>
    <w:rsid w:val="6B4518EA"/>
    <w:rsid w:val="6B4E7131"/>
    <w:rsid w:val="6B6537B4"/>
    <w:rsid w:val="6B71545F"/>
    <w:rsid w:val="6B8754D9"/>
    <w:rsid w:val="6BBA0778"/>
    <w:rsid w:val="6BBA3B00"/>
    <w:rsid w:val="6BC752BC"/>
    <w:rsid w:val="6BCB6BB1"/>
    <w:rsid w:val="6BE55A23"/>
    <w:rsid w:val="6BE7241B"/>
    <w:rsid w:val="6BFB5EC7"/>
    <w:rsid w:val="6C1331CB"/>
    <w:rsid w:val="6C172D01"/>
    <w:rsid w:val="6C2C37B4"/>
    <w:rsid w:val="6C377F2C"/>
    <w:rsid w:val="6C7F2654"/>
    <w:rsid w:val="6CA11336"/>
    <w:rsid w:val="6CA23174"/>
    <w:rsid w:val="6CDC6F8F"/>
    <w:rsid w:val="6CEC4148"/>
    <w:rsid w:val="6D0D4E6B"/>
    <w:rsid w:val="6D265FA8"/>
    <w:rsid w:val="6D4A65CC"/>
    <w:rsid w:val="6D605AE9"/>
    <w:rsid w:val="6D63093A"/>
    <w:rsid w:val="6D896EB8"/>
    <w:rsid w:val="6D8B0CAC"/>
    <w:rsid w:val="6D9B1501"/>
    <w:rsid w:val="6D9C20C1"/>
    <w:rsid w:val="6DB8295E"/>
    <w:rsid w:val="6DC20A4A"/>
    <w:rsid w:val="6DD2490C"/>
    <w:rsid w:val="6DE873B8"/>
    <w:rsid w:val="6DFB6190"/>
    <w:rsid w:val="6E361438"/>
    <w:rsid w:val="6E4F36D9"/>
    <w:rsid w:val="6E563F07"/>
    <w:rsid w:val="6E7B6E4B"/>
    <w:rsid w:val="6E8468DA"/>
    <w:rsid w:val="6E9F6FDD"/>
    <w:rsid w:val="6EA51385"/>
    <w:rsid w:val="6EAD16FA"/>
    <w:rsid w:val="6EB04D47"/>
    <w:rsid w:val="6EB32A89"/>
    <w:rsid w:val="6EF235B1"/>
    <w:rsid w:val="6F060137"/>
    <w:rsid w:val="6F37462E"/>
    <w:rsid w:val="6F5A4CB2"/>
    <w:rsid w:val="6F871F4B"/>
    <w:rsid w:val="6FAC5256"/>
    <w:rsid w:val="6FC34F4E"/>
    <w:rsid w:val="6FC67A6D"/>
    <w:rsid w:val="6FCA62DC"/>
    <w:rsid w:val="6FCE032E"/>
    <w:rsid w:val="6FE70C3C"/>
    <w:rsid w:val="6FE729EA"/>
    <w:rsid w:val="7004359C"/>
    <w:rsid w:val="7015713B"/>
    <w:rsid w:val="702E5B63"/>
    <w:rsid w:val="702F5CEB"/>
    <w:rsid w:val="705D6CA0"/>
    <w:rsid w:val="705E7597"/>
    <w:rsid w:val="7071708F"/>
    <w:rsid w:val="709D6E34"/>
    <w:rsid w:val="70CE5958"/>
    <w:rsid w:val="70EA61F8"/>
    <w:rsid w:val="711E19CD"/>
    <w:rsid w:val="711E5AEC"/>
    <w:rsid w:val="711F2F44"/>
    <w:rsid w:val="716A5681"/>
    <w:rsid w:val="717164DA"/>
    <w:rsid w:val="718716D2"/>
    <w:rsid w:val="71A36DE5"/>
    <w:rsid w:val="71AD1A11"/>
    <w:rsid w:val="71AE199E"/>
    <w:rsid w:val="71BC7166"/>
    <w:rsid w:val="71C76BE2"/>
    <w:rsid w:val="71CE6B9D"/>
    <w:rsid w:val="72204741"/>
    <w:rsid w:val="72373B9D"/>
    <w:rsid w:val="725E4ABA"/>
    <w:rsid w:val="726536BC"/>
    <w:rsid w:val="726C4E7F"/>
    <w:rsid w:val="727A5D97"/>
    <w:rsid w:val="72AE77EF"/>
    <w:rsid w:val="72C175E2"/>
    <w:rsid w:val="72D07765"/>
    <w:rsid w:val="72D134DE"/>
    <w:rsid w:val="7318110C"/>
    <w:rsid w:val="7322750B"/>
    <w:rsid w:val="7375655F"/>
    <w:rsid w:val="739509AF"/>
    <w:rsid w:val="73A155A6"/>
    <w:rsid w:val="73A21EC9"/>
    <w:rsid w:val="73A806E2"/>
    <w:rsid w:val="73E84D22"/>
    <w:rsid w:val="73ED07EB"/>
    <w:rsid w:val="73ED0C75"/>
    <w:rsid w:val="74162430"/>
    <w:rsid w:val="74455F31"/>
    <w:rsid w:val="744C4AFC"/>
    <w:rsid w:val="74590F2E"/>
    <w:rsid w:val="745D327B"/>
    <w:rsid w:val="745E07B1"/>
    <w:rsid w:val="745E523D"/>
    <w:rsid w:val="746D05CC"/>
    <w:rsid w:val="74862AB2"/>
    <w:rsid w:val="7487431B"/>
    <w:rsid w:val="748B3BD7"/>
    <w:rsid w:val="749D77CE"/>
    <w:rsid w:val="74AD68DB"/>
    <w:rsid w:val="74C257D4"/>
    <w:rsid w:val="74E60A2D"/>
    <w:rsid w:val="74E91F2C"/>
    <w:rsid w:val="74EC61F0"/>
    <w:rsid w:val="74EF6244"/>
    <w:rsid w:val="74FD0F42"/>
    <w:rsid w:val="75104791"/>
    <w:rsid w:val="75120420"/>
    <w:rsid w:val="751C4038"/>
    <w:rsid w:val="752C714D"/>
    <w:rsid w:val="756D1DF0"/>
    <w:rsid w:val="7581781E"/>
    <w:rsid w:val="75AF5D58"/>
    <w:rsid w:val="75CA6210"/>
    <w:rsid w:val="75D82E83"/>
    <w:rsid w:val="75E83951"/>
    <w:rsid w:val="75F0011F"/>
    <w:rsid w:val="761756AB"/>
    <w:rsid w:val="762046CC"/>
    <w:rsid w:val="762229CE"/>
    <w:rsid w:val="76391AC6"/>
    <w:rsid w:val="76472434"/>
    <w:rsid w:val="76741DDD"/>
    <w:rsid w:val="76870D6B"/>
    <w:rsid w:val="768E5086"/>
    <w:rsid w:val="76944F4E"/>
    <w:rsid w:val="76C415FC"/>
    <w:rsid w:val="76D1444A"/>
    <w:rsid w:val="76D22910"/>
    <w:rsid w:val="76E82A73"/>
    <w:rsid w:val="76E84C69"/>
    <w:rsid w:val="76EC3A2A"/>
    <w:rsid w:val="76F36118"/>
    <w:rsid w:val="770976EA"/>
    <w:rsid w:val="77135457"/>
    <w:rsid w:val="772855A9"/>
    <w:rsid w:val="77A71D65"/>
    <w:rsid w:val="77FC7019"/>
    <w:rsid w:val="78034139"/>
    <w:rsid w:val="781E5417"/>
    <w:rsid w:val="78302B53"/>
    <w:rsid w:val="78350D08"/>
    <w:rsid w:val="78411105"/>
    <w:rsid w:val="78472A3F"/>
    <w:rsid w:val="784F737E"/>
    <w:rsid w:val="78584B71"/>
    <w:rsid w:val="78761804"/>
    <w:rsid w:val="789770A1"/>
    <w:rsid w:val="789C6063"/>
    <w:rsid w:val="78C064CE"/>
    <w:rsid w:val="78E62BC0"/>
    <w:rsid w:val="79023438"/>
    <w:rsid w:val="79382508"/>
    <w:rsid w:val="79477401"/>
    <w:rsid w:val="79644D03"/>
    <w:rsid w:val="796B5ED1"/>
    <w:rsid w:val="797232EB"/>
    <w:rsid w:val="79B06543"/>
    <w:rsid w:val="79BA1588"/>
    <w:rsid w:val="79C2150D"/>
    <w:rsid w:val="7A0A5C53"/>
    <w:rsid w:val="7A251010"/>
    <w:rsid w:val="7A792DD8"/>
    <w:rsid w:val="7A8A6D94"/>
    <w:rsid w:val="7A9C1075"/>
    <w:rsid w:val="7AAA11E4"/>
    <w:rsid w:val="7AB56175"/>
    <w:rsid w:val="7AB73941"/>
    <w:rsid w:val="7AC2652D"/>
    <w:rsid w:val="7AD70B6E"/>
    <w:rsid w:val="7AF40BE3"/>
    <w:rsid w:val="7B071532"/>
    <w:rsid w:val="7B135F56"/>
    <w:rsid w:val="7B58479C"/>
    <w:rsid w:val="7B612FC7"/>
    <w:rsid w:val="7B655D3A"/>
    <w:rsid w:val="7B694BFB"/>
    <w:rsid w:val="7B6C2D6A"/>
    <w:rsid w:val="7B90457D"/>
    <w:rsid w:val="7BA9552A"/>
    <w:rsid w:val="7BD77DB7"/>
    <w:rsid w:val="7C035982"/>
    <w:rsid w:val="7C150865"/>
    <w:rsid w:val="7C2A25DC"/>
    <w:rsid w:val="7C423E53"/>
    <w:rsid w:val="7C464F3C"/>
    <w:rsid w:val="7C5A2796"/>
    <w:rsid w:val="7C6861D2"/>
    <w:rsid w:val="7C6B2D31"/>
    <w:rsid w:val="7C7E57A7"/>
    <w:rsid w:val="7C8025FB"/>
    <w:rsid w:val="7C8F7CA1"/>
    <w:rsid w:val="7CAE092E"/>
    <w:rsid w:val="7CB74B7D"/>
    <w:rsid w:val="7D016D33"/>
    <w:rsid w:val="7D032E2D"/>
    <w:rsid w:val="7D111543"/>
    <w:rsid w:val="7D221505"/>
    <w:rsid w:val="7D3E1825"/>
    <w:rsid w:val="7D470F6C"/>
    <w:rsid w:val="7D5F5A94"/>
    <w:rsid w:val="7D63567A"/>
    <w:rsid w:val="7D953B7A"/>
    <w:rsid w:val="7DB22DA3"/>
    <w:rsid w:val="7DC720AD"/>
    <w:rsid w:val="7E005B37"/>
    <w:rsid w:val="7E370FE0"/>
    <w:rsid w:val="7EA53DC1"/>
    <w:rsid w:val="7EB036CD"/>
    <w:rsid w:val="7EFC18E2"/>
    <w:rsid w:val="7EFD4694"/>
    <w:rsid w:val="7F0F1615"/>
    <w:rsid w:val="7F1064D8"/>
    <w:rsid w:val="7F2A46A1"/>
    <w:rsid w:val="7F721BA4"/>
    <w:rsid w:val="7F7818B1"/>
    <w:rsid w:val="7F8A6B05"/>
    <w:rsid w:val="7F954211"/>
    <w:rsid w:val="7FA44454"/>
    <w:rsid w:val="7FB01F59"/>
    <w:rsid w:val="7FE2068F"/>
    <w:rsid w:val="7FEA3E31"/>
    <w:rsid w:val="7FFD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5">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6">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948"/>
        <w:tab w:val="right" w:leader="dot" w:pos="9070"/>
      </w:tabs>
      <w:jc w:val="center"/>
    </w:pPr>
    <w:rPr>
      <w:sz w:val="32"/>
      <w:szCs w:val="32"/>
      <w:lang w:val="zh-CN"/>
    </w:rPr>
  </w:style>
  <w:style w:type="paragraph" w:styleId="7">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8">
    <w:name w:val="Body Text Indent"/>
    <w:basedOn w:val="1"/>
    <w:qFormat/>
    <w:uiPriority w:val="0"/>
    <w:pPr>
      <w:spacing w:after="120"/>
      <w:ind w:left="420" w:leftChars="200"/>
    </w:pPr>
  </w:style>
  <w:style w:type="paragraph" w:styleId="9">
    <w:name w:val="toc 3"/>
    <w:basedOn w:val="1"/>
    <w:next w:val="1"/>
    <w:qFormat/>
    <w:uiPriority w:val="39"/>
    <w:pPr>
      <w:widowControl/>
      <w:tabs>
        <w:tab w:val="right" w:leader="dot" w:pos="9060"/>
      </w:tabs>
      <w:spacing w:after="100" w:line="276" w:lineRule="auto"/>
      <w:jc w:val="left"/>
    </w:pPr>
    <w:rPr>
      <w:kern w:val="0"/>
      <w:sz w:val="22"/>
    </w:rPr>
  </w:style>
  <w:style w:type="paragraph" w:styleId="10">
    <w:name w:val="Plain Text"/>
    <w:basedOn w:val="1"/>
    <w:qFormat/>
    <w:uiPriority w:val="0"/>
    <w:pPr>
      <w:widowControl/>
      <w:jc w:val="left"/>
    </w:pPr>
    <w:rPr>
      <w:rFonts w:ascii="宋体" w:hAnsi="Courier New"/>
      <w:kern w:val="0"/>
      <w:sz w:val="24"/>
      <w:szCs w:val="20"/>
      <w:lang w:eastAsia="en-US" w:bidi="en-US"/>
    </w:rPr>
  </w:style>
  <w:style w:type="paragraph" w:styleId="11">
    <w:name w:val="Balloon Text"/>
    <w:basedOn w:val="1"/>
    <w:link w:val="2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rPr>
      <w:sz w:val="24"/>
    </w:rPr>
  </w:style>
  <w:style w:type="character" w:styleId="17">
    <w:name w:val="page number"/>
    <w:basedOn w:val="16"/>
    <w:qFormat/>
    <w:uiPriority w:val="0"/>
  </w:style>
  <w:style w:type="character" w:styleId="18">
    <w:name w:val="Hyperlink"/>
    <w:qFormat/>
    <w:uiPriority w:val="99"/>
    <w:rPr>
      <w:color w:val="0000FF"/>
      <w:u w:val="single"/>
    </w:rPr>
  </w:style>
  <w:style w:type="paragraph" w:customStyle="1" w:styleId="19">
    <w:name w:val="段"/>
    <w:basedOn w:val="20"/>
    <w:next w:val="1"/>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2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21">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22">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23">
    <w:name w:val="列表段落1"/>
    <w:basedOn w:val="1"/>
    <w:qFormat/>
    <w:uiPriority w:val="34"/>
    <w:pPr>
      <w:ind w:firstLine="420" w:firstLineChars="200"/>
    </w:pPr>
  </w:style>
  <w:style w:type="paragraph" w:customStyle="1" w:styleId="2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26">
    <w:name w:val="样式1"/>
    <w:basedOn w:val="4"/>
    <w:qFormat/>
    <w:uiPriority w:val="0"/>
    <w:pPr>
      <w:tabs>
        <w:tab w:val="left" w:pos="567"/>
      </w:tabs>
      <w:spacing w:before="0" w:after="0" w:line="440" w:lineRule="exact"/>
    </w:pPr>
    <w:rPr>
      <w:rFonts w:ascii="宋体" w:hAnsi="宋体"/>
      <w:color w:val="000000"/>
      <w:sz w:val="24"/>
      <w:szCs w:val="24"/>
    </w:rPr>
  </w:style>
  <w:style w:type="paragraph" w:customStyle="1" w:styleId="27">
    <w:name w:val="样式 标题 2 + Times New Roman 四号 非加粗 段前: 5 磅 段后: 0 磅 行距: 固定值 20..."/>
    <w:basedOn w:val="4"/>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28">
    <w:name w:val="Table Paragraph"/>
    <w:basedOn w:val="1"/>
    <w:qFormat/>
    <w:uiPriority w:val="1"/>
  </w:style>
  <w:style w:type="character" w:customStyle="1" w:styleId="29">
    <w:name w:val="批注框文本 Char"/>
    <w:basedOn w:val="16"/>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12430</Words>
  <Characters>13478</Characters>
  <Lines>332</Lines>
  <Paragraphs>93</Paragraphs>
  <TotalTime>14</TotalTime>
  <ScaleCrop>false</ScaleCrop>
  <LinksUpToDate>false</LinksUpToDate>
  <CharactersWithSpaces>13622</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2020-07-29T11:58:00Z</dcterms:created>
  <dc:creator>Administrator</dc:creator>
  <cp:lastModifiedBy>snpc5</cp:lastModifiedBy>
  <cp:lastPrinted>2025-12-01T12:38:00Z</cp:lastPrinted>
  <dcterms:modified xsi:type="dcterms:W3CDTF">2025-12-02T14:21:13Z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D7D00985BB714F7EB6BB89DED9F7F40E_13</vt:lpwstr>
  </property>
  <property fmtid="{D5CDD505-2E9C-101B-9397-08002B2CF9AE}" pid="4" name="commondata">
    <vt:lpwstr>eyJoZGlkIjoiNmU2YTc2NjQ3NzlhYWQ4OWU3ZmZhMmRhNzY1NThhYzcifQ==</vt:lpwstr>
  </property>
  <property fmtid="{D5CDD505-2E9C-101B-9397-08002B2CF9AE}" pid="5" name="KSOTemplateDocerSaveRecord">
    <vt:lpwstr>eyJoZGlkIjoiYjRjYWJmNDE0NDQ4MzI2MDc4NjM0NDk2NzI4NDIyZjkiLCJ1c2VySWQiOiI0MDcwNzQ0NTQifQ==</vt:lpwstr>
  </property>
</Properties>
</file>