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4772A">
      <w:pPr>
        <w:keepNext w:val="0"/>
        <w:keepLines w:val="0"/>
        <w:pageBreakBefore w:val="0"/>
        <w:widowControl w:val="0"/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金山店镇车桥村新型农村集体经济发展树苗种植及采购项目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价格清单</w:t>
      </w:r>
    </w:p>
    <w:tbl>
      <w:tblPr>
        <w:tblStyle w:val="6"/>
        <w:tblW w:w="13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56"/>
        <w:gridCol w:w="713"/>
        <w:gridCol w:w="853"/>
        <w:gridCol w:w="1847"/>
        <w:gridCol w:w="4986"/>
        <w:gridCol w:w="1149"/>
        <w:gridCol w:w="1392"/>
      </w:tblGrid>
      <w:tr w14:paraId="77538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769" w:type="dxa"/>
            <w:noWrap w:val="0"/>
            <w:vAlign w:val="center"/>
          </w:tcPr>
          <w:p w14:paraId="1C681FA4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556" w:type="dxa"/>
            <w:noWrap w:val="0"/>
            <w:vAlign w:val="center"/>
          </w:tcPr>
          <w:p w14:paraId="73544B93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产品名称</w:t>
            </w:r>
          </w:p>
        </w:tc>
        <w:tc>
          <w:tcPr>
            <w:tcW w:w="713" w:type="dxa"/>
            <w:noWrap w:val="0"/>
            <w:vAlign w:val="center"/>
          </w:tcPr>
          <w:p w14:paraId="68C53626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853" w:type="dxa"/>
            <w:noWrap w:val="0"/>
            <w:vAlign w:val="center"/>
          </w:tcPr>
          <w:p w14:paraId="32FFC80B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数量</w:t>
            </w:r>
          </w:p>
        </w:tc>
        <w:tc>
          <w:tcPr>
            <w:tcW w:w="1847" w:type="dxa"/>
            <w:noWrap w:val="0"/>
            <w:vAlign w:val="center"/>
          </w:tcPr>
          <w:p w14:paraId="2B5183C9">
            <w:pPr>
              <w:jc w:val="center"/>
              <w:rPr>
                <w:rFonts w:hint="eastAsia" w:eastAsia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规格型号</w:t>
            </w:r>
          </w:p>
        </w:tc>
        <w:tc>
          <w:tcPr>
            <w:tcW w:w="4986" w:type="dxa"/>
            <w:noWrap w:val="0"/>
            <w:vAlign w:val="center"/>
          </w:tcPr>
          <w:p w14:paraId="133F7B79">
            <w:pPr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参数配置</w:t>
            </w:r>
          </w:p>
        </w:tc>
        <w:tc>
          <w:tcPr>
            <w:tcW w:w="1149" w:type="dxa"/>
            <w:noWrap w:val="0"/>
            <w:vAlign w:val="center"/>
          </w:tcPr>
          <w:p w14:paraId="6C14BA09">
            <w:pPr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  <w:lang w:val="en-US" w:eastAsia="zh-CN"/>
              </w:rPr>
              <w:t>单价（元）</w:t>
            </w:r>
          </w:p>
        </w:tc>
        <w:tc>
          <w:tcPr>
            <w:tcW w:w="1392" w:type="dxa"/>
            <w:noWrap w:val="0"/>
            <w:vAlign w:val="center"/>
          </w:tcPr>
          <w:p w14:paraId="35AB0CFD">
            <w:pPr>
              <w:jc w:val="center"/>
              <w:rPr>
                <w:rFonts w:hint="default" w:ascii="宋体" w:hAnsi="宋体" w:eastAsia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  <w:lang w:val="en-US" w:eastAsia="zh-CN"/>
              </w:rPr>
              <w:t>总价（元）</w:t>
            </w:r>
          </w:p>
        </w:tc>
      </w:tr>
      <w:tr w14:paraId="5BE01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exact"/>
          <w:jc w:val="center"/>
        </w:trPr>
        <w:tc>
          <w:tcPr>
            <w:tcW w:w="769" w:type="dxa"/>
            <w:noWrap w:val="0"/>
            <w:vAlign w:val="center"/>
          </w:tcPr>
          <w:p w14:paraId="37C5DE95"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6" w:type="dxa"/>
            <w:noWrap w:val="0"/>
            <w:vAlign w:val="center"/>
          </w:tcPr>
          <w:p w14:paraId="5D367F6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树苗</w:t>
            </w:r>
          </w:p>
        </w:tc>
        <w:tc>
          <w:tcPr>
            <w:tcW w:w="713" w:type="dxa"/>
            <w:noWrap w:val="0"/>
            <w:vAlign w:val="center"/>
          </w:tcPr>
          <w:p w14:paraId="5E34E497">
            <w:pPr>
              <w:widowControl w:val="0"/>
              <w:autoSpaceDE w:val="0"/>
              <w:autoSpaceDN w:val="0"/>
              <w:jc w:val="center"/>
              <w:rPr>
                <w:rFonts w:hint="eastAsia" w:ascii="Calibri-Bold" w:hAnsi="Calibri-Bold" w:eastAsia="Calibri-Bold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-Bold" w:hAnsi="Calibri-Bold" w:eastAsia="Calibri-Bold"/>
                <w:color w:val="auto"/>
                <w:sz w:val="24"/>
                <w:szCs w:val="24"/>
                <w:lang w:val="en-US" w:eastAsia="zh-CN"/>
              </w:rPr>
              <w:t>棵</w:t>
            </w:r>
          </w:p>
        </w:tc>
        <w:tc>
          <w:tcPr>
            <w:tcW w:w="853" w:type="dxa"/>
            <w:noWrap w:val="0"/>
            <w:vAlign w:val="center"/>
          </w:tcPr>
          <w:p w14:paraId="4959E95A">
            <w:pPr>
              <w:widowControl w:val="0"/>
              <w:autoSpaceDE w:val="0"/>
              <w:autoSpaceDN w:val="0"/>
              <w:jc w:val="center"/>
              <w:rPr>
                <w:rFonts w:hint="eastAsia" w:ascii="Calibri-Bold" w:hAnsi="Calibri-Bold" w:eastAsia="Calibri-Bold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-Bold" w:hAnsi="Calibri-Bold" w:eastAsia="Calibri-Bold"/>
                <w:color w:val="auto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1847" w:type="dxa"/>
            <w:noWrap w:val="0"/>
            <w:vAlign w:val="center"/>
          </w:tcPr>
          <w:p w14:paraId="029B51F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翠冠梨5年苗</w:t>
            </w:r>
          </w:p>
        </w:tc>
        <w:tc>
          <w:tcPr>
            <w:tcW w:w="4986" w:type="dxa"/>
            <w:noWrap w:val="0"/>
            <w:vAlign w:val="center"/>
          </w:tcPr>
          <w:p w14:paraId="5E3B24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翠冠一年生嫁接苗，嫁接口以上10cm处，苗木粗度大于0.8cm，品种纯度大于98%，无检疫性病虫害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根系发达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，包存活率98%。</w:t>
            </w:r>
          </w:p>
        </w:tc>
        <w:tc>
          <w:tcPr>
            <w:tcW w:w="1149" w:type="dxa"/>
            <w:noWrap w:val="0"/>
            <w:vAlign w:val="center"/>
          </w:tcPr>
          <w:p w14:paraId="5CFE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392" w:type="dxa"/>
            <w:noWrap w:val="0"/>
            <w:vAlign w:val="center"/>
          </w:tcPr>
          <w:p w14:paraId="7E2D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 w14:paraId="69B72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exact"/>
          <w:jc w:val="center"/>
        </w:trPr>
        <w:tc>
          <w:tcPr>
            <w:tcW w:w="769" w:type="dxa"/>
            <w:noWrap w:val="0"/>
            <w:vAlign w:val="center"/>
          </w:tcPr>
          <w:p w14:paraId="43B30DC1"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6" w:type="dxa"/>
            <w:noWrap w:val="0"/>
            <w:vAlign w:val="center"/>
          </w:tcPr>
          <w:p w14:paraId="0136A67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底肥</w:t>
            </w:r>
          </w:p>
        </w:tc>
        <w:tc>
          <w:tcPr>
            <w:tcW w:w="713" w:type="dxa"/>
            <w:noWrap w:val="0"/>
            <w:vAlign w:val="center"/>
          </w:tcPr>
          <w:p w14:paraId="06F8EE69">
            <w:pPr>
              <w:jc w:val="center"/>
              <w:rPr>
                <w:rFonts w:hint="eastAsia" w:ascii="Calibri-Bold" w:hAnsi="Calibri-Bold" w:eastAsia="Calibri-Bold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-Bold" w:hAnsi="Calibri-Bold" w:eastAsia="Calibri-Bold"/>
                <w:color w:val="auto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853" w:type="dxa"/>
            <w:noWrap w:val="0"/>
            <w:vAlign w:val="center"/>
          </w:tcPr>
          <w:p w14:paraId="704DB664">
            <w:pPr>
              <w:jc w:val="center"/>
              <w:rPr>
                <w:rFonts w:hint="eastAsia" w:ascii="Calibri-Bold" w:hAnsi="Calibri-Bold" w:eastAsia="Calibri-Bold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-Bold" w:hAnsi="Calibri-Bold" w:eastAsia="Calibri-Bold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847" w:type="dxa"/>
            <w:noWrap w:val="0"/>
            <w:vAlign w:val="center"/>
          </w:tcPr>
          <w:p w14:paraId="7006F9DC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有机肥</w:t>
            </w:r>
          </w:p>
        </w:tc>
        <w:tc>
          <w:tcPr>
            <w:tcW w:w="4986" w:type="dxa"/>
            <w:noWrap w:val="0"/>
            <w:vAlign w:val="center"/>
          </w:tcPr>
          <w:p w14:paraId="4384DA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alibri-Bold" w:hAnsi="Calibri-Bold" w:eastAsia="Calibri-Bold"/>
                <w:color w:val="FF0000"/>
                <w:sz w:val="24"/>
                <w:szCs w:val="24"/>
              </w:rPr>
            </w:pPr>
            <w:r>
              <w:rPr>
                <w:rFonts w:hint="eastAsia" w:ascii="Calibri-Bold" w:hAnsi="Calibri-Bold" w:eastAsia="Calibri-Bold"/>
                <w:color w:val="auto"/>
                <w:sz w:val="24"/>
                <w:szCs w:val="24"/>
                <w:lang w:val="en-US" w:eastAsia="zh-CN"/>
              </w:rPr>
              <w:t>有机肥需含有丰富的有机质和营养元素，能够改善土壤质量，提高土壤肥力，促进植物的生长发育；水溶肥应符合国家质量标准，能够满足作物的多种营养需求，提高肥料利用率，减少浪费</w:t>
            </w:r>
          </w:p>
        </w:tc>
        <w:tc>
          <w:tcPr>
            <w:tcW w:w="1149" w:type="dxa"/>
            <w:noWrap w:val="0"/>
            <w:vAlign w:val="center"/>
          </w:tcPr>
          <w:p w14:paraId="1DEB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392" w:type="dxa"/>
            <w:noWrap w:val="0"/>
            <w:vAlign w:val="center"/>
          </w:tcPr>
          <w:p w14:paraId="7954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 w14:paraId="4FF11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769" w:type="dxa"/>
            <w:noWrap w:val="0"/>
            <w:vAlign w:val="center"/>
          </w:tcPr>
          <w:p w14:paraId="229E8015"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56" w:type="dxa"/>
            <w:noWrap w:val="0"/>
            <w:vAlign w:val="center"/>
          </w:tcPr>
          <w:p w14:paraId="7E9F780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除草</w:t>
            </w:r>
          </w:p>
        </w:tc>
        <w:tc>
          <w:tcPr>
            <w:tcW w:w="713" w:type="dxa"/>
            <w:noWrap w:val="0"/>
            <w:vAlign w:val="center"/>
          </w:tcPr>
          <w:p w14:paraId="511010CE">
            <w:pPr>
              <w:jc w:val="center"/>
              <w:rPr>
                <w:rFonts w:hint="eastAsia" w:ascii="Calibri-Bold" w:hAnsi="Calibri-Bold" w:eastAsia="Calibri-Bold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-Bold" w:hAnsi="Calibri-Bold" w:eastAsia="Calibri-Bold"/>
                <w:color w:val="auto"/>
                <w:sz w:val="24"/>
                <w:szCs w:val="24"/>
                <w:lang w:val="en-US" w:eastAsia="zh-CN"/>
              </w:rPr>
              <w:t>亩</w:t>
            </w:r>
          </w:p>
        </w:tc>
        <w:tc>
          <w:tcPr>
            <w:tcW w:w="853" w:type="dxa"/>
            <w:noWrap w:val="0"/>
            <w:vAlign w:val="center"/>
          </w:tcPr>
          <w:p w14:paraId="4687E11D">
            <w:pPr>
              <w:jc w:val="center"/>
              <w:rPr>
                <w:rFonts w:hint="eastAsia" w:ascii="Calibri-Bold" w:hAnsi="Calibri-Bold" w:eastAsia="Calibri-Bold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-Bold" w:hAnsi="Calibri-Bold" w:eastAsia="Calibri-Bold"/>
                <w:color w:val="auto"/>
                <w:sz w:val="24"/>
                <w:szCs w:val="24"/>
                <w:lang w:val="en-US" w:eastAsia="zh-CN"/>
              </w:rPr>
              <w:t>33.33</w:t>
            </w:r>
          </w:p>
        </w:tc>
        <w:tc>
          <w:tcPr>
            <w:tcW w:w="1847" w:type="dxa"/>
            <w:noWrap w:val="0"/>
            <w:vAlign w:val="center"/>
          </w:tcPr>
          <w:p w14:paraId="0E3CEEC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986" w:type="dxa"/>
            <w:noWrap w:val="0"/>
            <w:vAlign w:val="center"/>
          </w:tcPr>
          <w:p w14:paraId="3DC6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49" w:type="dxa"/>
            <w:noWrap w:val="0"/>
            <w:vAlign w:val="center"/>
          </w:tcPr>
          <w:p w14:paraId="44D6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392" w:type="dxa"/>
            <w:noWrap w:val="0"/>
            <w:vAlign w:val="center"/>
          </w:tcPr>
          <w:p w14:paraId="05A9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786AA8A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91FB2"/>
    <w:rsid w:val="24691FB2"/>
    <w:rsid w:val="255611AA"/>
    <w:rsid w:val="35630EFC"/>
    <w:rsid w:val="3E944CF4"/>
    <w:rsid w:val="415470FD"/>
    <w:rsid w:val="5D2D5D15"/>
    <w:rsid w:val="7F6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00" w:lineRule="exact"/>
      <w:jc w:val="center"/>
      <w:outlineLvl w:val="0"/>
    </w:pPr>
    <w:rPr>
      <w:b/>
      <w:bCs/>
      <w:kern w:val="44"/>
      <w:sz w:val="36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basedOn w:val="3"/>
    <w:next w:val="4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3">
    <w:name w:val="Normal_2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4">
    <w:name w:val="Normal_1_0"/>
    <w:qFormat/>
    <w:uiPriority w:val="0"/>
    <w:pPr>
      <w:widowControl w:val="0"/>
      <w:jc w:val="both"/>
    </w:pPr>
    <w:rPr>
      <w:rFonts w:ascii="Calibri" w:hAnsi="Calibri" w:eastAsia="Times New Roman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239</Characters>
  <Lines>0</Lines>
  <Paragraphs>0</Paragraphs>
  <TotalTime>0</TotalTime>
  <ScaleCrop>false</ScaleCrop>
  <LinksUpToDate>false</LinksUpToDate>
  <CharactersWithSpaces>239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2025-05-13T00:04:00Z</dcterms:created>
  <dc:creator>陈泽龙</dc:creator>
  <cp:lastModifiedBy>.  </cp:lastModifiedBy>
  <dcterms:modified xsi:type="dcterms:W3CDTF">2025-10-09T14:31:52Z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A2C729EDB5F7478DBF2DDAA2E2D456DF_13</vt:lpwstr>
  </property>
  <property fmtid="{D5CDD505-2E9C-101B-9397-08002B2CF9AE}" pid="4" name="KSOTemplateDocerSaveRecord">
    <vt:lpwstr>eyJoZGlkIjoiZjI3YjlkY2M4NzAyZWZiYjk3MGUxNTYyMzIzMTIxNzIiLCJ1c2VySWQiOiIxMzQ2MzQyNzA4In0=</vt:lpwstr>
  </property>
</Properties>
</file>