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A6326">
      <w:pPr>
        <w:pStyle w:val="2"/>
        <w:rPr>
          <w:rFonts w:hint="eastAsia" w:ascii="仿宋" w:hAnsi="仿宋" w:eastAsia="仿宋" w:cs="仿宋"/>
          <w:sz w:val="20"/>
        </w:rPr>
      </w:pPr>
    </w:p>
    <w:p w14:paraId="1FF72E65">
      <w:pPr>
        <w:pStyle w:val="2"/>
        <w:rPr>
          <w:rFonts w:hint="eastAsia" w:ascii="仿宋" w:hAnsi="仿宋" w:eastAsia="仿宋" w:cs="仿宋"/>
          <w:sz w:val="20"/>
        </w:rPr>
      </w:pPr>
    </w:p>
    <w:p w14:paraId="50C8799C">
      <w:pPr>
        <w:pStyle w:val="2"/>
        <w:rPr>
          <w:rFonts w:hint="eastAsia" w:ascii="仿宋" w:hAnsi="仿宋" w:eastAsia="仿宋" w:cs="仿宋"/>
          <w:sz w:val="17"/>
        </w:rPr>
      </w:pPr>
    </w:p>
    <w:p w14:paraId="431BACB9">
      <w:pPr>
        <w:pStyle w:val="2"/>
        <w:jc w:val="center"/>
        <w:rPr>
          <w:rFonts w:hint="eastAsia" w:ascii="仿宋" w:hAnsi="仿宋" w:eastAsia="仿宋" w:cs="仿宋"/>
          <w:b/>
          <w:sz w:val="52"/>
          <w:highlight w:val="yellow"/>
        </w:rPr>
      </w:pPr>
      <w:r>
        <w:rPr>
          <w:rFonts w:hint="eastAsia" w:ascii="仿宋" w:hAnsi="仿宋" w:eastAsia="仿宋" w:cs="仿宋"/>
          <w:b/>
          <w:w w:val="95"/>
          <w:sz w:val="52"/>
          <w:highlight w:val="none"/>
          <w:lang w:eastAsia="zh-CN"/>
        </w:rPr>
        <w:t>大冶市罗家桥街道团垴公租房小区物业管理服务项目</w:t>
      </w:r>
    </w:p>
    <w:p w14:paraId="11003B62">
      <w:pPr>
        <w:pStyle w:val="2"/>
        <w:rPr>
          <w:rFonts w:hint="eastAsia" w:ascii="仿宋" w:hAnsi="仿宋" w:eastAsia="仿宋" w:cs="仿宋"/>
          <w:b/>
          <w:sz w:val="52"/>
          <w:highlight w:val="yellow"/>
        </w:rPr>
      </w:pPr>
    </w:p>
    <w:p w14:paraId="12ECD22E">
      <w:pPr>
        <w:pStyle w:val="2"/>
        <w:rPr>
          <w:rFonts w:hint="eastAsia" w:ascii="仿宋" w:hAnsi="仿宋" w:eastAsia="仿宋" w:cs="仿宋"/>
          <w:b/>
          <w:sz w:val="52"/>
          <w:highlight w:val="yellow"/>
        </w:rPr>
      </w:pPr>
    </w:p>
    <w:p w14:paraId="61842974">
      <w:pPr>
        <w:spacing w:before="418"/>
        <w:ind w:left="380" w:right="509" w:firstLine="0"/>
        <w:jc w:val="center"/>
        <w:rPr>
          <w:rFonts w:hint="eastAsia" w:ascii="仿宋" w:hAnsi="仿宋" w:eastAsia="仿宋" w:cs="仿宋"/>
          <w:b/>
          <w:sz w:val="72"/>
        </w:rPr>
      </w:pPr>
    </w:p>
    <w:p w14:paraId="46C89DAC">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14:paraId="4EE8D4C1">
      <w:pPr>
        <w:pStyle w:val="2"/>
        <w:rPr>
          <w:rFonts w:hint="eastAsia" w:ascii="仿宋" w:hAnsi="仿宋" w:eastAsia="仿宋" w:cs="仿宋"/>
          <w:b/>
          <w:sz w:val="72"/>
        </w:rPr>
      </w:pPr>
    </w:p>
    <w:p w14:paraId="7578CEBC">
      <w:pPr>
        <w:pStyle w:val="2"/>
        <w:spacing w:before="1"/>
        <w:rPr>
          <w:rFonts w:hint="eastAsia" w:ascii="仿宋" w:hAnsi="仿宋" w:eastAsia="仿宋" w:cs="仿宋"/>
          <w:b/>
          <w:sz w:val="77"/>
        </w:rPr>
      </w:pPr>
    </w:p>
    <w:p w14:paraId="40CF6927">
      <w:pPr>
        <w:pStyle w:val="2"/>
        <w:spacing w:before="1"/>
        <w:rPr>
          <w:rFonts w:hint="eastAsia" w:ascii="仿宋" w:hAnsi="仿宋" w:eastAsia="仿宋" w:cs="仿宋"/>
          <w:b/>
          <w:color w:val="auto"/>
          <w:sz w:val="77"/>
        </w:rPr>
      </w:pPr>
    </w:p>
    <w:p w14:paraId="6408AE11">
      <w:pPr>
        <w:spacing w:before="0"/>
        <w:ind w:right="0" w:firstLine="2108" w:firstLineChars="700"/>
        <w:jc w:val="both"/>
        <w:rPr>
          <w:rFonts w:hint="default" w:ascii="仿宋" w:hAnsi="仿宋" w:eastAsia="仿宋" w:cs="仿宋"/>
          <w:b/>
          <w:bCs/>
          <w:color w:val="auto"/>
          <w:sz w:val="30"/>
          <w:lang w:val="en-US" w:eastAsia="zh-CN"/>
        </w:rPr>
      </w:pPr>
      <w:r>
        <w:rPr>
          <w:rFonts w:hint="eastAsia" w:ascii="仿宋" w:hAnsi="仿宋" w:eastAsia="仿宋" w:cs="仿宋"/>
          <w:b/>
          <w:bCs/>
          <w:color w:val="auto"/>
          <w:sz w:val="30"/>
        </w:rPr>
        <w:t>采购项目编号：</w:t>
      </w:r>
      <w:r>
        <w:rPr>
          <w:rFonts w:hint="eastAsia" w:ascii="仿宋" w:hAnsi="仿宋" w:eastAsia="仿宋" w:cs="仿宋"/>
          <w:b/>
          <w:bCs/>
          <w:color w:val="auto"/>
          <w:sz w:val="30"/>
          <w:lang w:val="en-US" w:eastAsia="zh-CN"/>
        </w:rPr>
        <w:t>冶农采[2025]0012号</w:t>
      </w:r>
    </w:p>
    <w:p w14:paraId="759B038F">
      <w:pPr>
        <w:spacing w:before="0"/>
        <w:ind w:right="0" w:firstLine="2108" w:firstLineChars="700"/>
        <w:jc w:val="both"/>
        <w:rPr>
          <w:rFonts w:hint="eastAsia" w:ascii="仿宋" w:hAnsi="仿宋" w:eastAsia="仿宋" w:cs="仿宋"/>
          <w:b/>
          <w:bCs/>
          <w:color w:val="auto"/>
          <w:sz w:val="30"/>
          <w:lang w:eastAsia="zh-CN"/>
        </w:rPr>
      </w:pPr>
    </w:p>
    <w:p w14:paraId="60B46917">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大冶市罗家桥街道团垴村村民委员会</w:t>
      </w:r>
    </w:p>
    <w:p w14:paraId="2262D2BE">
      <w:pPr>
        <w:pStyle w:val="12"/>
        <w:ind w:left="0" w:leftChars="0" w:firstLine="0" w:firstLineChars="0"/>
        <w:rPr>
          <w:rFonts w:hint="eastAsia"/>
          <w:lang w:eastAsia="zh-CN"/>
        </w:rPr>
      </w:pPr>
    </w:p>
    <w:p w14:paraId="287AFD02">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eastAsia="zh-CN"/>
        </w:rPr>
        <w:t>湖北锦辰工程管理有限公司</w:t>
      </w:r>
    </w:p>
    <w:p w14:paraId="056A31E1">
      <w:pPr>
        <w:pStyle w:val="12"/>
        <w:rPr>
          <w:rFonts w:hint="eastAsia"/>
          <w:lang w:eastAsia="zh-CN"/>
        </w:rPr>
      </w:pPr>
    </w:p>
    <w:p w14:paraId="7BE7BA52">
      <w:pPr>
        <w:spacing w:before="115"/>
        <w:ind w:right="0"/>
        <w:jc w:val="center"/>
        <w:rPr>
          <w:rFonts w:hint="eastAsia" w:ascii="仿宋" w:hAnsi="仿宋" w:eastAsia="仿宋" w:cs="仿宋"/>
          <w:b/>
          <w:bCs/>
          <w:sz w:val="30"/>
        </w:rPr>
      </w:pPr>
      <w:r>
        <w:rPr>
          <w:rFonts w:hint="eastAsia" w:ascii="仿宋" w:hAnsi="仿宋" w:eastAsia="仿宋" w:cs="仿宋"/>
          <w:b/>
          <w:bCs/>
          <w:sz w:val="30"/>
          <w:lang w:val="en-US" w:eastAsia="zh-CN"/>
        </w:rPr>
        <w:t>二零二五年九</w:t>
      </w:r>
      <w:r>
        <w:rPr>
          <w:rFonts w:hint="eastAsia" w:ascii="仿宋" w:hAnsi="仿宋" w:eastAsia="仿宋" w:cs="仿宋"/>
          <w:b/>
          <w:bCs/>
          <w:sz w:val="30"/>
        </w:rPr>
        <w:t>月</w:t>
      </w:r>
    </w:p>
    <w:p w14:paraId="1E676BC0">
      <w:pPr>
        <w:spacing w:after="0"/>
        <w:jc w:val="left"/>
        <w:rPr>
          <w:rFonts w:hint="eastAsia" w:ascii="仿宋" w:hAnsi="仿宋" w:eastAsia="仿宋" w:cs="仿宋"/>
          <w:b/>
          <w:bCs/>
          <w:sz w:val="30"/>
        </w:rPr>
        <w:sectPr>
          <w:type w:val="continuous"/>
          <w:pgSz w:w="11910" w:h="16840"/>
          <w:pgMar w:top="1480" w:right="800" w:bottom="280" w:left="1220" w:header="720" w:footer="720" w:gutter="0"/>
          <w:cols w:space="720" w:num="1"/>
        </w:sectPr>
      </w:pPr>
    </w:p>
    <w:p w14:paraId="516BB0A8">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14:paraId="3B8602FA">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5C51AEB4">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14:paraId="16E7EBCB">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12856232">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78DF1FA7">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14:paraId="0B6AAE9F">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14:paraId="4564659B">
      <w:pPr>
        <w:pStyle w:val="3"/>
        <w:keepNext w:val="0"/>
        <w:keepLines w:val="0"/>
        <w:pageBreakBefore w:val="0"/>
        <w:kinsoku/>
        <w:wordWrap/>
        <w:overflowPunct/>
        <w:topLinePunct w:val="0"/>
        <w:autoSpaceDE w:val="0"/>
        <w:autoSpaceDN w:val="0"/>
        <w:bidi w:val="0"/>
        <w:adjustRightInd/>
        <w:snapToGrid/>
        <w:spacing w:line="520" w:lineRule="exact"/>
        <w:ind w:left="3640"/>
        <w:textAlignment w:val="auto"/>
        <w:rPr>
          <w:rFonts w:hint="eastAsia" w:ascii="仿宋" w:hAnsi="仿宋" w:eastAsia="仿宋" w:cs="仿宋"/>
          <w:sz w:val="28"/>
          <w:szCs w:val="28"/>
        </w:rPr>
      </w:pPr>
      <w:bookmarkStart w:id="0" w:name="_bookmark0"/>
      <w:bookmarkEnd w:id="0"/>
      <w:bookmarkStart w:id="1" w:name="第一章、谈判邀请函"/>
      <w:bookmarkEnd w:id="1"/>
      <w:r>
        <w:rPr>
          <w:rFonts w:hint="eastAsia" w:ascii="仿宋" w:hAnsi="仿宋" w:eastAsia="仿宋" w:cs="仿宋"/>
          <w:sz w:val="28"/>
          <w:szCs w:val="28"/>
        </w:rPr>
        <w:t>第一章、谈判邀请函</w:t>
      </w:r>
    </w:p>
    <w:p w14:paraId="723A1D37">
      <w:pPr>
        <w:pStyle w:val="2"/>
        <w:keepNext w:val="0"/>
        <w:keepLines w:val="0"/>
        <w:pageBreakBefore w:val="0"/>
        <w:kinsoku/>
        <w:wordWrap/>
        <w:overflowPunct/>
        <w:topLinePunct w:val="0"/>
        <w:autoSpaceDE w:val="0"/>
        <w:autoSpaceDN w:val="0"/>
        <w:bidi w:val="0"/>
        <w:adjustRightInd/>
        <w:snapToGrid/>
        <w:spacing w:before="214"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湖北锦辰工程管理有限公司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大冶市罗家桥街道团垴公租房小区物业管理服务项目</w:t>
      </w:r>
      <w:r>
        <w:rPr>
          <w:rFonts w:hint="eastAsia" w:ascii="仿宋" w:hAnsi="仿宋" w:eastAsia="仿宋" w:cs="仿宋"/>
          <w:sz w:val="28"/>
          <w:szCs w:val="28"/>
        </w:rPr>
        <w:t>进行竞争性谈判采购。</w:t>
      </w:r>
    </w:p>
    <w:p w14:paraId="3B471B61">
      <w:pPr>
        <w:spacing w:before="0"/>
        <w:ind w:right="0" w:firstLine="562" w:firstLineChars="200"/>
        <w:jc w:val="both"/>
        <w:rPr>
          <w:rFonts w:hint="eastAsia" w:ascii="仿宋" w:hAnsi="仿宋" w:eastAsia="仿宋" w:cs="仿宋"/>
          <w:b w:val="0"/>
          <w:bCs w:val="0"/>
          <w:color w:val="auto"/>
          <w:sz w:val="30"/>
          <w:lang w:val="en-US" w:eastAsia="zh-CN"/>
        </w:rPr>
      </w:pPr>
      <w:r>
        <w:rPr>
          <w:rFonts w:hint="eastAsia" w:ascii="仿宋" w:hAnsi="仿宋" w:eastAsia="仿宋" w:cs="仿宋"/>
          <w:b/>
          <w:color w:val="auto"/>
          <w:sz w:val="28"/>
          <w:szCs w:val="28"/>
        </w:rPr>
        <w:t>一、采购项目编号：</w:t>
      </w:r>
      <w:r>
        <w:rPr>
          <w:rFonts w:hint="eastAsia" w:ascii="仿宋" w:hAnsi="仿宋" w:eastAsia="仿宋" w:cs="仿宋"/>
          <w:b w:val="0"/>
          <w:bCs w:val="0"/>
          <w:color w:val="auto"/>
          <w:sz w:val="30"/>
          <w:lang w:val="en-US" w:eastAsia="zh-CN"/>
        </w:rPr>
        <w:t>冶农采[2025]0012号</w:t>
      </w:r>
    </w:p>
    <w:p w14:paraId="1DFAA0A7">
      <w:pPr>
        <w:spacing w:before="0"/>
        <w:ind w:right="0"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rPr>
        <w:t>二、采购项目名称：</w:t>
      </w:r>
      <w:r>
        <w:rPr>
          <w:rFonts w:hint="eastAsia" w:ascii="仿宋" w:hAnsi="仿宋" w:eastAsia="仿宋" w:cs="仿宋"/>
          <w:sz w:val="28"/>
          <w:szCs w:val="28"/>
          <w:highlight w:val="none"/>
          <w:u w:val="single"/>
          <w:lang w:eastAsia="zh-CN"/>
        </w:rPr>
        <w:t>大冶市罗家桥街道团垴公租房小区物业管理服务项目</w:t>
      </w:r>
    </w:p>
    <w:p w14:paraId="301AE913">
      <w:pPr>
        <w:pStyle w:val="2"/>
        <w:keepNext w:val="0"/>
        <w:keepLines w:val="0"/>
        <w:pageBreakBefore w:val="0"/>
        <w:kinsoku/>
        <w:wordWrap/>
        <w:overflowPunct/>
        <w:topLinePunct w:val="0"/>
        <w:autoSpaceDE w:val="0"/>
        <w:autoSpaceDN w:val="0"/>
        <w:bidi w:val="0"/>
        <w:adjustRightInd/>
        <w:snapToGrid/>
        <w:spacing w:before="161" w:line="520" w:lineRule="exact"/>
        <w:ind w:right="50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内</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容</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w:t>
      </w:r>
      <w:r>
        <w:rPr>
          <w:rFonts w:hint="eastAsia" w:ascii="仿宋" w:hAnsi="仿宋" w:eastAsia="仿宋" w:cs="仿宋"/>
          <w:sz w:val="28"/>
          <w:szCs w:val="28"/>
          <w:u w:val="single"/>
          <w:lang w:eastAsia="zh-CN"/>
        </w:rPr>
        <w:t>大冶市罗家桥街道团垴公租房小区物业管理服务项目</w:t>
      </w:r>
      <w:r>
        <w:rPr>
          <w:rFonts w:hint="eastAsia" w:ascii="仿宋" w:hAnsi="仿宋" w:eastAsia="仿宋" w:cs="仿宋"/>
          <w:sz w:val="28"/>
          <w:szCs w:val="28"/>
          <w:u w:val="single"/>
        </w:rPr>
        <w:t>，具体项目概述及要</w:t>
      </w:r>
      <w:r>
        <w:rPr>
          <w:rFonts w:hint="eastAsia" w:ascii="仿宋" w:hAnsi="仿宋" w:eastAsia="仿宋" w:cs="仿宋"/>
          <w:sz w:val="28"/>
          <w:szCs w:val="28"/>
          <w:u w:val="single"/>
          <w:lang w:eastAsia="zh-CN"/>
        </w:rPr>
        <w:t>求详</w:t>
      </w:r>
      <w:r>
        <w:rPr>
          <w:rFonts w:hint="eastAsia" w:ascii="仿宋" w:hAnsi="仿宋" w:eastAsia="仿宋" w:cs="仿宋"/>
          <w:sz w:val="28"/>
          <w:szCs w:val="28"/>
          <w:u w:val="single"/>
        </w:rPr>
        <w:t>见竞争性谈判文件“第三章、项目概述及要求”。</w:t>
      </w:r>
    </w:p>
    <w:p w14:paraId="2CC9239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color w:val="FF0000"/>
          <w:sz w:val="28"/>
          <w:szCs w:val="28"/>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采购预算价（控制价）：</w:t>
      </w:r>
      <w:r>
        <w:rPr>
          <w:rFonts w:hint="eastAsia" w:ascii="仿宋" w:hAnsi="仿宋" w:eastAsia="仿宋" w:cs="仿宋"/>
          <w:color w:val="000000" w:themeColor="text1"/>
          <w:sz w:val="28"/>
          <w:szCs w:val="28"/>
          <w:lang w:val="en-US" w:eastAsia="zh-CN"/>
          <w14:textFill>
            <w14:solidFill>
              <w14:schemeClr w14:val="tx1"/>
            </w14:solidFill>
          </w14:textFill>
        </w:rPr>
        <w:t>22万元</w:t>
      </w:r>
    </w:p>
    <w:p w14:paraId="1C6AA20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资金来源：</w:t>
      </w:r>
      <w:r>
        <w:rPr>
          <w:rFonts w:hint="eastAsia" w:ascii="仿宋" w:hAnsi="仿宋" w:eastAsia="仿宋" w:cs="仿宋"/>
          <w:sz w:val="28"/>
          <w:szCs w:val="28"/>
          <w:lang w:eastAsia="zh-CN"/>
        </w:rPr>
        <w:t>上级拨付</w:t>
      </w:r>
    </w:p>
    <w:p w14:paraId="6D6530FF">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、服务期限：</w:t>
      </w:r>
      <w:r>
        <w:rPr>
          <w:rFonts w:hint="eastAsia" w:ascii="仿宋" w:hAnsi="仿宋" w:eastAsia="仿宋" w:cs="仿宋"/>
          <w:sz w:val="28"/>
          <w:szCs w:val="28"/>
          <w:lang w:val="en-US" w:eastAsia="zh-CN"/>
        </w:rPr>
        <w:t>11个月</w:t>
      </w:r>
      <w:r>
        <w:rPr>
          <w:rFonts w:hint="eastAsia" w:ascii="仿宋" w:hAnsi="仿宋" w:eastAsia="仿宋" w:cs="仿宋"/>
          <w:sz w:val="28"/>
          <w:szCs w:val="28"/>
          <w:lang w:eastAsia="zh-CN"/>
        </w:rPr>
        <w:t>。</w:t>
      </w:r>
    </w:p>
    <w:p w14:paraId="09E6FA23">
      <w:pPr>
        <w:pStyle w:val="5"/>
        <w:keepNext w:val="0"/>
        <w:keepLines w:val="0"/>
        <w:pageBreakBefore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、供应商资格要求：</w:t>
      </w:r>
    </w:p>
    <w:p w14:paraId="4E76B09D">
      <w:pPr>
        <w:pStyle w:val="2"/>
        <w:keepNext w:val="0"/>
        <w:keepLines w:val="0"/>
        <w:pageBreakBefore w:val="0"/>
        <w:kinsoku/>
        <w:wordWrap/>
        <w:overflowPunct/>
        <w:topLinePunct w:val="0"/>
        <w:autoSpaceDE w:val="0"/>
        <w:autoSpaceDN w:val="0"/>
        <w:bidi w:val="0"/>
        <w:adjustRightInd/>
        <w:snapToGrid/>
        <w:spacing w:line="520" w:lineRule="exact"/>
        <w:ind w:right="509"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9"/>
          <w:sz w:val="28"/>
          <w:szCs w:val="28"/>
        </w:rPr>
        <w:t>、符合《政府采购法》第二十二条规定的条件，谈判时须提</w:t>
      </w:r>
      <w:r>
        <w:rPr>
          <w:rFonts w:hint="eastAsia" w:ascii="仿宋" w:hAnsi="仿宋" w:eastAsia="仿宋" w:cs="仿宋"/>
          <w:spacing w:val="-9"/>
          <w:sz w:val="28"/>
          <w:szCs w:val="28"/>
          <w:lang w:val="en-US" w:eastAsia="zh-CN"/>
        </w:rPr>
        <w:t>供</w:t>
      </w:r>
      <w:r>
        <w:rPr>
          <w:rFonts w:hint="eastAsia" w:ascii="仿宋" w:hAnsi="仿宋" w:eastAsia="仿宋" w:cs="仿宋"/>
          <w:spacing w:val="-9"/>
          <w:sz w:val="28"/>
          <w:szCs w:val="28"/>
        </w:rPr>
        <w:t>下列证明材料，且</w:t>
      </w:r>
      <w:r>
        <w:rPr>
          <w:rFonts w:hint="eastAsia" w:ascii="仿宋" w:hAnsi="仿宋" w:eastAsia="仿宋" w:cs="仿宋"/>
          <w:sz w:val="28"/>
          <w:szCs w:val="28"/>
        </w:rPr>
        <w:t>所提供的资格证明材料均在有效期内：</w:t>
      </w:r>
    </w:p>
    <w:p w14:paraId="565F6D0C">
      <w:pPr>
        <w:pStyle w:val="16"/>
        <w:keepNext w:val="0"/>
        <w:keepLines w:val="0"/>
        <w:pageBreakBefore w:val="0"/>
        <w:numPr>
          <w:ilvl w:val="0"/>
          <w:numId w:val="0"/>
        </w:numPr>
        <w:tabs>
          <w:tab w:val="left" w:pos="1513"/>
        </w:tabs>
        <w:kinsoku/>
        <w:wordWrap/>
        <w:overflowPunct/>
        <w:topLinePunct w:val="0"/>
        <w:autoSpaceDE w:val="0"/>
        <w:autoSpaceDN w:val="0"/>
        <w:bidi w:val="0"/>
        <w:adjustRightInd/>
        <w:snapToGrid/>
        <w:spacing w:before="5" w:after="0" w:line="520" w:lineRule="exact"/>
        <w:ind w:right="0" w:rightChars="0"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r>
        <w:rPr>
          <w:rFonts w:hint="eastAsia" w:ascii="仿宋" w:hAnsi="仿宋" w:eastAsia="仿宋" w:cs="仿宋"/>
          <w:color w:val="auto"/>
          <w:sz w:val="28"/>
          <w:szCs w:val="28"/>
          <w:lang w:eastAsia="zh-CN"/>
        </w:rPr>
        <w:t>；</w:t>
      </w:r>
    </w:p>
    <w:p w14:paraId="53A9C919">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14:paraId="69304847">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F7EA578">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6AF64514">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、本项目不接受联合体参与谈判；</w:t>
      </w:r>
    </w:p>
    <w:p w14:paraId="529980D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6、开标前各投标供应商自行前往现场踏勘，并将现场踏勘标志性图片附到投标文件中，未按要求提供踏勘图片（彩色）的供应商作无效处理。</w:t>
      </w:r>
    </w:p>
    <w:p w14:paraId="1E0D077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八、供应商可在2025年9月10日起到云上大冶</w:t>
      </w:r>
      <w:r>
        <w:rPr>
          <w:rFonts w:hint="eastAsia" w:ascii="仿宋" w:hAnsi="仿宋" w:eastAsia="仿宋" w:cs="仿宋"/>
          <w:color w:val="auto"/>
          <w:sz w:val="28"/>
          <w:szCs w:val="28"/>
          <w:lang w:eastAsia="zh-CN"/>
        </w:rPr>
        <w:t>（ http://dayeyun.cjyun.org/z/133229/）</w:t>
      </w:r>
      <w:r>
        <w:rPr>
          <w:rFonts w:hint="eastAsia" w:ascii="仿宋" w:hAnsi="仿宋" w:eastAsia="仿宋" w:cs="仿宋"/>
          <w:color w:val="auto"/>
          <w:sz w:val="28"/>
          <w:szCs w:val="28"/>
        </w:rPr>
        <w:t>本公告页面下载谈判文件。</w:t>
      </w:r>
    </w:p>
    <w:p w14:paraId="3060977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rPr>
        <w:t>、谈判响应文件递交截止</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9：00</w:t>
      </w:r>
      <w:r>
        <w:rPr>
          <w:rFonts w:hint="eastAsia" w:ascii="仿宋" w:hAnsi="仿宋" w:eastAsia="仿宋" w:cs="仿宋"/>
          <w:color w:val="auto"/>
          <w:sz w:val="28"/>
          <w:szCs w:val="28"/>
        </w:rPr>
        <w:t>时开始受理响应文件)。</w:t>
      </w:r>
    </w:p>
    <w:p w14:paraId="4605E937">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rPr>
        <w:t>、谈判响应文件送达地点：</w:t>
      </w:r>
      <w:r>
        <w:rPr>
          <w:rFonts w:hint="eastAsia" w:ascii="仿宋" w:hAnsi="仿宋" w:eastAsia="仿宋" w:cs="仿宋"/>
          <w:color w:val="auto"/>
          <w:sz w:val="28"/>
          <w:szCs w:val="28"/>
          <w:lang w:eastAsia="zh-CN"/>
        </w:rPr>
        <w:t>大冶市农村综合产权交易中心开标室（大冶市七里界国际金融中心二楼）</w:t>
      </w:r>
      <w:r>
        <w:rPr>
          <w:rFonts w:hint="eastAsia" w:ascii="仿宋" w:hAnsi="仿宋" w:eastAsia="仿宋" w:cs="仿宋"/>
          <w:color w:val="auto"/>
          <w:sz w:val="28"/>
          <w:szCs w:val="28"/>
        </w:rPr>
        <w:t>。</w:t>
      </w:r>
      <w:bookmarkStart w:id="7" w:name="_GoBack"/>
      <w:bookmarkEnd w:id="7"/>
    </w:p>
    <w:p w14:paraId="46BF147A">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、谈判时间：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rPr>
        <w:t>。</w:t>
      </w:r>
    </w:p>
    <w:p w14:paraId="6A0B7BE0">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谈判地点：同递交响应文件</w:t>
      </w:r>
      <w:r>
        <w:rPr>
          <w:rFonts w:hint="eastAsia" w:ascii="仿宋" w:hAnsi="仿宋" w:eastAsia="仿宋" w:cs="仿宋"/>
          <w:color w:val="auto"/>
          <w:sz w:val="28"/>
          <w:szCs w:val="28"/>
          <w:lang w:eastAsia="zh-CN"/>
        </w:rPr>
        <w:t>送达</w:t>
      </w:r>
      <w:r>
        <w:rPr>
          <w:rFonts w:hint="eastAsia" w:ascii="仿宋" w:hAnsi="仿宋" w:eastAsia="仿宋" w:cs="仿宋"/>
          <w:color w:val="auto"/>
          <w:sz w:val="28"/>
          <w:szCs w:val="28"/>
        </w:rPr>
        <w:t>地点。</w:t>
      </w:r>
    </w:p>
    <w:p w14:paraId="32C7C78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、逾期送达的或者未送达指定地点的谈判文件，采购人不予受理。</w:t>
      </w:r>
    </w:p>
    <w:p w14:paraId="78D00FDB">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、发布公告的媒介</w:t>
      </w:r>
    </w:p>
    <w:p w14:paraId="58FA7BC1">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本次招标公告在</w:t>
      </w:r>
      <w:r>
        <w:rPr>
          <w:rFonts w:hint="eastAsia" w:ascii="仿宋" w:hAnsi="仿宋" w:eastAsia="仿宋" w:cs="仿宋"/>
          <w:color w:val="auto"/>
          <w:sz w:val="28"/>
          <w:szCs w:val="28"/>
          <w:lang w:eastAsia="zh-CN"/>
        </w:rPr>
        <w:t>云上大冶</w:t>
      </w:r>
      <w:r>
        <w:rPr>
          <w:rFonts w:hint="eastAsia" w:ascii="仿宋" w:hAnsi="仿宋" w:eastAsia="仿宋" w:cs="仿宋"/>
          <w:color w:val="auto"/>
          <w:sz w:val="28"/>
          <w:szCs w:val="28"/>
        </w:rPr>
        <w:t>发布。</w:t>
      </w:r>
    </w:p>
    <w:p w14:paraId="5887A31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十四、</w:t>
      </w:r>
      <w:r>
        <w:rPr>
          <w:rFonts w:hint="eastAsia" w:ascii="仿宋" w:hAnsi="仿宋" w:eastAsia="仿宋" w:cs="仿宋"/>
          <w:sz w:val="28"/>
          <w:szCs w:val="28"/>
        </w:rPr>
        <w:t>联系方式</w:t>
      </w:r>
    </w:p>
    <w:p w14:paraId="4E3447DA">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pacing w:val="-19"/>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大冶市罗家桥街道团垴村村民委员会</w:t>
      </w:r>
    </w:p>
    <w:p w14:paraId="0953B8B7">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罗主任</w:t>
      </w:r>
      <w:r>
        <w:rPr>
          <w:rFonts w:hint="eastAsia" w:ascii="仿宋" w:hAnsi="仿宋" w:eastAsia="仿宋" w:cs="仿宋"/>
          <w:color w:val="000000" w:themeColor="text1"/>
          <w:sz w:val="28"/>
          <w:szCs w:val="28"/>
          <w:highlight w:val="none"/>
          <w14:textFill>
            <w14:solidFill>
              <w14:schemeClr w14:val="tx1"/>
            </w14:solidFill>
          </w14:textFill>
        </w:rPr>
        <w:tab/>
      </w:r>
    </w:p>
    <w:p w14:paraId="547C61B4">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themeColor="text1"/>
          <w:sz w:val="28"/>
          <w:szCs w:val="28"/>
          <w:highlight w:val="none"/>
          <w14:textFill>
            <w14:solidFill>
              <w14:schemeClr w14:val="tx1"/>
            </w14:solidFill>
          </w14:textFill>
        </w:rPr>
        <w:t>电话：</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13597734242  </w:t>
      </w:r>
      <w:r>
        <w:rPr>
          <w:rFonts w:hint="eastAsia" w:ascii="仿宋" w:hAnsi="仿宋" w:eastAsia="仿宋" w:cs="仿宋"/>
          <w:sz w:val="28"/>
          <w:szCs w:val="28"/>
          <w:highlight w:val="none"/>
          <w:lang w:val="en-US" w:eastAsia="zh-CN"/>
        </w:rPr>
        <w:t xml:space="preserve"> </w:t>
      </w:r>
    </w:p>
    <w:p w14:paraId="4F74D92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政府采购代理机构：</w:t>
      </w:r>
      <w:r>
        <w:rPr>
          <w:rFonts w:hint="eastAsia" w:ascii="仿宋" w:hAnsi="仿宋" w:eastAsia="仿宋" w:cs="仿宋"/>
          <w:sz w:val="28"/>
          <w:szCs w:val="28"/>
          <w:lang w:eastAsia="zh-CN"/>
        </w:rPr>
        <w:t>湖北锦辰工程管理有限公司</w:t>
      </w:r>
    </w:p>
    <w:p w14:paraId="1F2732C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李</w:t>
      </w:r>
      <w:r>
        <w:rPr>
          <w:rFonts w:hint="eastAsia" w:ascii="仿宋" w:hAnsi="仿宋" w:eastAsia="仿宋" w:cs="仿宋"/>
          <w:sz w:val="28"/>
          <w:szCs w:val="28"/>
          <w:lang w:eastAsia="zh-CN"/>
        </w:rPr>
        <w:t>工</w:t>
      </w:r>
      <w:r>
        <w:rPr>
          <w:rFonts w:hint="eastAsia" w:ascii="仿宋" w:hAnsi="仿宋" w:eastAsia="仿宋" w:cs="仿宋"/>
          <w:sz w:val="28"/>
          <w:szCs w:val="28"/>
          <w:lang w:val="en-US" w:eastAsia="zh-CN"/>
        </w:rPr>
        <w:t xml:space="preserve">      </w:t>
      </w:r>
    </w:p>
    <w:p w14:paraId="595702CB">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zh-CN" w:eastAsia="zh-CN"/>
        </w:rPr>
        <w:t>电话：</w:t>
      </w:r>
      <w:bookmarkStart w:id="2" w:name="_bookmark1"/>
      <w:bookmarkEnd w:id="2"/>
      <w:bookmarkStart w:id="3" w:name="第二章、谈判须知"/>
      <w:bookmarkEnd w:id="3"/>
      <w:r>
        <w:rPr>
          <w:rFonts w:hint="eastAsia" w:ascii="仿宋" w:hAnsi="仿宋" w:eastAsia="仿宋" w:cs="仿宋"/>
          <w:sz w:val="28"/>
          <w:szCs w:val="28"/>
          <w:lang w:val="en-US" w:eastAsia="zh-CN"/>
        </w:rPr>
        <w:t>13872104488</w:t>
      </w:r>
    </w:p>
    <w:p w14:paraId="401D3ABA">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left="856" w:right="4709"/>
        <w:textAlignment w:val="auto"/>
        <w:rPr>
          <w:rFonts w:hint="eastAsia" w:ascii="仿宋" w:hAnsi="仿宋" w:eastAsia="仿宋" w:cs="仿宋"/>
          <w:sz w:val="28"/>
          <w:szCs w:val="28"/>
          <w:lang w:val="en-US" w:eastAsia="zh-CN"/>
        </w:rPr>
      </w:pPr>
    </w:p>
    <w:p w14:paraId="07144504">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color w:val="auto"/>
          <w:sz w:val="28"/>
          <w:szCs w:val="28"/>
          <w:lang w:eastAsia="zh-CN"/>
        </w:rPr>
        <w:t>湖北锦辰工程管理有限公司</w:t>
      </w:r>
    </w:p>
    <w:p w14:paraId="47631A75">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2025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日</w:t>
      </w:r>
    </w:p>
    <w:p w14:paraId="3F544062">
      <w:pPr>
        <w:pStyle w:val="3"/>
        <w:keepNext w:val="0"/>
        <w:keepLines w:val="0"/>
        <w:pageBreakBefore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color w:val="auto"/>
          <w:sz w:val="28"/>
          <w:szCs w:val="28"/>
        </w:rPr>
      </w:pPr>
    </w:p>
    <w:p w14:paraId="1160B4BA">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6" w:firstLine="0" w:firstLineChars="0"/>
        <w:jc w:val="both"/>
        <w:textAlignment w:val="auto"/>
        <w:rPr>
          <w:rFonts w:hint="eastAsia" w:ascii="仿宋" w:hAnsi="仿宋" w:eastAsia="仿宋" w:cs="仿宋"/>
          <w:sz w:val="28"/>
          <w:szCs w:val="28"/>
        </w:rPr>
      </w:pPr>
    </w:p>
    <w:p w14:paraId="33FF5AAD">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14:paraId="286C80A3">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14:paraId="012020CE">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14:paraId="3130B0B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14:paraId="69910EB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14:paraId="63291B1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14:paraId="55AC99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u w:val="single"/>
        </w:rPr>
        <w:t>。</w:t>
      </w:r>
    </w:p>
    <w:p w14:paraId="04B0B88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湖北锦辰工程管理有限公司</w:t>
      </w:r>
      <w:r>
        <w:rPr>
          <w:rFonts w:hint="eastAsia" w:ascii="仿宋" w:hAnsi="仿宋" w:eastAsia="仿宋" w:cs="仿宋"/>
          <w:sz w:val="28"/>
          <w:szCs w:val="28"/>
          <w:u w:val="single"/>
        </w:rPr>
        <w:t>。</w:t>
      </w:r>
    </w:p>
    <w:p w14:paraId="170F3EA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14:paraId="25BC4A6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14:paraId="1F1ECAB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14:paraId="7CE8B63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14:paraId="78E94D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p>
    <w:p w14:paraId="100AD80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参加本次采购活动前三年内未被“信用中国”网站列入失信被执行人(www.creditchina.gov.cn)、</w:t>
      </w:r>
      <w:r>
        <w:rPr>
          <w:rFonts w:hint="eastAsia" w:ascii="仿宋" w:hAnsi="仿宋" w:eastAsia="仿宋" w:cs="仿宋"/>
          <w:color w:val="auto"/>
          <w:sz w:val="28"/>
          <w:szCs w:val="28"/>
          <w:lang w:eastAsia="zh-CN"/>
        </w:rPr>
        <w:t>重大税收违法失信主体</w:t>
      </w:r>
      <w:r>
        <w:rPr>
          <w:rFonts w:hint="eastAsia" w:ascii="仿宋" w:hAnsi="仿宋" w:eastAsia="仿宋" w:cs="仿宋"/>
          <w:color w:val="auto"/>
          <w:sz w:val="28"/>
          <w:szCs w:val="28"/>
        </w:rPr>
        <w:t>； 未被“中国政府采购”网站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"http://www.ccgp.gov.cn/"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（www.ccgp.gov.cn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）列入政府采购严重违法失信行为记录名单（提供网站查询结果</w:t>
      </w:r>
      <w:r>
        <w:rPr>
          <w:rFonts w:hint="eastAsia" w:ascii="仿宋" w:hAnsi="仿宋" w:eastAsia="仿宋" w:cs="仿宋"/>
          <w:color w:val="auto"/>
          <w:sz w:val="28"/>
          <w:szCs w:val="28"/>
          <w:lang w:eastAsia="zh-CN"/>
        </w:rPr>
        <w:t>网页打印件</w:t>
      </w:r>
      <w:r>
        <w:rPr>
          <w:rFonts w:hint="eastAsia" w:ascii="仿宋" w:hAnsi="仿宋" w:eastAsia="仿宋" w:cs="仿宋"/>
          <w:color w:val="auto"/>
          <w:sz w:val="28"/>
          <w:szCs w:val="28"/>
        </w:rPr>
        <w:t>）；</w:t>
      </w:r>
    </w:p>
    <w:p w14:paraId="65EA0FC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C41060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207254F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（5）开标前各投标供应商自行前往现场踏勘，并将现场踏勘标志性图片附到投标文件中，未按要求提供踏勘图片（彩色）的供应商作无效处理。</w:t>
      </w:r>
    </w:p>
    <w:p w14:paraId="70A3FA0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color w:val="auto"/>
        </w:rPr>
      </w:pPr>
      <w:r>
        <w:rPr>
          <w:rFonts w:hint="eastAsia" w:ascii="仿宋" w:hAnsi="仿宋" w:eastAsia="仿宋" w:cs="仿宋"/>
          <w:color w:val="auto"/>
          <w:sz w:val="28"/>
          <w:szCs w:val="28"/>
          <w:lang w:val="en-US" w:eastAsia="zh-CN"/>
        </w:rPr>
        <w:t xml:space="preserve">3.2 </w:t>
      </w:r>
      <w:r>
        <w:rPr>
          <w:rFonts w:hint="eastAsia" w:ascii="仿宋" w:hAnsi="仿宋" w:eastAsia="仿宋" w:cs="仿宋"/>
          <w:color w:val="auto"/>
          <w:sz w:val="28"/>
          <w:szCs w:val="28"/>
        </w:rPr>
        <w:t>本项目不接受联合体参与谈判</w:t>
      </w:r>
      <w:r>
        <w:rPr>
          <w:rFonts w:hint="eastAsia" w:ascii="仿宋" w:hAnsi="仿宋" w:eastAsia="仿宋" w:cs="仿宋"/>
          <w:color w:val="auto"/>
          <w:sz w:val="28"/>
          <w:szCs w:val="28"/>
          <w:lang w:eastAsia="zh-CN"/>
        </w:rPr>
        <w:t>。</w:t>
      </w:r>
    </w:p>
    <w:p w14:paraId="138EF31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14:paraId="07E110A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14:paraId="02F9DF2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lang w:eastAsia="zh-CN"/>
        </w:rPr>
        <w:t>本项目招标代理费由成交供应商在领取成交通知书时向招标代理机构一次性付清。招标代理费按发改价格[2011]534号文标准收取</w:t>
      </w:r>
      <w:r>
        <w:rPr>
          <w:rFonts w:hint="eastAsia" w:ascii="仿宋" w:hAnsi="仿宋" w:eastAsia="仿宋" w:cs="仿宋"/>
          <w:sz w:val="28"/>
          <w:szCs w:val="28"/>
        </w:rPr>
        <w:t>。</w:t>
      </w:r>
    </w:p>
    <w:p w14:paraId="15CAA632">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14:paraId="31B1511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14:paraId="52222C0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14:paraId="235F141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14:paraId="44404D8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14:paraId="5B06552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14:paraId="01FD722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14:paraId="7DE456A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14:paraId="42AAE38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5.6.1 </w:t>
      </w:r>
      <w:r>
        <w:rPr>
          <w:rFonts w:hint="eastAsia" w:ascii="仿宋" w:hAnsi="仿宋" w:eastAsia="仿宋" w:cs="仿宋"/>
          <w:b w:val="0"/>
          <w:bCs w:val="0"/>
          <w:sz w:val="28"/>
          <w:szCs w:val="28"/>
        </w:rPr>
        <w:t>价格文件</w:t>
      </w:r>
    </w:p>
    <w:p w14:paraId="48E7EE8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52"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14:paraId="39B4964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分项报价表；（附件三）</w:t>
      </w:r>
    </w:p>
    <w:p w14:paraId="53959016">
      <w:pPr>
        <w:pStyle w:val="16"/>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161" w:after="0" w:line="520" w:lineRule="exact"/>
        <w:ind w:right="509" w:rightChars="0" w:firstLine="480" w:firstLineChars="200"/>
        <w:jc w:val="left"/>
        <w:textAlignment w:val="auto"/>
        <w:rPr>
          <w:rFonts w:hint="eastAsia" w:ascii="仿宋" w:hAnsi="仿宋" w:eastAsia="仿宋" w:cs="仿宋"/>
          <w:sz w:val="28"/>
          <w:szCs w:val="28"/>
        </w:rPr>
      </w:pPr>
      <w:r>
        <w:rPr>
          <w:rFonts w:hint="eastAsia" w:ascii="仿宋" w:hAnsi="仿宋" w:eastAsia="仿宋" w:cs="仿宋"/>
          <w:b w:val="0"/>
          <w:bCs w:val="0"/>
          <w:spacing w:val="-20"/>
          <w:sz w:val="28"/>
          <w:szCs w:val="28"/>
          <w:lang w:val="en-US" w:eastAsia="zh-CN"/>
        </w:rPr>
        <w:t xml:space="preserve">5.6.2 </w:t>
      </w:r>
      <w:r>
        <w:rPr>
          <w:rFonts w:hint="eastAsia" w:ascii="仿宋" w:hAnsi="仿宋" w:eastAsia="仿宋" w:cs="仿宋"/>
          <w:b w:val="0"/>
          <w:bCs w:val="0"/>
          <w:spacing w:val="-20"/>
          <w:sz w:val="28"/>
          <w:szCs w:val="28"/>
        </w:rPr>
        <w:t>商务技术文件</w:t>
      </w:r>
      <w:r>
        <w:rPr>
          <w:rFonts w:hint="eastAsia" w:ascii="仿宋" w:hAnsi="仿宋" w:eastAsia="仿宋" w:cs="仿宋"/>
          <w:b w:val="0"/>
          <w:bCs w:val="0"/>
          <w:spacing w:val="-2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pacing w:val="-1"/>
          <w:sz w:val="28"/>
          <w:szCs w:val="28"/>
        </w:rPr>
        <w:t>应该有的必须提供,如未提供,评审小组有权拒绝其竞争性谈</w:t>
      </w:r>
      <w:r>
        <w:rPr>
          <w:rFonts w:hint="eastAsia" w:ascii="仿宋" w:hAnsi="仿宋" w:eastAsia="仿宋" w:cs="仿宋"/>
          <w:sz w:val="28"/>
          <w:szCs w:val="28"/>
        </w:rPr>
        <w:t>判响应文件）</w:t>
      </w:r>
    </w:p>
    <w:p w14:paraId="7EEAC97B">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14:paraId="3F247CD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法定代表人授权书原件附在正本；（附件四）</w:t>
      </w:r>
    </w:p>
    <w:p w14:paraId="1495EEAF">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五</w:t>
      </w:r>
      <w:r>
        <w:rPr>
          <w:rFonts w:hint="eastAsia" w:ascii="仿宋" w:hAnsi="仿宋" w:eastAsia="仿宋" w:cs="仿宋"/>
          <w:sz w:val="28"/>
          <w:szCs w:val="28"/>
        </w:rPr>
        <w:t>）</w:t>
      </w:r>
    </w:p>
    <w:p w14:paraId="03BDB6F6">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14:paraId="559B783F">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14:paraId="1400E76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14:paraId="4C641D4E">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01A3D755">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14:paraId="3F91794E">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14:paraId="030746C4">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0E905A7C">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14:paraId="4D1B15F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rPr>
        <w:t xml:space="preserve"> 叁</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14:paraId="6025A5C4">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14:paraId="26938245">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14:paraId="6CC692B2">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14:paraId="0F41F6B0">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14:paraId="3EB455ED">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14:paraId="600F6329">
      <w:pPr>
        <w:pStyle w:val="16"/>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14:paraId="605B7BD3">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14:paraId="514D5126">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14:paraId="5E3D9DC8">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4208D3F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14:paraId="6D45E2AA">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14:paraId="2FBD0FB5">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14:paraId="26AC35C4">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14:paraId="2A117B8B">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14:paraId="487F9B7E">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14:paraId="172317C4">
      <w:pPr>
        <w:pStyle w:val="16"/>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14:paraId="58867299">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14:paraId="7291E87E">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14:paraId="6B2EEE56">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14:paraId="3EE77072">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14:paraId="40F6F9F6">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14:paraId="3D2BD2FC">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14:paraId="1547C35B">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14:paraId="1FE9493A">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14:paraId="0B6DA874">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14:paraId="65C2B406">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14:paraId="3EB64178">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14:paraId="733774AF">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14:paraId="70A9268F">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14:paraId="12B6D3FD">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6A81DF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14:paraId="3FEE150A">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5BAE0F2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14:paraId="078133D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14:paraId="17AD978F">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14:paraId="7F9383C9">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7FE03620">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成交供应商在收到成交通知书后，按规定与采购人签订服务合同。</w:t>
      </w:r>
    </w:p>
    <w:p w14:paraId="6D822C83">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2D95F9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14:paraId="734573D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14:paraId="76DC45DA">
      <w:pPr>
        <w:pStyle w:val="12"/>
        <w:rPr>
          <w:rFonts w:hint="eastAsia" w:ascii="仿宋" w:hAnsi="仿宋" w:eastAsia="仿宋" w:cs="仿宋"/>
          <w:sz w:val="28"/>
          <w:szCs w:val="28"/>
          <w:lang w:val="zh-CN" w:eastAsia="zh-CN" w:bidi="zh-CN"/>
        </w:rPr>
      </w:pPr>
    </w:p>
    <w:p w14:paraId="4E660C67">
      <w:pPr>
        <w:pStyle w:val="14"/>
        <w:rPr>
          <w:rFonts w:hint="eastAsia" w:ascii="仿宋" w:hAnsi="仿宋" w:eastAsia="仿宋" w:cs="仿宋"/>
          <w:sz w:val="28"/>
          <w:szCs w:val="28"/>
          <w:lang w:val="zh-CN" w:eastAsia="zh-CN" w:bidi="zh-CN"/>
        </w:rPr>
      </w:pPr>
    </w:p>
    <w:p w14:paraId="3EC46C91">
      <w:pPr>
        <w:pStyle w:val="14"/>
        <w:rPr>
          <w:rFonts w:hint="eastAsia" w:ascii="仿宋" w:hAnsi="仿宋" w:eastAsia="仿宋" w:cs="仿宋"/>
          <w:sz w:val="28"/>
          <w:szCs w:val="28"/>
          <w:lang w:val="zh-CN" w:eastAsia="zh-CN" w:bidi="zh-CN"/>
        </w:rPr>
      </w:pPr>
    </w:p>
    <w:p w14:paraId="7B6807AE">
      <w:pPr>
        <w:pStyle w:val="14"/>
        <w:rPr>
          <w:rFonts w:hint="eastAsia" w:ascii="仿宋" w:hAnsi="仿宋" w:eastAsia="仿宋" w:cs="仿宋"/>
          <w:sz w:val="28"/>
          <w:szCs w:val="28"/>
          <w:lang w:val="zh-CN" w:eastAsia="zh-CN" w:bidi="zh-CN"/>
        </w:rPr>
      </w:pPr>
    </w:p>
    <w:p w14:paraId="1A3BA261">
      <w:pPr>
        <w:pStyle w:val="14"/>
        <w:rPr>
          <w:rFonts w:hint="eastAsia" w:ascii="仿宋" w:hAnsi="仿宋" w:eastAsia="仿宋" w:cs="仿宋"/>
          <w:sz w:val="28"/>
          <w:szCs w:val="28"/>
          <w:lang w:val="zh-CN" w:eastAsia="zh-CN" w:bidi="zh-CN"/>
        </w:rPr>
      </w:pPr>
    </w:p>
    <w:p w14:paraId="7C053E5A">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50A3AC94">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17E0E447">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3E97F7C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6BE6962B">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D81239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4E312258">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20C88B8">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4" w:firstLine="0" w:firstLineChars="0"/>
        <w:jc w:val="both"/>
        <w:textAlignment w:val="auto"/>
        <w:rPr>
          <w:rFonts w:hint="eastAsia" w:ascii="仿宋" w:hAnsi="仿宋" w:eastAsia="仿宋" w:cs="仿宋"/>
          <w:sz w:val="28"/>
          <w:szCs w:val="28"/>
        </w:rPr>
        <w:sectPr>
          <w:footerReference r:id="rId5" w:type="default"/>
          <w:pgSz w:w="11910" w:h="16840"/>
          <w:pgMar w:top="1400" w:right="800" w:bottom="960" w:left="1220" w:header="0" w:footer="761" w:gutter="0"/>
          <w:pgNumType w:fmt="decimal"/>
          <w:cols w:space="720" w:num="1"/>
        </w:sectPr>
      </w:pPr>
    </w:p>
    <w:p w14:paraId="5DD353B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454" w:firstLine="3092" w:firstLineChars="1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第三章、项目概述及要求</w:t>
      </w:r>
    </w:p>
    <w:p w14:paraId="7322FFCE">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一、项目编号：冶农采[2025]0012号</w:t>
      </w:r>
    </w:p>
    <w:p w14:paraId="54A56E2F">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二、项目名称：大冶市罗家桥街道团垴公租房小区物业管理服务项目</w:t>
      </w:r>
    </w:p>
    <w:p w14:paraId="291326FD">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三、服务期及付款方式：</w:t>
      </w:r>
    </w:p>
    <w:p w14:paraId="1CE17A55">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color w:val="auto"/>
          <w:sz w:val="28"/>
          <w:szCs w:val="28"/>
          <w:lang w:val="en-US" w:eastAsia="zh-CN"/>
        </w:rPr>
        <w:t>服务期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11个月。</w:t>
      </w:r>
    </w:p>
    <w:p w14:paraId="26530138">
      <w:pPr>
        <w:pStyle w:val="2"/>
        <w:spacing w:line="360" w:lineRule="auto"/>
        <w:ind w:firstLine="560" w:firstLineChars="200"/>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FF0000"/>
          <w:sz w:val="28"/>
          <w:szCs w:val="28"/>
          <w:lang w:eastAsia="zh-CN"/>
        </w:rPr>
        <w:t>付款方式：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60326C47">
      <w:pPr>
        <w:pStyle w:val="2"/>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lang w:val="en-US" w:eastAsia="zh-CN"/>
        </w:rPr>
        <w:t>服务要求：</w:t>
      </w:r>
    </w:p>
    <w:p w14:paraId="612FC42E">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(一)租赁管理工作内容及要求</w:t>
      </w:r>
    </w:p>
    <w:p w14:paraId="73344E82">
      <w:pPr>
        <w:pStyle w:val="2"/>
        <w:spacing w:line="360" w:lineRule="auto"/>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服务内容</w:t>
      </w:r>
      <w:r>
        <w:rPr>
          <w:rFonts w:hint="eastAsia" w:ascii="仿宋" w:hAnsi="仿宋" w:eastAsia="仿宋" w:cs="仿宋"/>
          <w:b w:val="0"/>
          <w:bCs w:val="0"/>
          <w:sz w:val="28"/>
          <w:szCs w:val="28"/>
        </w:rPr>
        <w:t>: 大冶市城西北新区团垴公租房小区 (1 号楼、6 号公寓、8号公寓)，户建筑面积: 20582.89平方米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共计452户，绿化面积4000㎡，电梯4户日常维护保养，零星基础设施建设、维修，物业共用部位及设施设备的维修、养护和管理，物业共用部位和相关场地的清洁卫生，垃圾的收集、清运及雨、污水管道的疏通，小区通行及车辆进出、停放管理，公共秩序维护、安全防范等事项的协助管理。</w:t>
      </w:r>
    </w:p>
    <w:p w14:paraId="324E0A13">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1、项目技术服务要求:</w:t>
      </w:r>
    </w:p>
    <w:p w14:paraId="287AD8F9">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 xml:space="preserve"> 楼管员</w:t>
      </w:r>
    </w:p>
    <w:p w14:paraId="72A45E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 120户配备</w:t>
      </w:r>
      <w:r>
        <w:rPr>
          <w:rFonts w:hint="eastAsia" w:ascii="仿宋" w:hAnsi="仿宋" w:eastAsia="仿宋" w:cs="仿宋"/>
          <w:color w:val="FF0000"/>
          <w:sz w:val="28"/>
          <w:szCs w:val="28"/>
        </w:rPr>
        <w:t xml:space="preserve"> </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楼管员。</w:t>
      </w:r>
    </w:p>
    <w:p w14:paraId="33AC664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 周岁以内，退伍军人和警校毕业生优先。</w:t>
      </w:r>
    </w:p>
    <w:p w14:paraId="4496CE49">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(3)高中以上文化程度，政治合格，身体健康、形象良好。</w:t>
      </w:r>
    </w:p>
    <w:p w14:paraId="22783E1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(4)工作积极、态度端正、服务热情、文明礼貌、责任心强，无违法犯罪和不良行为记录。</w:t>
      </w:r>
    </w:p>
    <w:p w14:paraId="307D439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(5)服务标准:</w:t>
      </w:r>
    </w:p>
    <w:p w14:paraId="2AADF14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1)成交供应商配备足够的楼管员、照明器材及个人保护装备并自行承担相关全部费用。</w:t>
      </w:r>
    </w:p>
    <w:p w14:paraId="530E925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2)统一着装，标志标识齐全，仪容仪表整洁规范。值班时严禁饮酒严禁脱岗。</w:t>
      </w:r>
    </w:p>
    <w:p w14:paraId="43064B2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3)引导机动车辆按规定路线行驶并在指定地点停放，做到停放有序非机动车摆放整齐。</w:t>
      </w:r>
    </w:p>
    <w:p w14:paraId="5CB99BE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4)工作时间及夜间不定期巡查，巡查时发现可疑人员要进行盘问并做好备查记录后，视情况及时劝离办公楼或移交公安机关处理。</w:t>
      </w:r>
    </w:p>
    <w:p w14:paraId="3088D165">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5)每月进行一次服务质量回访，不断提高服务质量。</w:t>
      </w:r>
    </w:p>
    <w:p w14:paraId="1145AAA5">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1.2 </w:t>
      </w:r>
      <w:r>
        <w:rPr>
          <w:rFonts w:hint="eastAsia" w:ascii="仿宋" w:hAnsi="仿宋" w:eastAsia="仿宋" w:cs="仿宋"/>
          <w:b/>
          <w:bCs/>
          <w:sz w:val="28"/>
          <w:szCs w:val="28"/>
        </w:rPr>
        <w:t>保洁员</w:t>
      </w:r>
    </w:p>
    <w:p w14:paraId="713678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(1)至少每140户配备</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保洁员</w:t>
      </w:r>
    </w:p>
    <w:p w14:paraId="3906A8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45周岁以内。</w:t>
      </w:r>
    </w:p>
    <w:p w14:paraId="2F5B157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(3)形象端正，身体健康，吃苦耐劳。</w:t>
      </w:r>
    </w:p>
    <w:p w14:paraId="0E19562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(4)具有 2年以上的相关工作经验</w:t>
      </w:r>
    </w:p>
    <w:p w14:paraId="1276630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(5)岗位要求:</w:t>
      </w:r>
    </w:p>
    <w:p w14:paraId="199DF78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1)成交供应商应当配备足够的保洁器材和劳保用品并自行承担相关全部费用。</w:t>
      </w:r>
    </w:p>
    <w:p w14:paraId="5450620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2)负责小区公共区域的日常卫生保洁。</w:t>
      </w:r>
    </w:p>
    <w:p w14:paraId="1DCF2821">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3)按工作程序对范围内的场所进行日常定期清扫，做到按制定标准全天候、全方位保洁，定时巡查。</w:t>
      </w:r>
    </w:p>
    <w:p w14:paraId="3C1A32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(6)服务标准</w:t>
      </w:r>
    </w:p>
    <w:p w14:paraId="6E19387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1)随时对小区出入口、过道、楼梯、电梯间等公共区域进行清扫保洁，保持环境整洁、地面无尘土、无烟蒂、无违章堆物。</w:t>
      </w:r>
    </w:p>
    <w:p w14:paraId="45E1BD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通道、地下停车场的保洁，每天分上、下午各一次，要求无垃圾灰尘及堆积物。</w:t>
      </w:r>
    </w:p>
    <w:p w14:paraId="3CCA0AA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3)清洁管理无任何盲点和死角;清洁部位覆盖率达 100%</w:t>
      </w:r>
    </w:p>
    <w:p w14:paraId="02660717">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4)垃圾每日清除率达 100%。</w:t>
      </w:r>
    </w:p>
    <w:p w14:paraId="27B96A5F">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绿化维护人员:</w:t>
      </w:r>
    </w:p>
    <w:p w14:paraId="6E5DFC5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(1)绿化面积每 </w:t>
      </w:r>
      <w:r>
        <w:rPr>
          <w:rFonts w:hint="eastAsia" w:ascii="仿宋" w:hAnsi="仿宋" w:eastAsia="仿宋" w:cs="仿宋"/>
          <w:color w:val="FF0000"/>
          <w:sz w:val="28"/>
          <w:szCs w:val="28"/>
        </w:rPr>
        <w:t>4000</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rPr>
        <w:t>配备至少</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名维护人员</w:t>
      </w:r>
    </w:p>
    <w:p w14:paraId="2D2A5F9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2FDE0CA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1)按片区责任划分，严格按公司规定的标准与量化完成工作。</w:t>
      </w:r>
    </w:p>
    <w:p w14:paraId="54BCCA2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每天负责做好各种杂草的清除、枝叶修剪、枯枝败叶的清理、落叶的处理、施肥、浇水、松土、杀虫等具体工作。</w:t>
      </w:r>
    </w:p>
    <w:p w14:paraId="281EC8E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3)负责做好各种植物的补种、移植和其它工程种植。</w:t>
      </w:r>
    </w:p>
    <w:p w14:paraId="38C46F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4)维护公司利益，节约使用公司资源，避免各种绿化用料浪费现象。</w:t>
      </w:r>
    </w:p>
    <w:p w14:paraId="70C58865">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1.4 </w:t>
      </w:r>
      <w:r>
        <w:rPr>
          <w:rFonts w:hint="eastAsia" w:ascii="仿宋" w:hAnsi="仿宋" w:eastAsia="仿宋" w:cs="仿宋"/>
          <w:b/>
          <w:bCs/>
          <w:sz w:val="28"/>
          <w:szCs w:val="28"/>
        </w:rPr>
        <w:t>其他人员</w:t>
      </w:r>
    </w:p>
    <w:p w14:paraId="6D62F2F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配备负责保障性政策宣讲及配合业主单位相关管理工作的人员各1名。</w:t>
      </w:r>
    </w:p>
    <w:p w14:paraId="37C1395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63D59A4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1)工作细致有耐心，随时接听收集承租户反应的各类问题并及时反应至业主单位。</w:t>
      </w:r>
    </w:p>
    <w:p w14:paraId="1750BB4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定期参与业主单位组织的保障性政策学习，要熟知了解保障性政策，并将政策宣讲传达至承租户。</w:t>
      </w:r>
    </w:p>
    <w:p w14:paraId="79B4363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3)负责协调低保低收入租户申请住房补贴，及时收取整理租户的公租房住房补贴表。</w:t>
      </w:r>
    </w:p>
    <w:p w14:paraId="254FFA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4)负责对接业主单位工作人员系统录入每个项目的租户信息。</w:t>
      </w:r>
    </w:p>
    <w:p w14:paraId="5FE54FC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2、成交供应商应建立健全各项管理制度，接受业主单位及有关单位的监督检查</w:t>
      </w:r>
    </w:p>
    <w:p w14:paraId="35B3177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对承租人租住情况进行管理，成交供应商每月上门入户调查一次，收集承租人及其家庭成员的动态信息资料，如家庭人口、收入、房产等情况，查看房屋使用情况，并听取承租人意见，相关资料报业主单位备案存档。</w:t>
      </w:r>
    </w:p>
    <w:p w14:paraId="6FE16C2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、对承租人违反有关管理规定的行为进行调查和处理</w:t>
      </w:r>
    </w:p>
    <w:p w14:paraId="0F60507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、成交供应商每月对公租房进行两次安全检查，对检查的结果，形成书面材料，反馈业主单位，以确保公租房安全使用。</w:t>
      </w:r>
    </w:p>
    <w:p w14:paraId="0E49C68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、建立各项与管理相关的报表，报表数据准确，报送及时，重要报表须纸质档案和电子档案同时保存。</w:t>
      </w:r>
    </w:p>
    <w:p w14:paraId="72C2A9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、档案管理有专人负责，实行分类归档，分类编号，妥善保存</w:t>
      </w:r>
    </w:p>
    <w:p w14:paraId="0AD83678">
      <w:pPr>
        <w:pStyle w:val="2"/>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1.5 其他人员：</w:t>
      </w:r>
    </w:p>
    <w:p w14:paraId="4092741A">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1、物业经理：1名；</w:t>
      </w:r>
    </w:p>
    <w:p w14:paraId="0ED6516F">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2、保安人员：4名，白班、晚班各2名；</w:t>
      </w:r>
    </w:p>
    <w:p w14:paraId="778481C0">
      <w:pPr>
        <w:pStyle w:val="2"/>
        <w:spacing w:line="360" w:lineRule="auto"/>
        <w:ind w:firstLine="562"/>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3、小区电工：1名。</w:t>
      </w:r>
    </w:p>
    <w:p w14:paraId="43B774DA">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(二)物业管理工作内容及要求</w:t>
      </w:r>
    </w:p>
    <w:p w14:paraId="6C16BF7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物业人员文明服务，主动热情，及时处理各项事务，供应商承诺小区全年经查实属供应商责任的投诉低于 10 次。</w:t>
      </w:r>
    </w:p>
    <w:p w14:paraId="218DC4F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1、物业共用部位及设施设备的维修、养护和管理:</w:t>
      </w:r>
    </w:p>
    <w:p w14:paraId="2FF1B7C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a.每周检查、日常维护、确保完好;</w:t>
      </w:r>
    </w:p>
    <w:p w14:paraId="70A450F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b.小修随坏随修(保修期内联系有关责任方维修，并对维修工作进行监督)，大修(凡需牵动或拆除部分主体结构和房屋设备，不需要全部拆除，一次费用在该建筑同类结构新建造 25%以上的维修工程为大修工程) 报业主单位后，按业主单位确定的方案处理；</w:t>
      </w:r>
    </w:p>
    <w:p w14:paraId="02BFDA6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2、物业共用部位和相关场地的清洁卫生，垃圾的收集、清运及雨、污水管道的疏通;</w:t>
      </w:r>
    </w:p>
    <w:p w14:paraId="6BBFF52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3、小区通行及车辆进出、停放管理。</w:t>
      </w:r>
    </w:p>
    <w:p w14:paraId="773827D4">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4、公共秩序维护、安全防范等</w:t>
      </w:r>
      <w:r>
        <w:rPr>
          <w:rFonts w:hint="eastAsia" w:ascii="仿宋" w:hAnsi="仿宋" w:eastAsia="仿宋" w:cs="仿宋"/>
          <w:sz w:val="28"/>
          <w:szCs w:val="28"/>
          <w:lang w:eastAsia="zh-CN"/>
        </w:rPr>
        <w:t>事项</w:t>
      </w:r>
      <w:r>
        <w:rPr>
          <w:rFonts w:hint="eastAsia" w:ascii="仿宋" w:hAnsi="仿宋" w:eastAsia="仿宋" w:cs="仿宋"/>
          <w:sz w:val="28"/>
          <w:szCs w:val="28"/>
        </w:rPr>
        <w:t>的协助管理</w:t>
      </w:r>
      <w:r>
        <w:rPr>
          <w:rFonts w:hint="eastAsia" w:ascii="仿宋" w:hAnsi="仿宋" w:eastAsia="仿宋" w:cs="仿宋"/>
          <w:sz w:val="28"/>
          <w:szCs w:val="28"/>
          <w:lang w:eastAsia="zh-CN"/>
        </w:rPr>
        <w:t>。</w:t>
      </w:r>
    </w:p>
    <w:p w14:paraId="4834093C">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5、供应商承诺</w:t>
      </w:r>
      <w:r>
        <w:rPr>
          <w:rFonts w:hint="eastAsia" w:ascii="仿宋" w:hAnsi="仿宋" w:eastAsia="仿宋" w:cs="仿宋"/>
          <w:sz w:val="28"/>
          <w:szCs w:val="28"/>
          <w:lang w:val="zh-CN" w:eastAsia="zh-CN"/>
        </w:rPr>
        <w:t>本</w:t>
      </w:r>
      <w:r>
        <w:rPr>
          <w:rFonts w:hint="eastAsia" w:ascii="仿宋" w:hAnsi="仿宋" w:eastAsia="仿宋" w:cs="仿宋"/>
          <w:sz w:val="28"/>
          <w:szCs w:val="28"/>
          <w:lang w:val="en-US" w:eastAsia="zh-CN"/>
        </w:rPr>
        <w:t>项目实施</w:t>
      </w:r>
      <w:r>
        <w:rPr>
          <w:rFonts w:hint="eastAsia" w:ascii="仿宋" w:hAnsi="仿宋" w:eastAsia="仿宋" w:cs="仿宋"/>
          <w:sz w:val="28"/>
          <w:szCs w:val="28"/>
          <w:lang w:val="zh-CN" w:eastAsia="zh-CN"/>
        </w:rPr>
        <w:t>过程中的工农关系自行处理。</w:t>
      </w:r>
    </w:p>
    <w:p w14:paraId="10D20FC6">
      <w:pPr>
        <w:pStyle w:val="2"/>
        <w:spacing w:line="360" w:lineRule="auto"/>
        <w:rPr>
          <w:rFonts w:hint="eastAsia" w:ascii="仿宋" w:hAnsi="仿宋" w:eastAsia="仿宋" w:cs="仿宋"/>
          <w:sz w:val="28"/>
          <w:szCs w:val="28"/>
        </w:rPr>
      </w:pPr>
      <w:r>
        <w:rPr>
          <w:rFonts w:hint="eastAsia" w:ascii="仿宋" w:hAnsi="仿宋" w:eastAsia="仿宋" w:cs="仿宋"/>
          <w:sz w:val="28"/>
          <w:szCs w:val="28"/>
        </w:rPr>
        <w:t>(三)其他相关工作</w:t>
      </w:r>
    </w:p>
    <w:p w14:paraId="1DB73EE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1、建立健全各项管理制度;</w:t>
      </w:r>
    </w:p>
    <w:p w14:paraId="38DD6E9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2、服从业主单位管理，及时完成交办的其他相关工作</w:t>
      </w:r>
    </w:p>
    <w:p w14:paraId="32EDB0B2">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3、零星基础设施建设、维修；</w:t>
      </w:r>
    </w:p>
    <w:p w14:paraId="1AA02621">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4、四部电梯日常维护保养。</w:t>
      </w:r>
    </w:p>
    <w:p w14:paraId="1140315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、物业服务费的结算</w:t>
      </w:r>
    </w:p>
    <w:p w14:paraId="1056C57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本合同为固定总价合同，合同总价一次性包死，固定不变，不因任何因素的变化而调整，包括但不限于成交供应商全部服务人员的工资、福利、保险、服装、工作道具、交通费、住宿费、餐费、管理费、利润及税金等成交供应商为完成本合同项下全部服务内容并到达业主单位要求标准所需的全部费用，</w:t>
      </w:r>
      <w:r>
        <w:rPr>
          <w:rFonts w:hint="eastAsia" w:ascii="仿宋" w:hAnsi="仿宋" w:eastAsia="仿宋" w:cs="仿宋"/>
          <w:sz w:val="28"/>
          <w:szCs w:val="28"/>
          <w:lang w:val="en-US" w:eastAsia="zh-CN"/>
        </w:rPr>
        <w:t>其中，</w:t>
      </w:r>
      <w:r>
        <w:rPr>
          <w:rFonts w:hint="eastAsia" w:ascii="仿宋" w:hAnsi="仿宋" w:eastAsia="仿宋" w:cs="仿宋"/>
          <w:color w:val="FF0000"/>
          <w:sz w:val="28"/>
          <w:szCs w:val="28"/>
          <w:lang w:val="en-US" w:eastAsia="zh-CN"/>
        </w:rPr>
        <w:t>小区垃圾清理转运费自缴，小区公共区域电、水费自缴，小区公共、专用变压器电费自缴，</w:t>
      </w:r>
      <w:r>
        <w:rPr>
          <w:rFonts w:hint="eastAsia" w:ascii="仿宋" w:hAnsi="仿宋" w:eastAsia="仿宋" w:cs="仿宋"/>
          <w:sz w:val="28"/>
          <w:szCs w:val="28"/>
        </w:rPr>
        <w:t>除此之外，业主单位无需就本合同的履行向成交供应商或第三方支付其他任何费用及款项。</w:t>
      </w:r>
    </w:p>
    <w:p w14:paraId="59427AC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5616FAE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 项目内承接公租房物业服务的企业，除部分自建项目按照物价部门批准的收费标准，由成交供应商直接向该承租人收取物业服务费并归于成交供应商账户外，项目内其他承租人，由成交供应商按照业主单位与承租人约定的物业费标准，向承租人催缴，并将该费用向业主单位指定账户支付，业主单位根据本合同约定标准另行向成交供应商支付物业费。因承租人逾期缴纳物业费的，业主单位有权暂缓向成交供应商缴纳对应的物业服务费，直至成交供应商催收至承租人全额缴纳为止。</w:t>
      </w:r>
    </w:p>
    <w:p w14:paraId="6638E3E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除成交供应商直接向承租人收取的物业费外，业主单位向成交供应商缴纳的物业费，成交供应商应在业主单位每次缴纳前向业主单位开具等额增值税专用发票。</w:t>
      </w:r>
    </w:p>
    <w:p w14:paraId="3F2B1C6B">
      <w:pPr>
        <w:pStyle w:val="3"/>
        <w:spacing w:line="360" w:lineRule="auto"/>
        <w:ind w:left="0" w:leftChars="0" w:firstLine="0" w:firstLineChars="0"/>
        <w:rPr>
          <w:rFonts w:hint="eastAsia" w:ascii="仿宋" w:hAnsi="仿宋" w:eastAsia="仿宋" w:cs="仿宋"/>
          <w:lang w:eastAsia="zh-CN"/>
        </w:rPr>
      </w:pPr>
    </w:p>
    <w:p w14:paraId="4C1BC6A1">
      <w:pPr>
        <w:pStyle w:val="3"/>
        <w:spacing w:line="360" w:lineRule="auto"/>
        <w:ind w:left="0" w:leftChars="0" w:firstLine="2530" w:firstLineChars="900"/>
        <w:rPr>
          <w:rFonts w:hint="eastAsia" w:ascii="仿宋" w:hAnsi="仿宋" w:eastAsia="仿宋" w:cs="仿宋"/>
        </w:rPr>
        <w:sectPr>
          <w:pgSz w:w="11910" w:h="16840"/>
          <w:pgMar w:top="794" w:right="794" w:bottom="794" w:left="794" w:header="0" w:footer="761" w:gutter="0"/>
          <w:pgNumType w:fmt="decimal"/>
          <w:cols w:space="720" w:num="1"/>
        </w:sectPr>
      </w:pPr>
    </w:p>
    <w:p w14:paraId="535A7238">
      <w:pPr>
        <w:rPr>
          <w:rFonts w:hint="eastAsia"/>
        </w:rPr>
      </w:pPr>
    </w:p>
    <w:p w14:paraId="42CE4E99">
      <w:pPr>
        <w:pStyle w:val="3"/>
        <w:ind w:left="0" w:leftChars="0" w:firstLine="2530" w:firstLineChars="900"/>
        <w:rPr>
          <w:rFonts w:hint="eastAsia" w:ascii="仿宋" w:hAnsi="仿宋" w:eastAsia="仿宋" w:cs="仿宋"/>
        </w:rPr>
      </w:pPr>
      <w:r>
        <w:rPr>
          <w:rFonts w:hint="eastAsia" w:ascii="仿宋" w:hAnsi="仿宋" w:eastAsia="仿宋" w:cs="仿宋"/>
        </w:rPr>
        <w:t>第四章、谈判响应文件基本格式</w:t>
      </w:r>
    </w:p>
    <w:p w14:paraId="519DB740">
      <w:pPr>
        <w:pStyle w:val="2"/>
        <w:rPr>
          <w:rFonts w:hint="eastAsia" w:ascii="仿宋" w:hAnsi="仿宋" w:eastAsia="仿宋" w:cs="仿宋"/>
          <w:b/>
          <w:sz w:val="28"/>
        </w:rPr>
      </w:pPr>
    </w:p>
    <w:p w14:paraId="65CEC02D">
      <w:pPr>
        <w:pStyle w:val="2"/>
        <w:rPr>
          <w:rFonts w:hint="eastAsia" w:ascii="仿宋" w:hAnsi="仿宋" w:eastAsia="仿宋" w:cs="仿宋"/>
          <w:b/>
          <w:sz w:val="28"/>
        </w:rPr>
      </w:pPr>
    </w:p>
    <w:p w14:paraId="55BB1882">
      <w:pPr>
        <w:pStyle w:val="2"/>
        <w:spacing w:before="10"/>
        <w:rPr>
          <w:rFonts w:hint="eastAsia" w:ascii="仿宋" w:hAnsi="仿宋" w:eastAsia="仿宋" w:cs="仿宋"/>
          <w:b/>
          <w:sz w:val="32"/>
        </w:rPr>
      </w:pPr>
    </w:p>
    <w:p w14:paraId="463B9EF1">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14:paraId="1226537C">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298E86CB">
      <w:pPr>
        <w:pStyle w:val="2"/>
        <w:spacing w:before="11"/>
        <w:rPr>
          <w:rFonts w:hint="eastAsia" w:ascii="仿宋" w:hAnsi="仿宋" w:eastAsia="仿宋" w:cs="仿宋"/>
          <w:sz w:val="16"/>
        </w:rPr>
      </w:pPr>
    </w:p>
    <w:p w14:paraId="49FCB9BA">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0F0E367A">
      <w:pPr>
        <w:pStyle w:val="2"/>
        <w:spacing w:before="11"/>
        <w:rPr>
          <w:rFonts w:hint="eastAsia" w:ascii="仿宋" w:hAnsi="仿宋" w:eastAsia="仿宋" w:cs="仿宋"/>
          <w:sz w:val="16"/>
        </w:rPr>
      </w:pPr>
    </w:p>
    <w:p w14:paraId="30E94789">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14:paraId="3AF03D68">
      <w:pPr>
        <w:rPr>
          <w:rFonts w:hint="eastAsia"/>
        </w:rPr>
      </w:pPr>
    </w:p>
    <w:p w14:paraId="0B89CFDD">
      <w:pPr>
        <w:pStyle w:val="2"/>
        <w:spacing w:before="9"/>
        <w:rPr>
          <w:rFonts w:hint="eastAsia" w:ascii="仿宋" w:hAnsi="仿宋" w:eastAsia="仿宋" w:cs="仿宋"/>
          <w:sz w:val="17"/>
        </w:rPr>
      </w:pPr>
    </w:p>
    <w:p w14:paraId="4D10F6D9">
      <w:pPr>
        <w:pStyle w:val="4"/>
        <w:tabs>
          <w:tab w:val="left" w:pos="4832"/>
          <w:tab w:val="left" w:pos="5533"/>
        </w:tabs>
        <w:spacing w:before="61" w:line="417" w:lineRule="auto"/>
        <w:ind w:left="3992" w:right="3018" w:hanging="1049"/>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62D01C86">
      <w:pPr>
        <w:spacing w:after="0" w:line="417" w:lineRule="auto"/>
        <w:rPr>
          <w:rFonts w:hint="eastAsia" w:ascii="仿宋" w:hAnsi="仿宋" w:eastAsia="仿宋" w:cs="仿宋"/>
        </w:rPr>
        <w:sectPr>
          <w:pgSz w:w="11910" w:h="16840"/>
          <w:pgMar w:top="1400" w:right="800" w:bottom="960" w:left="1220" w:header="0" w:footer="761" w:gutter="0"/>
          <w:pgNumType w:fmt="decimal"/>
          <w:cols w:space="720" w:num="1"/>
        </w:sectPr>
      </w:pPr>
    </w:p>
    <w:p w14:paraId="5F6D8901">
      <w:pPr>
        <w:pStyle w:val="2"/>
        <w:spacing w:before="43"/>
        <w:ind w:left="431"/>
        <w:rPr>
          <w:rFonts w:hint="eastAsia" w:ascii="仿宋" w:hAnsi="仿宋" w:eastAsia="仿宋" w:cs="仿宋"/>
        </w:rPr>
      </w:pPr>
      <w:r>
        <w:rPr>
          <w:rFonts w:hint="eastAsia" w:ascii="仿宋" w:hAnsi="仿宋" w:eastAsia="仿宋" w:cs="仿宋"/>
        </w:rPr>
        <w:t>附件一</w:t>
      </w:r>
    </w:p>
    <w:p w14:paraId="12DA9387">
      <w:pPr>
        <w:pStyle w:val="2"/>
        <w:spacing w:before="12"/>
        <w:rPr>
          <w:rFonts w:hint="eastAsia" w:ascii="仿宋" w:hAnsi="仿宋" w:eastAsia="仿宋" w:cs="仿宋"/>
          <w:sz w:val="17"/>
        </w:rPr>
      </w:pPr>
    </w:p>
    <w:p w14:paraId="0CF1EE28">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14:paraId="13CD0067">
      <w:pPr>
        <w:pStyle w:val="2"/>
        <w:spacing w:before="9"/>
        <w:rPr>
          <w:rFonts w:hint="eastAsia" w:ascii="仿宋" w:hAnsi="仿宋" w:eastAsia="仿宋" w:cs="仿宋"/>
          <w:sz w:val="26"/>
        </w:rPr>
      </w:pPr>
    </w:p>
    <w:p w14:paraId="0395A611">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3A74285B">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14:paraId="132633DD">
      <w:pPr>
        <w:pStyle w:val="16"/>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14:paraId="04678B6E">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分项报价表；</w:t>
      </w:r>
    </w:p>
    <w:p w14:paraId="669DE043">
      <w:pPr>
        <w:pStyle w:val="16"/>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14:paraId="339370A8">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14:paraId="13242681">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14:paraId="69E65404">
      <w:pPr>
        <w:pStyle w:val="16"/>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14:paraId="7E3C8FAC">
      <w:pPr>
        <w:pStyle w:val="16"/>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14:paraId="6B65EB6E">
      <w:pPr>
        <w:pStyle w:val="16"/>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14:paraId="0E932C02">
      <w:pPr>
        <w:pStyle w:val="16"/>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14:paraId="6D13F9D1">
      <w:pPr>
        <w:pStyle w:val="2"/>
        <w:rPr>
          <w:rFonts w:hint="eastAsia" w:ascii="仿宋" w:hAnsi="仿宋" w:eastAsia="仿宋" w:cs="仿宋"/>
          <w:sz w:val="20"/>
        </w:rPr>
      </w:pPr>
    </w:p>
    <w:p w14:paraId="73EF0378">
      <w:pPr>
        <w:pStyle w:val="2"/>
        <w:rPr>
          <w:rFonts w:hint="eastAsia" w:ascii="仿宋" w:hAnsi="仿宋" w:eastAsia="仿宋" w:cs="仿宋"/>
          <w:sz w:val="20"/>
        </w:rPr>
      </w:pPr>
    </w:p>
    <w:p w14:paraId="770A4B43">
      <w:pPr>
        <w:pStyle w:val="2"/>
        <w:rPr>
          <w:rFonts w:hint="eastAsia" w:ascii="仿宋" w:hAnsi="仿宋" w:eastAsia="仿宋" w:cs="仿宋"/>
          <w:sz w:val="20"/>
        </w:rPr>
      </w:pPr>
    </w:p>
    <w:p w14:paraId="46E990EA">
      <w:pPr>
        <w:pStyle w:val="2"/>
        <w:rPr>
          <w:rFonts w:hint="eastAsia" w:ascii="仿宋" w:hAnsi="仿宋" w:eastAsia="仿宋" w:cs="仿宋"/>
          <w:sz w:val="20"/>
        </w:rPr>
      </w:pPr>
    </w:p>
    <w:p w14:paraId="2A64E526">
      <w:pPr>
        <w:pStyle w:val="2"/>
        <w:rPr>
          <w:rFonts w:hint="eastAsia" w:ascii="仿宋" w:hAnsi="仿宋" w:eastAsia="仿宋" w:cs="仿宋"/>
          <w:sz w:val="20"/>
        </w:rPr>
      </w:pPr>
    </w:p>
    <w:p w14:paraId="4221A918">
      <w:pPr>
        <w:pStyle w:val="2"/>
        <w:rPr>
          <w:rFonts w:hint="eastAsia" w:ascii="仿宋" w:hAnsi="仿宋" w:eastAsia="仿宋" w:cs="仿宋"/>
          <w:sz w:val="20"/>
        </w:rPr>
      </w:pPr>
    </w:p>
    <w:p w14:paraId="7CE1A1C4">
      <w:pPr>
        <w:pStyle w:val="2"/>
        <w:rPr>
          <w:rFonts w:hint="eastAsia" w:ascii="仿宋" w:hAnsi="仿宋" w:eastAsia="仿宋" w:cs="仿宋"/>
          <w:sz w:val="20"/>
        </w:rPr>
      </w:pPr>
    </w:p>
    <w:p w14:paraId="76B65125">
      <w:pPr>
        <w:pStyle w:val="2"/>
        <w:rPr>
          <w:rFonts w:hint="eastAsia" w:ascii="仿宋" w:hAnsi="仿宋" w:eastAsia="仿宋" w:cs="仿宋"/>
          <w:sz w:val="20"/>
        </w:rPr>
      </w:pPr>
    </w:p>
    <w:p w14:paraId="65108791">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2F26A4BD">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14:paraId="129004CF">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14:paraId="63121F50">
      <w:pPr>
        <w:pStyle w:val="2"/>
        <w:spacing w:before="43"/>
        <w:ind w:left="431"/>
        <w:rPr>
          <w:rFonts w:hint="eastAsia" w:ascii="仿宋" w:hAnsi="仿宋" w:eastAsia="仿宋" w:cs="仿宋"/>
        </w:rPr>
      </w:pPr>
      <w:r>
        <w:rPr>
          <w:rFonts w:hint="eastAsia" w:ascii="仿宋" w:hAnsi="仿宋" w:eastAsia="仿宋" w:cs="仿宋"/>
        </w:rPr>
        <w:t>附件二</w:t>
      </w:r>
    </w:p>
    <w:p w14:paraId="6AECA6C8">
      <w:pPr>
        <w:pStyle w:val="2"/>
        <w:spacing w:before="4"/>
        <w:rPr>
          <w:rFonts w:hint="eastAsia" w:ascii="仿宋" w:hAnsi="仿宋" w:eastAsia="仿宋" w:cs="仿宋"/>
          <w:sz w:val="37"/>
        </w:rPr>
      </w:pPr>
      <w:r>
        <w:rPr>
          <w:rFonts w:hint="eastAsia" w:ascii="仿宋" w:hAnsi="仿宋" w:eastAsia="仿宋" w:cs="仿宋"/>
        </w:rPr>
        <w:br w:type="column"/>
      </w:r>
    </w:p>
    <w:p w14:paraId="790D1E81">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14:paraId="0CB51D4F">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14:paraId="0B312DDD">
      <w:pPr>
        <w:pStyle w:val="2"/>
        <w:spacing w:before="2"/>
        <w:rPr>
          <w:rFonts w:hint="eastAsia" w:ascii="仿宋" w:hAnsi="仿宋" w:eastAsia="仿宋" w:cs="仿宋"/>
          <w:sz w:val="11"/>
        </w:rPr>
      </w:pPr>
    </w:p>
    <w:p w14:paraId="6CD72A6B">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page">
                  <wp:posOffset>1061085</wp:posOffset>
                </wp:positionH>
                <wp:positionV relativeFrom="paragraph">
                  <wp:posOffset>534670</wp:posOffset>
                </wp:positionV>
                <wp:extent cx="5739765" cy="3742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39765" cy="374269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wps:txbx>
                      <wps:bodyPr lIns="0" tIns="0" rIns="0" bIns="0" upright="1"/>
                    </wps:wsp>
                  </a:graphicData>
                </a:graphic>
              </wp:anchor>
            </w:drawing>
          </mc:Choice>
          <mc:Fallback>
            <w:pict>
              <v:shape id="文本框 2" o:spid="_x0000_s1026" o:spt="202" type="#_x0000_t202" style="position:absolute;left:0pt;margin-left:83.55pt;margin-top:42.1pt;height:294.7pt;width:451.95pt;mso-position-horizontal-relative:page;z-index:251660288;mso-width-relative:page;mso-height-relative:page;" filled="f" stroked="f" coordsize="21600,21600" o:gfxdata="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jI7Y2QAAAAsBAAAPAAAAAAAAAAEAIAAAACIAAABkcnMvZG93bnJldi54bWxQ&#10;SwECFAAUAAAACACHTuJA6Ap/Gb0BAABzAwAADgAAAAAAAAABACAAAAAoAQAAZHJzL2Uyb0RvYy54&#10;bWxQSwUGAAAAAAYABgBZAQAAVwU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v:textbox>
              </v:shape>
            </w:pict>
          </mc:Fallback>
        </mc:AlternateContent>
      </w: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31DEF0B4">
      <w:pPr>
        <w:pStyle w:val="2"/>
        <w:rPr>
          <w:rFonts w:hint="eastAsia" w:ascii="仿宋" w:hAnsi="仿宋" w:eastAsia="仿宋" w:cs="仿宋"/>
          <w:sz w:val="26"/>
        </w:rPr>
      </w:pPr>
    </w:p>
    <w:p w14:paraId="0D68E7D6">
      <w:pPr>
        <w:pStyle w:val="2"/>
        <w:rPr>
          <w:rFonts w:hint="eastAsia" w:ascii="仿宋" w:hAnsi="仿宋" w:eastAsia="仿宋" w:cs="仿宋"/>
          <w:sz w:val="26"/>
        </w:rPr>
      </w:pPr>
    </w:p>
    <w:p w14:paraId="45DC7E0F">
      <w:pPr>
        <w:pStyle w:val="2"/>
        <w:rPr>
          <w:rFonts w:hint="eastAsia" w:ascii="仿宋" w:hAnsi="仿宋" w:eastAsia="仿宋" w:cs="仿宋"/>
          <w:sz w:val="26"/>
        </w:rPr>
      </w:pPr>
    </w:p>
    <w:p w14:paraId="1A158061">
      <w:pPr>
        <w:pStyle w:val="2"/>
        <w:rPr>
          <w:rFonts w:hint="eastAsia" w:ascii="仿宋" w:hAnsi="仿宋" w:eastAsia="仿宋" w:cs="仿宋"/>
          <w:sz w:val="26"/>
        </w:rPr>
      </w:pPr>
    </w:p>
    <w:p w14:paraId="7318DED8">
      <w:pPr>
        <w:pStyle w:val="2"/>
        <w:rPr>
          <w:rFonts w:hint="eastAsia" w:ascii="仿宋" w:hAnsi="仿宋" w:eastAsia="仿宋" w:cs="仿宋"/>
          <w:sz w:val="26"/>
        </w:rPr>
      </w:pPr>
    </w:p>
    <w:p w14:paraId="223E44EB">
      <w:pPr>
        <w:pStyle w:val="2"/>
        <w:rPr>
          <w:rFonts w:hint="eastAsia" w:ascii="仿宋" w:hAnsi="仿宋" w:eastAsia="仿宋" w:cs="仿宋"/>
          <w:sz w:val="26"/>
        </w:rPr>
      </w:pPr>
    </w:p>
    <w:p w14:paraId="692896E1">
      <w:pPr>
        <w:pStyle w:val="2"/>
        <w:rPr>
          <w:rFonts w:hint="eastAsia" w:ascii="仿宋" w:hAnsi="仿宋" w:eastAsia="仿宋" w:cs="仿宋"/>
          <w:sz w:val="26"/>
        </w:rPr>
      </w:pPr>
    </w:p>
    <w:p w14:paraId="1A3A2F88">
      <w:pPr>
        <w:pStyle w:val="2"/>
        <w:rPr>
          <w:rFonts w:hint="eastAsia" w:ascii="仿宋" w:hAnsi="仿宋" w:eastAsia="仿宋" w:cs="仿宋"/>
          <w:sz w:val="26"/>
        </w:rPr>
      </w:pPr>
    </w:p>
    <w:p w14:paraId="044253A7">
      <w:pPr>
        <w:pStyle w:val="2"/>
        <w:rPr>
          <w:rFonts w:hint="eastAsia" w:ascii="仿宋" w:hAnsi="仿宋" w:eastAsia="仿宋" w:cs="仿宋"/>
          <w:sz w:val="26"/>
        </w:rPr>
      </w:pPr>
    </w:p>
    <w:p w14:paraId="7D96E743">
      <w:pPr>
        <w:pStyle w:val="2"/>
        <w:rPr>
          <w:rFonts w:hint="eastAsia" w:ascii="仿宋" w:hAnsi="仿宋" w:eastAsia="仿宋" w:cs="仿宋"/>
          <w:sz w:val="26"/>
        </w:rPr>
      </w:pPr>
    </w:p>
    <w:p w14:paraId="32832E98">
      <w:pPr>
        <w:pStyle w:val="2"/>
        <w:rPr>
          <w:rFonts w:hint="eastAsia" w:ascii="仿宋" w:hAnsi="仿宋" w:eastAsia="仿宋" w:cs="仿宋"/>
          <w:sz w:val="26"/>
        </w:rPr>
      </w:pPr>
    </w:p>
    <w:p w14:paraId="544F6D1A">
      <w:pPr>
        <w:pStyle w:val="2"/>
        <w:rPr>
          <w:rFonts w:hint="eastAsia" w:ascii="仿宋" w:hAnsi="仿宋" w:eastAsia="仿宋" w:cs="仿宋"/>
          <w:sz w:val="26"/>
        </w:rPr>
      </w:pPr>
    </w:p>
    <w:p w14:paraId="7EB54314">
      <w:pPr>
        <w:pStyle w:val="2"/>
        <w:rPr>
          <w:rFonts w:hint="eastAsia" w:ascii="仿宋" w:hAnsi="仿宋" w:eastAsia="仿宋" w:cs="仿宋"/>
          <w:sz w:val="26"/>
        </w:rPr>
      </w:pPr>
    </w:p>
    <w:p w14:paraId="2883A256">
      <w:pPr>
        <w:pStyle w:val="2"/>
        <w:rPr>
          <w:rFonts w:hint="eastAsia" w:ascii="仿宋" w:hAnsi="仿宋" w:eastAsia="仿宋" w:cs="仿宋"/>
          <w:sz w:val="26"/>
        </w:rPr>
      </w:pPr>
    </w:p>
    <w:p w14:paraId="6D0A0F3A">
      <w:pPr>
        <w:pStyle w:val="2"/>
        <w:rPr>
          <w:rFonts w:hint="eastAsia" w:ascii="仿宋" w:hAnsi="仿宋" w:eastAsia="仿宋" w:cs="仿宋"/>
          <w:sz w:val="26"/>
        </w:rPr>
      </w:pPr>
    </w:p>
    <w:p w14:paraId="78864FED">
      <w:pPr>
        <w:pStyle w:val="2"/>
        <w:rPr>
          <w:rFonts w:hint="eastAsia" w:ascii="仿宋" w:hAnsi="仿宋" w:eastAsia="仿宋" w:cs="仿宋"/>
          <w:sz w:val="26"/>
        </w:rPr>
      </w:pPr>
    </w:p>
    <w:p w14:paraId="318FA40C">
      <w:pPr>
        <w:pStyle w:val="2"/>
        <w:rPr>
          <w:rFonts w:hint="eastAsia" w:ascii="仿宋" w:hAnsi="仿宋" w:eastAsia="仿宋" w:cs="仿宋"/>
          <w:sz w:val="26"/>
        </w:rPr>
      </w:pPr>
    </w:p>
    <w:p w14:paraId="21C36FB8">
      <w:pPr>
        <w:pStyle w:val="2"/>
        <w:rPr>
          <w:rFonts w:hint="eastAsia" w:ascii="仿宋" w:hAnsi="仿宋" w:eastAsia="仿宋" w:cs="仿宋"/>
          <w:sz w:val="26"/>
        </w:rPr>
      </w:pPr>
    </w:p>
    <w:p w14:paraId="55953262">
      <w:pPr>
        <w:pStyle w:val="2"/>
        <w:rPr>
          <w:rFonts w:hint="eastAsia" w:ascii="仿宋" w:hAnsi="仿宋" w:eastAsia="仿宋" w:cs="仿宋"/>
          <w:sz w:val="26"/>
        </w:rPr>
      </w:pPr>
    </w:p>
    <w:p w14:paraId="43601709">
      <w:pPr>
        <w:pStyle w:val="2"/>
        <w:rPr>
          <w:rFonts w:hint="eastAsia" w:ascii="仿宋" w:hAnsi="仿宋" w:eastAsia="仿宋" w:cs="仿宋"/>
          <w:sz w:val="26"/>
        </w:rPr>
      </w:pPr>
    </w:p>
    <w:p w14:paraId="41DF6C09">
      <w:pPr>
        <w:pStyle w:val="2"/>
        <w:rPr>
          <w:rFonts w:hint="eastAsia" w:ascii="仿宋" w:hAnsi="仿宋" w:eastAsia="仿宋" w:cs="仿宋"/>
          <w:sz w:val="26"/>
        </w:rPr>
      </w:pPr>
    </w:p>
    <w:p w14:paraId="00D87F3E">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14:paraId="5E0ECC40">
      <w:pPr>
        <w:pStyle w:val="2"/>
        <w:spacing w:before="5"/>
        <w:rPr>
          <w:rFonts w:hint="eastAsia" w:ascii="仿宋" w:hAnsi="仿宋" w:eastAsia="仿宋" w:cs="仿宋"/>
          <w:sz w:val="34"/>
        </w:rPr>
      </w:pPr>
    </w:p>
    <w:p w14:paraId="43250875">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14:paraId="46911F0D">
      <w:pPr>
        <w:pStyle w:val="2"/>
        <w:rPr>
          <w:rFonts w:hint="eastAsia" w:ascii="仿宋" w:hAnsi="仿宋" w:eastAsia="仿宋" w:cs="仿宋"/>
          <w:sz w:val="20"/>
        </w:rPr>
      </w:pPr>
    </w:p>
    <w:p w14:paraId="742F804A">
      <w:pPr>
        <w:pStyle w:val="2"/>
        <w:spacing w:before="5"/>
        <w:rPr>
          <w:rFonts w:hint="eastAsia" w:ascii="仿宋" w:hAnsi="仿宋" w:eastAsia="仿宋" w:cs="仿宋"/>
          <w:sz w:val="23"/>
        </w:rPr>
      </w:pPr>
    </w:p>
    <w:p w14:paraId="00A27D44">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C5A75BC">
      <w:pPr>
        <w:pStyle w:val="2"/>
        <w:rPr>
          <w:rFonts w:hint="eastAsia" w:ascii="仿宋" w:hAnsi="仿宋" w:eastAsia="仿宋" w:cs="仿宋"/>
          <w:sz w:val="20"/>
        </w:rPr>
      </w:pPr>
    </w:p>
    <w:p w14:paraId="53D4D41A">
      <w:pPr>
        <w:pStyle w:val="2"/>
        <w:spacing w:before="2"/>
        <w:rPr>
          <w:rFonts w:hint="eastAsia" w:ascii="仿宋" w:hAnsi="仿宋" w:eastAsia="仿宋" w:cs="仿宋"/>
          <w:sz w:val="23"/>
        </w:rPr>
      </w:pPr>
    </w:p>
    <w:p w14:paraId="7434BBD9">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718F14C9">
      <w:pPr>
        <w:pStyle w:val="2"/>
        <w:rPr>
          <w:rFonts w:hint="eastAsia" w:ascii="仿宋" w:hAnsi="仿宋" w:eastAsia="仿宋" w:cs="仿宋"/>
          <w:sz w:val="26"/>
        </w:rPr>
      </w:pPr>
    </w:p>
    <w:p w14:paraId="4E328A72">
      <w:pPr>
        <w:pStyle w:val="2"/>
        <w:spacing w:before="11"/>
        <w:rPr>
          <w:rFonts w:hint="eastAsia" w:ascii="仿宋" w:hAnsi="仿宋" w:eastAsia="仿宋" w:cs="仿宋"/>
          <w:sz w:val="20"/>
        </w:rPr>
      </w:pPr>
    </w:p>
    <w:p w14:paraId="4384DF72">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14:paraId="34511635">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14:paraId="0001B858">
      <w:pPr>
        <w:pStyle w:val="2"/>
        <w:spacing w:before="43"/>
        <w:ind w:left="328"/>
        <w:rPr>
          <w:rFonts w:hint="eastAsia" w:ascii="仿宋" w:hAnsi="仿宋" w:eastAsia="仿宋" w:cs="仿宋"/>
        </w:rPr>
      </w:pPr>
      <w:r>
        <w:rPr>
          <w:rFonts w:hint="eastAsia" w:ascii="仿宋" w:hAnsi="仿宋" w:eastAsia="仿宋" w:cs="仿宋"/>
        </w:rPr>
        <w:t>附件三</w:t>
      </w:r>
    </w:p>
    <w:p w14:paraId="39C88653">
      <w:pPr>
        <w:pStyle w:val="2"/>
        <w:spacing w:before="12"/>
        <w:rPr>
          <w:rFonts w:hint="eastAsia" w:ascii="仿宋" w:hAnsi="仿宋" w:eastAsia="仿宋" w:cs="仿宋"/>
          <w:sz w:val="17"/>
        </w:rPr>
      </w:pPr>
    </w:p>
    <w:p w14:paraId="1D4F0815">
      <w:pPr>
        <w:spacing w:before="54"/>
        <w:ind w:left="380" w:right="459" w:firstLine="0"/>
        <w:jc w:val="center"/>
        <w:rPr>
          <w:rFonts w:hint="eastAsia" w:ascii="仿宋" w:hAnsi="仿宋" w:eastAsia="仿宋" w:cs="仿宋"/>
          <w:sz w:val="32"/>
        </w:rPr>
      </w:pPr>
      <w:r>
        <w:rPr>
          <w:rFonts w:hint="eastAsia" w:ascii="仿宋" w:hAnsi="仿宋" w:eastAsia="仿宋" w:cs="仿宋"/>
          <w:sz w:val="32"/>
        </w:rPr>
        <w:t>分项报价表</w:t>
      </w:r>
    </w:p>
    <w:p w14:paraId="373FF793">
      <w:pPr>
        <w:pStyle w:val="2"/>
        <w:spacing w:before="5"/>
        <w:rPr>
          <w:rFonts w:hint="eastAsia" w:ascii="仿宋" w:hAnsi="仿宋" w:eastAsia="仿宋" w:cs="仿宋"/>
          <w:sz w:val="23"/>
        </w:rPr>
      </w:pPr>
    </w:p>
    <w:p w14:paraId="6A90614D">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2FC3605B">
      <w:pPr>
        <w:pStyle w:val="2"/>
        <w:rPr>
          <w:rFonts w:hint="eastAsia" w:ascii="仿宋" w:hAnsi="仿宋" w:eastAsia="仿宋" w:cs="仿宋"/>
          <w:sz w:val="20"/>
        </w:rPr>
      </w:pPr>
    </w:p>
    <w:p w14:paraId="1DA72FF3">
      <w:pPr>
        <w:pStyle w:val="2"/>
        <w:spacing w:before="8"/>
        <w:rPr>
          <w:rFonts w:hint="eastAsia" w:ascii="仿宋" w:hAnsi="仿宋" w:eastAsia="仿宋" w:cs="仿宋"/>
          <w:sz w:val="22"/>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847"/>
        <w:gridCol w:w="663"/>
        <w:gridCol w:w="663"/>
        <w:gridCol w:w="3851"/>
        <w:gridCol w:w="829"/>
      </w:tblGrid>
      <w:tr w14:paraId="74E96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2" w:type="dxa"/>
          </w:tcPr>
          <w:p w14:paraId="7306B9B1">
            <w:pPr>
              <w:pStyle w:val="17"/>
              <w:spacing w:before="96" w:line="303" w:lineRule="exact"/>
              <w:ind w:left="304" w:right="296"/>
              <w:jc w:val="center"/>
              <w:rPr>
                <w:rFonts w:hint="eastAsia" w:ascii="仿宋" w:hAnsi="仿宋" w:eastAsia="仿宋" w:cs="仿宋"/>
                <w:sz w:val="24"/>
              </w:rPr>
            </w:pPr>
            <w:r>
              <w:rPr>
                <w:rFonts w:hint="eastAsia" w:ascii="仿宋" w:hAnsi="仿宋" w:eastAsia="仿宋" w:cs="仿宋"/>
                <w:sz w:val="24"/>
              </w:rPr>
              <w:t>序号</w:t>
            </w:r>
          </w:p>
        </w:tc>
        <w:tc>
          <w:tcPr>
            <w:tcW w:w="1847" w:type="dxa"/>
          </w:tcPr>
          <w:p w14:paraId="015C918C">
            <w:pPr>
              <w:pStyle w:val="17"/>
              <w:spacing w:before="96" w:line="303" w:lineRule="exact"/>
              <w:ind w:left="140" w:right="132"/>
              <w:jc w:val="center"/>
              <w:rPr>
                <w:rFonts w:hint="eastAsia" w:ascii="仿宋" w:hAnsi="仿宋" w:eastAsia="仿宋" w:cs="仿宋"/>
                <w:sz w:val="24"/>
              </w:rPr>
            </w:pPr>
            <w:r>
              <w:rPr>
                <w:rFonts w:hint="eastAsia" w:ascii="仿宋" w:hAnsi="仿宋" w:eastAsia="仿宋" w:cs="仿宋"/>
                <w:sz w:val="24"/>
              </w:rPr>
              <w:t>服务名称</w:t>
            </w:r>
          </w:p>
        </w:tc>
        <w:tc>
          <w:tcPr>
            <w:tcW w:w="663" w:type="dxa"/>
          </w:tcPr>
          <w:p w14:paraId="1EF89560">
            <w:pPr>
              <w:pStyle w:val="17"/>
              <w:spacing w:before="96" w:line="303" w:lineRule="exact"/>
              <w:ind w:left="118"/>
              <w:rPr>
                <w:rFonts w:hint="eastAsia" w:ascii="仿宋" w:hAnsi="仿宋" w:eastAsia="仿宋" w:cs="仿宋"/>
                <w:sz w:val="24"/>
              </w:rPr>
            </w:pPr>
            <w:r>
              <w:rPr>
                <w:rFonts w:hint="eastAsia" w:ascii="仿宋" w:hAnsi="仿宋" w:eastAsia="仿宋" w:cs="仿宋"/>
                <w:sz w:val="24"/>
              </w:rPr>
              <w:t>单价</w:t>
            </w:r>
          </w:p>
        </w:tc>
        <w:tc>
          <w:tcPr>
            <w:tcW w:w="663" w:type="dxa"/>
          </w:tcPr>
          <w:p w14:paraId="01765893">
            <w:pPr>
              <w:pStyle w:val="17"/>
              <w:spacing w:before="96" w:line="303" w:lineRule="exact"/>
              <w:ind w:left="118"/>
              <w:rPr>
                <w:rFonts w:hint="eastAsia" w:ascii="仿宋" w:hAnsi="仿宋" w:eastAsia="仿宋" w:cs="仿宋"/>
                <w:sz w:val="24"/>
              </w:rPr>
            </w:pPr>
            <w:r>
              <w:rPr>
                <w:rFonts w:hint="eastAsia" w:ascii="仿宋" w:hAnsi="仿宋" w:eastAsia="仿宋" w:cs="仿宋"/>
                <w:sz w:val="24"/>
              </w:rPr>
              <w:t>数量</w:t>
            </w:r>
          </w:p>
        </w:tc>
        <w:tc>
          <w:tcPr>
            <w:tcW w:w="3851" w:type="dxa"/>
          </w:tcPr>
          <w:p w14:paraId="7CEB9BF8">
            <w:pPr>
              <w:pStyle w:val="17"/>
              <w:spacing w:before="96" w:line="303" w:lineRule="exact"/>
              <w:ind w:left="1586" w:right="1580"/>
              <w:jc w:val="center"/>
              <w:rPr>
                <w:rFonts w:hint="eastAsia" w:ascii="仿宋" w:hAnsi="仿宋" w:eastAsia="仿宋" w:cs="仿宋"/>
                <w:sz w:val="24"/>
              </w:rPr>
            </w:pPr>
            <w:r>
              <w:rPr>
                <w:rFonts w:hint="eastAsia" w:ascii="仿宋" w:hAnsi="仿宋" w:eastAsia="仿宋" w:cs="仿宋"/>
                <w:sz w:val="24"/>
              </w:rPr>
              <w:t>服务内容</w:t>
            </w:r>
          </w:p>
        </w:tc>
        <w:tc>
          <w:tcPr>
            <w:tcW w:w="829" w:type="dxa"/>
          </w:tcPr>
          <w:p w14:paraId="02229EC3">
            <w:pPr>
              <w:pStyle w:val="17"/>
              <w:spacing w:before="96" w:line="303" w:lineRule="exact"/>
              <w:ind w:left="208"/>
              <w:rPr>
                <w:rFonts w:hint="eastAsia" w:ascii="仿宋" w:hAnsi="仿宋" w:eastAsia="仿宋" w:cs="仿宋"/>
                <w:sz w:val="24"/>
              </w:rPr>
            </w:pPr>
            <w:r>
              <w:rPr>
                <w:rFonts w:hint="eastAsia" w:ascii="仿宋" w:hAnsi="仿宋" w:eastAsia="仿宋" w:cs="仿宋"/>
                <w:sz w:val="24"/>
              </w:rPr>
              <w:t>总价</w:t>
            </w:r>
          </w:p>
        </w:tc>
      </w:tr>
      <w:tr w14:paraId="598E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23CAAA2B">
            <w:pPr>
              <w:pStyle w:val="17"/>
              <w:spacing w:before="137"/>
              <w:ind w:left="8"/>
              <w:jc w:val="center"/>
              <w:rPr>
                <w:rFonts w:hint="eastAsia" w:ascii="仿宋" w:hAnsi="仿宋" w:eastAsia="仿宋" w:cs="仿宋"/>
                <w:sz w:val="24"/>
              </w:rPr>
            </w:pPr>
            <w:r>
              <w:rPr>
                <w:rFonts w:hint="eastAsia" w:ascii="仿宋" w:hAnsi="仿宋" w:eastAsia="仿宋" w:cs="仿宋"/>
                <w:sz w:val="24"/>
              </w:rPr>
              <w:t>1</w:t>
            </w:r>
          </w:p>
        </w:tc>
        <w:tc>
          <w:tcPr>
            <w:tcW w:w="1847" w:type="dxa"/>
          </w:tcPr>
          <w:p w14:paraId="1B7FA29D">
            <w:pPr>
              <w:pStyle w:val="17"/>
              <w:spacing w:before="137"/>
              <w:ind w:left="140" w:right="132"/>
              <w:jc w:val="center"/>
              <w:rPr>
                <w:rFonts w:hint="eastAsia" w:ascii="仿宋" w:hAnsi="仿宋" w:eastAsia="仿宋" w:cs="仿宋"/>
                <w:sz w:val="24"/>
              </w:rPr>
            </w:pPr>
          </w:p>
        </w:tc>
        <w:tc>
          <w:tcPr>
            <w:tcW w:w="663" w:type="dxa"/>
          </w:tcPr>
          <w:p w14:paraId="42918E0E">
            <w:pPr>
              <w:pStyle w:val="17"/>
              <w:rPr>
                <w:rFonts w:hint="eastAsia" w:ascii="仿宋" w:hAnsi="仿宋" w:eastAsia="仿宋" w:cs="仿宋"/>
                <w:sz w:val="22"/>
              </w:rPr>
            </w:pPr>
          </w:p>
        </w:tc>
        <w:tc>
          <w:tcPr>
            <w:tcW w:w="663" w:type="dxa"/>
          </w:tcPr>
          <w:p w14:paraId="77780414">
            <w:pPr>
              <w:pStyle w:val="17"/>
              <w:rPr>
                <w:rFonts w:hint="eastAsia" w:ascii="仿宋" w:hAnsi="仿宋" w:eastAsia="仿宋" w:cs="仿宋"/>
                <w:sz w:val="22"/>
              </w:rPr>
            </w:pPr>
          </w:p>
        </w:tc>
        <w:tc>
          <w:tcPr>
            <w:tcW w:w="3851" w:type="dxa"/>
          </w:tcPr>
          <w:p w14:paraId="2AD936B7">
            <w:pPr>
              <w:pStyle w:val="17"/>
              <w:rPr>
                <w:rFonts w:hint="eastAsia" w:ascii="仿宋" w:hAnsi="仿宋" w:eastAsia="仿宋" w:cs="仿宋"/>
                <w:sz w:val="22"/>
              </w:rPr>
            </w:pPr>
          </w:p>
        </w:tc>
        <w:tc>
          <w:tcPr>
            <w:tcW w:w="829" w:type="dxa"/>
          </w:tcPr>
          <w:p w14:paraId="19F8651F">
            <w:pPr>
              <w:pStyle w:val="17"/>
              <w:rPr>
                <w:rFonts w:hint="eastAsia" w:ascii="仿宋" w:hAnsi="仿宋" w:eastAsia="仿宋" w:cs="仿宋"/>
                <w:sz w:val="22"/>
              </w:rPr>
            </w:pPr>
          </w:p>
        </w:tc>
      </w:tr>
      <w:tr w14:paraId="3905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7544932B">
            <w:pPr>
              <w:pStyle w:val="17"/>
              <w:spacing w:before="138"/>
              <w:ind w:left="8"/>
              <w:jc w:val="center"/>
              <w:rPr>
                <w:rFonts w:hint="eastAsia" w:ascii="仿宋" w:hAnsi="仿宋" w:eastAsia="仿宋" w:cs="仿宋"/>
                <w:sz w:val="24"/>
              </w:rPr>
            </w:pPr>
            <w:r>
              <w:rPr>
                <w:rFonts w:hint="eastAsia" w:ascii="仿宋" w:hAnsi="仿宋" w:eastAsia="仿宋" w:cs="仿宋"/>
                <w:sz w:val="24"/>
              </w:rPr>
              <w:t>2</w:t>
            </w:r>
          </w:p>
        </w:tc>
        <w:tc>
          <w:tcPr>
            <w:tcW w:w="1847" w:type="dxa"/>
          </w:tcPr>
          <w:p w14:paraId="228C0239">
            <w:pPr>
              <w:pStyle w:val="17"/>
              <w:spacing w:before="138"/>
              <w:ind w:left="140" w:right="132"/>
              <w:jc w:val="center"/>
              <w:rPr>
                <w:rFonts w:hint="eastAsia" w:ascii="仿宋" w:hAnsi="仿宋" w:eastAsia="仿宋" w:cs="仿宋"/>
                <w:sz w:val="24"/>
              </w:rPr>
            </w:pPr>
          </w:p>
        </w:tc>
        <w:tc>
          <w:tcPr>
            <w:tcW w:w="663" w:type="dxa"/>
          </w:tcPr>
          <w:p w14:paraId="7ACE9168">
            <w:pPr>
              <w:pStyle w:val="17"/>
              <w:rPr>
                <w:rFonts w:hint="eastAsia" w:ascii="仿宋" w:hAnsi="仿宋" w:eastAsia="仿宋" w:cs="仿宋"/>
                <w:sz w:val="22"/>
              </w:rPr>
            </w:pPr>
          </w:p>
        </w:tc>
        <w:tc>
          <w:tcPr>
            <w:tcW w:w="663" w:type="dxa"/>
          </w:tcPr>
          <w:p w14:paraId="717FF4F6">
            <w:pPr>
              <w:pStyle w:val="17"/>
              <w:rPr>
                <w:rFonts w:hint="eastAsia" w:ascii="仿宋" w:hAnsi="仿宋" w:eastAsia="仿宋" w:cs="仿宋"/>
                <w:sz w:val="22"/>
              </w:rPr>
            </w:pPr>
          </w:p>
        </w:tc>
        <w:tc>
          <w:tcPr>
            <w:tcW w:w="3851" w:type="dxa"/>
          </w:tcPr>
          <w:p w14:paraId="4CBE964C">
            <w:pPr>
              <w:pStyle w:val="17"/>
              <w:rPr>
                <w:rFonts w:hint="eastAsia" w:ascii="仿宋" w:hAnsi="仿宋" w:eastAsia="仿宋" w:cs="仿宋"/>
                <w:sz w:val="22"/>
              </w:rPr>
            </w:pPr>
          </w:p>
        </w:tc>
        <w:tc>
          <w:tcPr>
            <w:tcW w:w="829" w:type="dxa"/>
          </w:tcPr>
          <w:p w14:paraId="635727BB">
            <w:pPr>
              <w:pStyle w:val="17"/>
              <w:rPr>
                <w:rFonts w:hint="eastAsia" w:ascii="仿宋" w:hAnsi="仿宋" w:eastAsia="仿宋" w:cs="仿宋"/>
                <w:sz w:val="22"/>
              </w:rPr>
            </w:pPr>
          </w:p>
        </w:tc>
      </w:tr>
      <w:tr w14:paraId="669C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42" w:type="dxa"/>
          </w:tcPr>
          <w:p w14:paraId="2089062B">
            <w:pPr>
              <w:pStyle w:val="17"/>
              <w:spacing w:before="138"/>
              <w:ind w:left="8"/>
              <w:jc w:val="center"/>
              <w:rPr>
                <w:rFonts w:hint="eastAsia" w:ascii="仿宋" w:hAnsi="仿宋" w:eastAsia="仿宋" w:cs="仿宋"/>
                <w:sz w:val="24"/>
              </w:rPr>
            </w:pPr>
            <w:r>
              <w:rPr>
                <w:rFonts w:hint="eastAsia" w:ascii="仿宋" w:hAnsi="仿宋" w:eastAsia="仿宋" w:cs="仿宋"/>
                <w:sz w:val="24"/>
              </w:rPr>
              <w:t>3</w:t>
            </w:r>
          </w:p>
        </w:tc>
        <w:tc>
          <w:tcPr>
            <w:tcW w:w="1847" w:type="dxa"/>
          </w:tcPr>
          <w:p w14:paraId="09666B36">
            <w:pPr>
              <w:pStyle w:val="17"/>
              <w:spacing w:before="138"/>
              <w:ind w:left="140" w:right="132"/>
              <w:jc w:val="center"/>
              <w:rPr>
                <w:rFonts w:hint="eastAsia" w:ascii="仿宋" w:hAnsi="仿宋" w:eastAsia="仿宋" w:cs="仿宋"/>
                <w:sz w:val="24"/>
              </w:rPr>
            </w:pPr>
          </w:p>
        </w:tc>
        <w:tc>
          <w:tcPr>
            <w:tcW w:w="663" w:type="dxa"/>
          </w:tcPr>
          <w:p w14:paraId="3CC1B3B9">
            <w:pPr>
              <w:pStyle w:val="17"/>
              <w:rPr>
                <w:rFonts w:hint="eastAsia" w:ascii="仿宋" w:hAnsi="仿宋" w:eastAsia="仿宋" w:cs="仿宋"/>
                <w:sz w:val="22"/>
              </w:rPr>
            </w:pPr>
          </w:p>
        </w:tc>
        <w:tc>
          <w:tcPr>
            <w:tcW w:w="663" w:type="dxa"/>
          </w:tcPr>
          <w:p w14:paraId="3EDBBBA1">
            <w:pPr>
              <w:pStyle w:val="17"/>
              <w:rPr>
                <w:rFonts w:hint="eastAsia" w:ascii="仿宋" w:hAnsi="仿宋" w:eastAsia="仿宋" w:cs="仿宋"/>
                <w:sz w:val="22"/>
              </w:rPr>
            </w:pPr>
          </w:p>
        </w:tc>
        <w:tc>
          <w:tcPr>
            <w:tcW w:w="3851" w:type="dxa"/>
          </w:tcPr>
          <w:p w14:paraId="50DAC172">
            <w:pPr>
              <w:pStyle w:val="17"/>
              <w:rPr>
                <w:rFonts w:hint="eastAsia" w:ascii="仿宋" w:hAnsi="仿宋" w:eastAsia="仿宋" w:cs="仿宋"/>
                <w:sz w:val="22"/>
              </w:rPr>
            </w:pPr>
          </w:p>
        </w:tc>
        <w:tc>
          <w:tcPr>
            <w:tcW w:w="829" w:type="dxa"/>
          </w:tcPr>
          <w:p w14:paraId="138FDBA2">
            <w:pPr>
              <w:pStyle w:val="17"/>
              <w:rPr>
                <w:rFonts w:hint="eastAsia" w:ascii="仿宋" w:hAnsi="仿宋" w:eastAsia="仿宋" w:cs="仿宋"/>
                <w:sz w:val="22"/>
              </w:rPr>
            </w:pPr>
          </w:p>
        </w:tc>
      </w:tr>
      <w:tr w14:paraId="4DB2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6818FA0D">
            <w:pPr>
              <w:pStyle w:val="17"/>
              <w:spacing w:before="137"/>
              <w:ind w:left="8"/>
              <w:jc w:val="center"/>
              <w:rPr>
                <w:rFonts w:hint="eastAsia" w:ascii="仿宋" w:hAnsi="仿宋" w:eastAsia="仿宋" w:cs="仿宋"/>
                <w:sz w:val="24"/>
              </w:rPr>
            </w:pPr>
            <w:r>
              <w:rPr>
                <w:rFonts w:hint="eastAsia" w:ascii="仿宋" w:hAnsi="仿宋" w:eastAsia="仿宋" w:cs="仿宋"/>
                <w:sz w:val="24"/>
              </w:rPr>
              <w:t>4</w:t>
            </w:r>
          </w:p>
        </w:tc>
        <w:tc>
          <w:tcPr>
            <w:tcW w:w="1847" w:type="dxa"/>
          </w:tcPr>
          <w:p w14:paraId="6AB093D3">
            <w:pPr>
              <w:pStyle w:val="17"/>
              <w:spacing w:before="137"/>
              <w:ind w:left="140" w:right="132"/>
              <w:jc w:val="center"/>
              <w:rPr>
                <w:rFonts w:hint="eastAsia" w:ascii="仿宋" w:hAnsi="仿宋" w:eastAsia="仿宋" w:cs="仿宋"/>
                <w:sz w:val="24"/>
              </w:rPr>
            </w:pPr>
          </w:p>
        </w:tc>
        <w:tc>
          <w:tcPr>
            <w:tcW w:w="663" w:type="dxa"/>
          </w:tcPr>
          <w:p w14:paraId="1FA7EE5F">
            <w:pPr>
              <w:pStyle w:val="17"/>
              <w:rPr>
                <w:rFonts w:hint="eastAsia" w:ascii="仿宋" w:hAnsi="仿宋" w:eastAsia="仿宋" w:cs="仿宋"/>
                <w:sz w:val="22"/>
              </w:rPr>
            </w:pPr>
          </w:p>
        </w:tc>
        <w:tc>
          <w:tcPr>
            <w:tcW w:w="663" w:type="dxa"/>
          </w:tcPr>
          <w:p w14:paraId="5976C630">
            <w:pPr>
              <w:pStyle w:val="17"/>
              <w:rPr>
                <w:rFonts w:hint="eastAsia" w:ascii="仿宋" w:hAnsi="仿宋" w:eastAsia="仿宋" w:cs="仿宋"/>
                <w:sz w:val="22"/>
              </w:rPr>
            </w:pPr>
          </w:p>
        </w:tc>
        <w:tc>
          <w:tcPr>
            <w:tcW w:w="3851" w:type="dxa"/>
          </w:tcPr>
          <w:p w14:paraId="5DCF917F">
            <w:pPr>
              <w:pStyle w:val="17"/>
              <w:rPr>
                <w:rFonts w:hint="eastAsia" w:ascii="仿宋" w:hAnsi="仿宋" w:eastAsia="仿宋" w:cs="仿宋"/>
                <w:sz w:val="22"/>
              </w:rPr>
            </w:pPr>
          </w:p>
        </w:tc>
        <w:tc>
          <w:tcPr>
            <w:tcW w:w="829" w:type="dxa"/>
          </w:tcPr>
          <w:p w14:paraId="3FAA839F">
            <w:pPr>
              <w:pStyle w:val="17"/>
              <w:rPr>
                <w:rFonts w:hint="eastAsia" w:ascii="仿宋" w:hAnsi="仿宋" w:eastAsia="仿宋" w:cs="仿宋"/>
                <w:sz w:val="22"/>
              </w:rPr>
            </w:pPr>
          </w:p>
        </w:tc>
      </w:tr>
      <w:tr w14:paraId="25FB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10B72914">
            <w:pPr>
              <w:pStyle w:val="17"/>
              <w:spacing w:before="153"/>
              <w:ind w:left="8"/>
              <w:jc w:val="center"/>
              <w:rPr>
                <w:rFonts w:hint="eastAsia" w:ascii="仿宋" w:hAnsi="仿宋" w:eastAsia="仿宋" w:cs="仿宋"/>
                <w:sz w:val="24"/>
              </w:rPr>
            </w:pPr>
            <w:r>
              <w:rPr>
                <w:rFonts w:hint="eastAsia" w:ascii="仿宋" w:hAnsi="仿宋" w:eastAsia="仿宋" w:cs="仿宋"/>
                <w:sz w:val="24"/>
              </w:rPr>
              <w:t>5</w:t>
            </w:r>
          </w:p>
        </w:tc>
        <w:tc>
          <w:tcPr>
            <w:tcW w:w="1847" w:type="dxa"/>
          </w:tcPr>
          <w:p w14:paraId="574B1580">
            <w:pPr>
              <w:pStyle w:val="17"/>
              <w:spacing w:before="153"/>
              <w:ind w:left="140" w:right="132"/>
              <w:jc w:val="center"/>
              <w:rPr>
                <w:rFonts w:hint="eastAsia" w:ascii="仿宋" w:hAnsi="仿宋" w:eastAsia="仿宋" w:cs="仿宋"/>
                <w:sz w:val="24"/>
              </w:rPr>
            </w:pPr>
          </w:p>
        </w:tc>
        <w:tc>
          <w:tcPr>
            <w:tcW w:w="663" w:type="dxa"/>
          </w:tcPr>
          <w:p w14:paraId="40A944D9">
            <w:pPr>
              <w:pStyle w:val="17"/>
              <w:rPr>
                <w:rFonts w:hint="eastAsia" w:ascii="仿宋" w:hAnsi="仿宋" w:eastAsia="仿宋" w:cs="仿宋"/>
                <w:sz w:val="22"/>
              </w:rPr>
            </w:pPr>
          </w:p>
        </w:tc>
        <w:tc>
          <w:tcPr>
            <w:tcW w:w="663" w:type="dxa"/>
          </w:tcPr>
          <w:p w14:paraId="245B1E78">
            <w:pPr>
              <w:pStyle w:val="17"/>
              <w:rPr>
                <w:rFonts w:hint="eastAsia" w:ascii="仿宋" w:hAnsi="仿宋" w:eastAsia="仿宋" w:cs="仿宋"/>
                <w:sz w:val="22"/>
              </w:rPr>
            </w:pPr>
          </w:p>
        </w:tc>
        <w:tc>
          <w:tcPr>
            <w:tcW w:w="3851" w:type="dxa"/>
          </w:tcPr>
          <w:p w14:paraId="426BDC2B">
            <w:pPr>
              <w:pStyle w:val="17"/>
              <w:rPr>
                <w:rFonts w:hint="eastAsia" w:ascii="仿宋" w:hAnsi="仿宋" w:eastAsia="仿宋" w:cs="仿宋"/>
                <w:sz w:val="22"/>
              </w:rPr>
            </w:pPr>
          </w:p>
        </w:tc>
        <w:tc>
          <w:tcPr>
            <w:tcW w:w="829" w:type="dxa"/>
          </w:tcPr>
          <w:p w14:paraId="0BBA63CC">
            <w:pPr>
              <w:pStyle w:val="17"/>
              <w:rPr>
                <w:rFonts w:hint="eastAsia" w:ascii="仿宋" w:hAnsi="仿宋" w:eastAsia="仿宋" w:cs="仿宋"/>
                <w:sz w:val="22"/>
              </w:rPr>
            </w:pPr>
          </w:p>
        </w:tc>
      </w:tr>
      <w:tr w14:paraId="47FC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60EC4C4F">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279EEE0A">
            <w:pPr>
              <w:pStyle w:val="17"/>
              <w:rPr>
                <w:rFonts w:hint="eastAsia" w:ascii="仿宋" w:hAnsi="仿宋" w:eastAsia="仿宋" w:cs="仿宋"/>
                <w:sz w:val="22"/>
              </w:rPr>
            </w:pPr>
          </w:p>
        </w:tc>
        <w:tc>
          <w:tcPr>
            <w:tcW w:w="663" w:type="dxa"/>
          </w:tcPr>
          <w:p w14:paraId="2DA729BE">
            <w:pPr>
              <w:pStyle w:val="17"/>
              <w:rPr>
                <w:rFonts w:hint="eastAsia" w:ascii="仿宋" w:hAnsi="仿宋" w:eastAsia="仿宋" w:cs="仿宋"/>
                <w:sz w:val="22"/>
              </w:rPr>
            </w:pPr>
          </w:p>
        </w:tc>
        <w:tc>
          <w:tcPr>
            <w:tcW w:w="663" w:type="dxa"/>
          </w:tcPr>
          <w:p w14:paraId="104939D2">
            <w:pPr>
              <w:pStyle w:val="17"/>
              <w:rPr>
                <w:rFonts w:hint="eastAsia" w:ascii="仿宋" w:hAnsi="仿宋" w:eastAsia="仿宋" w:cs="仿宋"/>
                <w:sz w:val="22"/>
              </w:rPr>
            </w:pPr>
          </w:p>
        </w:tc>
        <w:tc>
          <w:tcPr>
            <w:tcW w:w="3851" w:type="dxa"/>
          </w:tcPr>
          <w:p w14:paraId="16A6823E">
            <w:pPr>
              <w:pStyle w:val="17"/>
              <w:rPr>
                <w:rFonts w:hint="eastAsia" w:ascii="仿宋" w:hAnsi="仿宋" w:eastAsia="仿宋" w:cs="仿宋"/>
                <w:sz w:val="22"/>
              </w:rPr>
            </w:pPr>
          </w:p>
        </w:tc>
        <w:tc>
          <w:tcPr>
            <w:tcW w:w="829" w:type="dxa"/>
          </w:tcPr>
          <w:p w14:paraId="3B5F4278">
            <w:pPr>
              <w:pStyle w:val="17"/>
              <w:rPr>
                <w:rFonts w:hint="eastAsia" w:ascii="仿宋" w:hAnsi="仿宋" w:eastAsia="仿宋" w:cs="仿宋"/>
                <w:sz w:val="22"/>
              </w:rPr>
            </w:pPr>
          </w:p>
        </w:tc>
      </w:tr>
      <w:tr w14:paraId="0306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0A2EF094">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46C5A4A3">
            <w:pPr>
              <w:pStyle w:val="17"/>
              <w:rPr>
                <w:rFonts w:hint="eastAsia" w:ascii="仿宋" w:hAnsi="仿宋" w:eastAsia="仿宋" w:cs="仿宋"/>
                <w:sz w:val="22"/>
              </w:rPr>
            </w:pPr>
          </w:p>
        </w:tc>
        <w:tc>
          <w:tcPr>
            <w:tcW w:w="663" w:type="dxa"/>
          </w:tcPr>
          <w:p w14:paraId="2799D9C6">
            <w:pPr>
              <w:pStyle w:val="17"/>
              <w:rPr>
                <w:rFonts w:hint="eastAsia" w:ascii="仿宋" w:hAnsi="仿宋" w:eastAsia="仿宋" w:cs="仿宋"/>
                <w:sz w:val="22"/>
              </w:rPr>
            </w:pPr>
          </w:p>
        </w:tc>
        <w:tc>
          <w:tcPr>
            <w:tcW w:w="663" w:type="dxa"/>
          </w:tcPr>
          <w:p w14:paraId="4C160150">
            <w:pPr>
              <w:pStyle w:val="17"/>
              <w:rPr>
                <w:rFonts w:hint="eastAsia" w:ascii="仿宋" w:hAnsi="仿宋" w:eastAsia="仿宋" w:cs="仿宋"/>
                <w:sz w:val="22"/>
              </w:rPr>
            </w:pPr>
          </w:p>
        </w:tc>
        <w:tc>
          <w:tcPr>
            <w:tcW w:w="3851" w:type="dxa"/>
          </w:tcPr>
          <w:p w14:paraId="1759267B">
            <w:pPr>
              <w:pStyle w:val="17"/>
              <w:rPr>
                <w:rFonts w:hint="eastAsia" w:ascii="仿宋" w:hAnsi="仿宋" w:eastAsia="仿宋" w:cs="仿宋"/>
                <w:sz w:val="22"/>
              </w:rPr>
            </w:pPr>
          </w:p>
        </w:tc>
        <w:tc>
          <w:tcPr>
            <w:tcW w:w="829" w:type="dxa"/>
          </w:tcPr>
          <w:p w14:paraId="5FBDCBB7">
            <w:pPr>
              <w:pStyle w:val="17"/>
              <w:rPr>
                <w:rFonts w:hint="eastAsia" w:ascii="仿宋" w:hAnsi="仿宋" w:eastAsia="仿宋" w:cs="仿宋"/>
                <w:sz w:val="22"/>
              </w:rPr>
            </w:pPr>
          </w:p>
        </w:tc>
      </w:tr>
      <w:tr w14:paraId="2F39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2" w:type="dxa"/>
            <w:vMerge w:val="restart"/>
          </w:tcPr>
          <w:p w14:paraId="35DD9B4D">
            <w:pPr>
              <w:pStyle w:val="17"/>
              <w:rPr>
                <w:rFonts w:hint="eastAsia" w:ascii="仿宋" w:hAnsi="仿宋" w:eastAsia="仿宋" w:cs="仿宋"/>
                <w:sz w:val="24"/>
              </w:rPr>
            </w:pPr>
          </w:p>
          <w:p w14:paraId="29D173B0">
            <w:pPr>
              <w:pStyle w:val="17"/>
              <w:spacing w:before="157"/>
              <w:ind w:left="204"/>
              <w:rPr>
                <w:rFonts w:hint="eastAsia" w:ascii="仿宋" w:hAnsi="仿宋" w:eastAsia="仿宋" w:cs="仿宋"/>
                <w:sz w:val="24"/>
              </w:rPr>
            </w:pPr>
            <w:r>
              <w:rPr>
                <w:rFonts w:hint="eastAsia" w:ascii="仿宋" w:hAnsi="仿宋" w:eastAsia="仿宋" w:cs="仿宋"/>
                <w:sz w:val="24"/>
              </w:rPr>
              <w:t>合计：</w:t>
            </w:r>
          </w:p>
        </w:tc>
        <w:tc>
          <w:tcPr>
            <w:tcW w:w="7853" w:type="dxa"/>
            <w:gridSpan w:val="5"/>
          </w:tcPr>
          <w:p w14:paraId="2C2946F6">
            <w:pPr>
              <w:pStyle w:val="17"/>
              <w:spacing w:before="157"/>
              <w:ind w:right="3270"/>
              <w:jc w:val="both"/>
              <w:rPr>
                <w:rFonts w:hint="eastAsia" w:ascii="仿宋" w:hAnsi="仿宋" w:eastAsia="仿宋" w:cs="仿宋"/>
                <w:sz w:val="24"/>
              </w:rPr>
            </w:pPr>
            <w:r>
              <w:rPr>
                <w:rFonts w:hint="eastAsia" w:ascii="仿宋" w:hAnsi="仿宋" w:eastAsia="仿宋" w:cs="仿宋"/>
                <w:sz w:val="24"/>
              </w:rPr>
              <w:t>人民币（小写）</w:t>
            </w:r>
          </w:p>
        </w:tc>
      </w:tr>
      <w:tr w14:paraId="2083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42" w:type="dxa"/>
            <w:vMerge w:val="continue"/>
            <w:tcBorders>
              <w:top w:val="nil"/>
            </w:tcBorders>
          </w:tcPr>
          <w:p w14:paraId="0969BC10">
            <w:pPr>
              <w:rPr>
                <w:rFonts w:hint="eastAsia" w:ascii="仿宋" w:hAnsi="仿宋" w:eastAsia="仿宋" w:cs="仿宋"/>
                <w:sz w:val="2"/>
                <w:szCs w:val="2"/>
              </w:rPr>
            </w:pPr>
          </w:p>
        </w:tc>
        <w:tc>
          <w:tcPr>
            <w:tcW w:w="7853" w:type="dxa"/>
            <w:gridSpan w:val="5"/>
          </w:tcPr>
          <w:p w14:paraId="610696C0">
            <w:pPr>
              <w:pStyle w:val="17"/>
              <w:spacing w:before="157"/>
              <w:ind w:right="3150"/>
              <w:jc w:val="both"/>
              <w:rPr>
                <w:rFonts w:hint="eastAsia" w:ascii="仿宋" w:hAnsi="仿宋" w:eastAsia="仿宋" w:cs="仿宋"/>
                <w:sz w:val="24"/>
              </w:rPr>
            </w:pPr>
            <w:r>
              <w:rPr>
                <w:rFonts w:hint="eastAsia" w:ascii="仿宋" w:hAnsi="仿宋" w:eastAsia="仿宋" w:cs="仿宋"/>
                <w:sz w:val="24"/>
              </w:rPr>
              <w:t>人民币（大写）</w:t>
            </w:r>
          </w:p>
        </w:tc>
      </w:tr>
    </w:tbl>
    <w:p w14:paraId="3D5B15FB">
      <w:pPr>
        <w:pStyle w:val="2"/>
        <w:rPr>
          <w:rFonts w:hint="eastAsia" w:ascii="仿宋" w:hAnsi="仿宋" w:eastAsia="仿宋" w:cs="仿宋"/>
          <w:sz w:val="20"/>
        </w:rPr>
      </w:pPr>
    </w:p>
    <w:p w14:paraId="420FA3C2">
      <w:pPr>
        <w:pStyle w:val="2"/>
        <w:spacing w:before="8"/>
        <w:rPr>
          <w:rFonts w:hint="eastAsia" w:ascii="仿宋" w:hAnsi="仿宋" w:eastAsia="仿宋" w:cs="仿宋"/>
          <w:sz w:val="21"/>
        </w:rPr>
      </w:pPr>
    </w:p>
    <w:p w14:paraId="4FFAA637">
      <w:pPr>
        <w:pStyle w:val="2"/>
        <w:tabs>
          <w:tab w:val="left" w:pos="7579"/>
        </w:tabs>
        <w:spacing w:before="74"/>
        <w:ind w:left="1280"/>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3C5001A">
      <w:pPr>
        <w:pStyle w:val="2"/>
        <w:spacing w:before="5"/>
        <w:rPr>
          <w:rFonts w:hint="eastAsia" w:ascii="仿宋" w:hAnsi="仿宋" w:eastAsia="仿宋" w:cs="仿宋"/>
          <w:sz w:val="20"/>
        </w:rPr>
      </w:pPr>
    </w:p>
    <w:p w14:paraId="6519B89F">
      <w:pPr>
        <w:pStyle w:val="2"/>
        <w:tabs>
          <w:tab w:val="left" w:pos="7997"/>
        </w:tabs>
        <w:spacing w:before="77"/>
        <w:ind w:left="1271"/>
        <w:rPr>
          <w:rFonts w:hint="eastAsia" w:ascii="仿宋" w:hAnsi="仿宋" w:eastAsia="仿宋" w:cs="仿宋"/>
        </w:rPr>
      </w:pPr>
      <w:r>
        <w:rPr>
          <w:rFonts w:hint="eastAsia" w:ascii="仿宋" w:hAnsi="仿宋" w:eastAsia="仿宋" w:cs="仿宋"/>
        </w:rPr>
        <w:t>法定代表人或法定代表人授权代表（签字)：:</w:t>
      </w:r>
      <w:r>
        <w:rPr>
          <w:rFonts w:hint="eastAsia" w:ascii="仿宋" w:hAnsi="仿宋" w:eastAsia="仿宋" w:cs="仿宋"/>
          <w:u w:val="single"/>
        </w:rPr>
        <w:t xml:space="preserve"> </w:t>
      </w:r>
      <w:r>
        <w:rPr>
          <w:rFonts w:hint="eastAsia" w:ascii="仿宋" w:hAnsi="仿宋" w:eastAsia="仿宋" w:cs="仿宋"/>
          <w:u w:val="single"/>
        </w:rPr>
        <w:tab/>
      </w:r>
    </w:p>
    <w:p w14:paraId="47353544">
      <w:pPr>
        <w:pStyle w:val="2"/>
        <w:rPr>
          <w:rFonts w:hint="eastAsia" w:ascii="仿宋" w:hAnsi="仿宋" w:eastAsia="仿宋" w:cs="仿宋"/>
          <w:sz w:val="20"/>
        </w:rPr>
      </w:pPr>
    </w:p>
    <w:p w14:paraId="05CA50A4">
      <w:pPr>
        <w:pStyle w:val="2"/>
        <w:tabs>
          <w:tab w:val="left" w:pos="1733"/>
          <w:tab w:val="left" w:pos="2453"/>
          <w:tab w:val="left" w:pos="3053"/>
        </w:tabs>
        <w:spacing w:before="74"/>
        <w:ind w:left="772"/>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63A1C250">
      <w:pPr>
        <w:pStyle w:val="2"/>
        <w:spacing w:before="8"/>
        <w:rPr>
          <w:rFonts w:hint="eastAsia" w:ascii="仿宋" w:hAnsi="仿宋" w:eastAsia="仿宋" w:cs="仿宋"/>
          <w:sz w:val="21"/>
        </w:rPr>
      </w:pPr>
    </w:p>
    <w:p w14:paraId="27ACE9C9">
      <w:pPr>
        <w:spacing w:before="70"/>
        <w:ind w:left="431" w:right="0" w:firstLine="0"/>
        <w:jc w:val="left"/>
        <w:rPr>
          <w:rFonts w:hint="eastAsia" w:ascii="仿宋" w:hAnsi="仿宋" w:eastAsia="仿宋" w:cs="仿宋"/>
          <w:b/>
          <w:sz w:val="21"/>
        </w:rPr>
      </w:pPr>
      <w:r>
        <w:rPr>
          <w:rFonts w:hint="eastAsia" w:ascii="仿宋" w:hAnsi="仿宋" w:eastAsia="仿宋" w:cs="仿宋"/>
          <w:b/>
          <w:sz w:val="21"/>
        </w:rPr>
        <w:t>注：</w:t>
      </w:r>
    </w:p>
    <w:p w14:paraId="45B45153">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1、所有价格均用人民币表示，单位为元；</w:t>
      </w:r>
    </w:p>
    <w:p w14:paraId="5C645D7E">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2、分项报价总计价格必须与报价表一致；</w:t>
      </w:r>
    </w:p>
    <w:p w14:paraId="5186C177">
      <w:pPr>
        <w:spacing w:before="173"/>
        <w:ind w:left="431" w:right="0" w:firstLine="0"/>
        <w:jc w:val="left"/>
        <w:rPr>
          <w:rFonts w:hint="eastAsia" w:ascii="仿宋" w:hAnsi="仿宋" w:eastAsia="仿宋" w:cs="仿宋"/>
          <w:b/>
          <w:sz w:val="21"/>
        </w:rPr>
      </w:pPr>
      <w:r>
        <w:rPr>
          <w:rFonts w:hint="eastAsia" w:ascii="仿宋" w:hAnsi="仿宋" w:eastAsia="仿宋" w:cs="仿宋"/>
          <w:b/>
          <w:sz w:val="21"/>
        </w:rPr>
        <w:t>3、必须按此表格中对应栏目内容填写，若需增加栏目，可在表格中填写，并作详细说明。</w:t>
      </w:r>
    </w:p>
    <w:p w14:paraId="0FD82A65">
      <w:pPr>
        <w:spacing w:after="0"/>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57A15285">
      <w:pPr>
        <w:pStyle w:val="2"/>
        <w:spacing w:before="43"/>
        <w:ind w:left="428"/>
        <w:rPr>
          <w:rFonts w:hint="eastAsia" w:ascii="仿宋" w:hAnsi="仿宋" w:eastAsia="仿宋" w:cs="仿宋"/>
        </w:rPr>
      </w:pPr>
      <w:r>
        <w:rPr>
          <w:rFonts w:hint="eastAsia" w:ascii="仿宋" w:hAnsi="仿宋" w:eastAsia="仿宋" w:cs="仿宋"/>
        </w:rPr>
        <w:t>附件四</w:t>
      </w:r>
    </w:p>
    <w:p w14:paraId="39A30BCC">
      <w:pPr>
        <w:pStyle w:val="2"/>
        <w:spacing w:before="12"/>
        <w:rPr>
          <w:rFonts w:hint="eastAsia" w:ascii="仿宋" w:hAnsi="仿宋" w:eastAsia="仿宋" w:cs="仿宋"/>
          <w:sz w:val="17"/>
        </w:rPr>
      </w:pPr>
    </w:p>
    <w:p w14:paraId="2364B730">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14:paraId="5991F3D0">
      <w:pPr>
        <w:pStyle w:val="2"/>
        <w:rPr>
          <w:rFonts w:hint="eastAsia" w:ascii="仿宋" w:hAnsi="仿宋" w:eastAsia="仿宋" w:cs="仿宋"/>
          <w:sz w:val="20"/>
        </w:rPr>
      </w:pPr>
    </w:p>
    <w:p w14:paraId="59B38C58">
      <w:pPr>
        <w:pStyle w:val="2"/>
        <w:rPr>
          <w:rFonts w:hint="eastAsia" w:ascii="仿宋" w:hAnsi="仿宋" w:eastAsia="仿宋" w:cs="仿宋"/>
          <w:sz w:val="22"/>
        </w:rPr>
      </w:pPr>
    </w:p>
    <w:p w14:paraId="4D9514EA">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2C403EF8">
      <w:pPr>
        <w:pStyle w:val="2"/>
        <w:spacing w:before="9"/>
        <w:rPr>
          <w:rFonts w:hint="eastAsia" w:ascii="仿宋" w:hAnsi="仿宋" w:eastAsia="仿宋" w:cs="仿宋"/>
        </w:rPr>
      </w:pPr>
    </w:p>
    <w:p w14:paraId="51FF9F36">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14:paraId="15BE956B">
      <w:pPr>
        <w:pStyle w:val="2"/>
        <w:rPr>
          <w:rFonts w:hint="eastAsia" w:ascii="仿宋" w:hAnsi="仿宋" w:eastAsia="仿宋" w:cs="仿宋"/>
          <w:sz w:val="26"/>
        </w:rPr>
      </w:pPr>
    </w:p>
    <w:p w14:paraId="7FED8692">
      <w:pPr>
        <w:pStyle w:val="2"/>
        <w:spacing w:before="9"/>
        <w:rPr>
          <w:rFonts w:hint="eastAsia" w:ascii="仿宋" w:hAnsi="仿宋" w:eastAsia="仿宋" w:cs="仿宋"/>
          <w:sz w:val="22"/>
        </w:rPr>
      </w:pPr>
    </w:p>
    <w:p w14:paraId="41AE563C">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14:paraId="009BC39D">
      <w:pPr>
        <w:pStyle w:val="2"/>
        <w:spacing w:before="1"/>
        <w:rPr>
          <w:rFonts w:hint="eastAsia" w:ascii="仿宋" w:hAnsi="仿宋" w:eastAsia="仿宋" w:cs="仿宋"/>
          <w:sz w:val="21"/>
        </w:rPr>
      </w:pPr>
    </w:p>
    <w:p w14:paraId="34E33C22">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14:paraId="49E71BB2">
      <w:pPr>
        <w:pStyle w:val="2"/>
        <w:spacing w:before="1"/>
        <w:rPr>
          <w:rFonts w:hint="eastAsia" w:ascii="仿宋" w:hAnsi="仿宋" w:eastAsia="仿宋" w:cs="仿宋"/>
          <w:sz w:val="21"/>
        </w:rPr>
      </w:pPr>
    </w:p>
    <w:p w14:paraId="3D66099A">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3FC655FF">
      <w:pPr>
        <w:pStyle w:val="2"/>
        <w:spacing w:before="9"/>
        <w:rPr>
          <w:rFonts w:hint="eastAsia" w:ascii="仿宋" w:hAnsi="仿宋" w:eastAsia="仿宋" w:cs="仿宋"/>
        </w:rPr>
      </w:pPr>
    </w:p>
    <w:p w14:paraId="05401505">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14:paraId="7F3EA4C3">
      <w:pPr>
        <w:pStyle w:val="2"/>
        <w:spacing w:before="1"/>
        <w:rPr>
          <w:rFonts w:hint="eastAsia" w:ascii="仿宋" w:hAnsi="仿宋" w:eastAsia="仿宋" w:cs="仿宋"/>
          <w:sz w:val="21"/>
        </w:rPr>
      </w:pPr>
    </w:p>
    <w:p w14:paraId="41FD1ADB">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14:paraId="492146EA">
      <w:pPr>
        <w:pStyle w:val="2"/>
        <w:spacing w:before="1"/>
        <w:rPr>
          <w:rFonts w:hint="eastAsia" w:ascii="仿宋" w:hAnsi="仿宋" w:eastAsia="仿宋" w:cs="仿宋"/>
          <w:sz w:val="21"/>
        </w:rPr>
      </w:pPr>
    </w:p>
    <w:p w14:paraId="23F34A0F">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14:paraId="6318A786">
      <w:pPr>
        <w:pStyle w:val="2"/>
        <w:rPr>
          <w:rFonts w:hint="eastAsia" w:ascii="仿宋" w:hAnsi="仿宋" w:eastAsia="仿宋" w:cs="仿宋"/>
          <w:sz w:val="20"/>
        </w:rPr>
      </w:pPr>
    </w:p>
    <w:p w14:paraId="17705B39">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14:paraId="0CCBE4FF">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5168;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14:paraId="0CCBE4FF">
                      <w:pPr>
                        <w:pStyle w:val="2"/>
                        <w:spacing w:before="113"/>
                        <w:ind w:left="1548"/>
                      </w:pPr>
                      <w:r>
                        <w:t>粘贴被授权人身份证（复印件）</w:t>
                      </w:r>
                    </w:p>
                  </w:txbxContent>
                </v:textbox>
                <w10:wrap type="topAndBottom"/>
              </v:shape>
            </w:pict>
          </mc:Fallback>
        </mc:AlternateContent>
      </w:r>
    </w:p>
    <w:p w14:paraId="3215968F">
      <w:pPr>
        <w:pStyle w:val="2"/>
        <w:rPr>
          <w:rFonts w:hint="eastAsia" w:ascii="仿宋" w:hAnsi="仿宋" w:eastAsia="仿宋" w:cs="仿宋"/>
          <w:sz w:val="20"/>
        </w:rPr>
      </w:pPr>
    </w:p>
    <w:p w14:paraId="41B62D82">
      <w:pPr>
        <w:pStyle w:val="2"/>
        <w:spacing w:before="7"/>
        <w:rPr>
          <w:rFonts w:hint="eastAsia" w:ascii="仿宋" w:hAnsi="仿宋" w:eastAsia="仿宋" w:cs="仿宋"/>
          <w:sz w:val="15"/>
        </w:rPr>
      </w:pPr>
    </w:p>
    <w:p w14:paraId="436A80C8">
      <w:pPr>
        <w:spacing w:before="70" w:line="391" w:lineRule="auto"/>
        <w:ind w:left="431" w:right="474" w:firstLine="0"/>
        <w:jc w:val="left"/>
        <w:rPr>
          <w:rFonts w:hint="eastAsia" w:ascii="仿宋" w:hAnsi="仿宋" w:eastAsia="仿宋" w:cs="仿宋"/>
          <w:b/>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 xml:space="preserve">未提供公司人员身份证明的  </w:t>
      </w:r>
      <w:r>
        <w:rPr>
          <w:rFonts w:hint="eastAsia" w:ascii="仿宋" w:hAnsi="仿宋" w:eastAsia="仿宋" w:cs="仿宋"/>
          <w:b/>
          <w:spacing w:val="3"/>
          <w:sz w:val="21"/>
        </w:rPr>
        <w:t>视为不合格文件，供应商代表递交谈判响应文件时须单独提交一份，不需要封装。</w:t>
      </w:r>
    </w:p>
    <w:p w14:paraId="612FF878">
      <w:pPr>
        <w:spacing w:after="0" w:line="391" w:lineRule="auto"/>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6374646E">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五</w:t>
      </w:r>
    </w:p>
    <w:p w14:paraId="37711BE1">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14:paraId="3866BA63">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14:paraId="14703E6F">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14:paraId="4DF22775">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（1）、供应商必须是在中华人民共和国境内注册，具有有效(具备统一社会信用代码的）营业执照，且经营范围须含物业管理服务；</w:t>
      </w:r>
    </w:p>
    <w:p w14:paraId="2017CAF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14:paraId="499E615A">
      <w:pPr>
        <w:pStyle w:val="2"/>
        <w:keepNext w:val="0"/>
        <w:keepLines w:val="0"/>
        <w:pageBreakBefore w:val="0"/>
        <w:widowControl w:val="0"/>
        <w:kinsoku/>
        <w:wordWrap/>
        <w:overflowPunct/>
        <w:topLinePunct w:val="0"/>
        <w:autoSpaceDE w:val="0"/>
        <w:autoSpaceDN w:val="0"/>
        <w:bidi w:val="0"/>
        <w:adjustRightInd/>
        <w:snapToGrid/>
        <w:spacing w:line="480" w:lineRule="exact"/>
        <w:ind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14:paraId="518D7ECA">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DA11936">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7B4055E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14:paraId="180EAC8E">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7、开标前各投标供应商自行前往现场踏勘，并将现场踏勘标志性图片附到投标文件中，未按要求提供踏勘图片（彩色）的供应商作无效处理。</w:t>
      </w:r>
    </w:p>
    <w:p w14:paraId="0A0AE23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8、谈判供应商认为其它需要提供的证明材料。</w:t>
      </w:r>
    </w:p>
    <w:p w14:paraId="2E6EA631">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14:paraId="55759B76">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1、公司组织架构；</w:t>
      </w:r>
    </w:p>
    <w:p w14:paraId="56284533">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2、主要服务方案；</w:t>
      </w:r>
    </w:p>
    <w:p w14:paraId="0721510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3、谈判供应商认为其它需要提供的有关资料。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724F">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55268">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155268">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DNiYmRmYmY5ZmJkNDFmOTg3MDVlYzJiNDVmMDcifQ=="/>
    <w:docVar w:name="KSO_WPS_MARK_KEY" w:val="a68d1d27-368f-4db8-8089-a2e67e58a431"/>
  </w:docVars>
  <w:rsids>
    <w:rsidRoot w:val="00000000"/>
    <w:rsid w:val="007C717F"/>
    <w:rsid w:val="009D0EA3"/>
    <w:rsid w:val="00AD558A"/>
    <w:rsid w:val="01710365"/>
    <w:rsid w:val="01D60B10"/>
    <w:rsid w:val="02203B3A"/>
    <w:rsid w:val="02B250DA"/>
    <w:rsid w:val="02B26E88"/>
    <w:rsid w:val="031A1A5D"/>
    <w:rsid w:val="0482288A"/>
    <w:rsid w:val="04BF588C"/>
    <w:rsid w:val="04DF7CDC"/>
    <w:rsid w:val="053022E6"/>
    <w:rsid w:val="058663AA"/>
    <w:rsid w:val="059565ED"/>
    <w:rsid w:val="05E97064"/>
    <w:rsid w:val="06526BE8"/>
    <w:rsid w:val="071535E2"/>
    <w:rsid w:val="071D4945"/>
    <w:rsid w:val="074F7D92"/>
    <w:rsid w:val="0757624F"/>
    <w:rsid w:val="07AD418F"/>
    <w:rsid w:val="08DA0EE6"/>
    <w:rsid w:val="092D54BA"/>
    <w:rsid w:val="098175B4"/>
    <w:rsid w:val="09DC47EA"/>
    <w:rsid w:val="0A031683"/>
    <w:rsid w:val="0A073F5D"/>
    <w:rsid w:val="0A0967DF"/>
    <w:rsid w:val="0A1C2001"/>
    <w:rsid w:val="0ABA0FCF"/>
    <w:rsid w:val="0B136931"/>
    <w:rsid w:val="0B3D575C"/>
    <w:rsid w:val="0B521208"/>
    <w:rsid w:val="0C2D57D1"/>
    <w:rsid w:val="0C452B1A"/>
    <w:rsid w:val="0C6F5DE9"/>
    <w:rsid w:val="0D183D8B"/>
    <w:rsid w:val="0DAA6306"/>
    <w:rsid w:val="0E992CF7"/>
    <w:rsid w:val="0EA33B28"/>
    <w:rsid w:val="102962AF"/>
    <w:rsid w:val="1077526D"/>
    <w:rsid w:val="10991687"/>
    <w:rsid w:val="11867E5D"/>
    <w:rsid w:val="11D230A2"/>
    <w:rsid w:val="11E42DD6"/>
    <w:rsid w:val="126006AE"/>
    <w:rsid w:val="12640695"/>
    <w:rsid w:val="12C02EFB"/>
    <w:rsid w:val="13E26EA1"/>
    <w:rsid w:val="14BC76F2"/>
    <w:rsid w:val="14F41582"/>
    <w:rsid w:val="15597637"/>
    <w:rsid w:val="15AC7766"/>
    <w:rsid w:val="161D6858"/>
    <w:rsid w:val="177249E0"/>
    <w:rsid w:val="17CE46BA"/>
    <w:rsid w:val="18AE7C99"/>
    <w:rsid w:val="193A5D5C"/>
    <w:rsid w:val="194B7296"/>
    <w:rsid w:val="1A310B82"/>
    <w:rsid w:val="1A4160EC"/>
    <w:rsid w:val="1A4C59BC"/>
    <w:rsid w:val="1AE479A2"/>
    <w:rsid w:val="1B154000"/>
    <w:rsid w:val="1B701236"/>
    <w:rsid w:val="1BB2184F"/>
    <w:rsid w:val="1C042883"/>
    <w:rsid w:val="1C534DE0"/>
    <w:rsid w:val="1C9C5B0B"/>
    <w:rsid w:val="1CCF7E0D"/>
    <w:rsid w:val="1D6D50D7"/>
    <w:rsid w:val="1D9A71F5"/>
    <w:rsid w:val="1DA17DCD"/>
    <w:rsid w:val="1E2A6014"/>
    <w:rsid w:val="1E5906A7"/>
    <w:rsid w:val="1E7E3C6A"/>
    <w:rsid w:val="1E831280"/>
    <w:rsid w:val="1F784B5D"/>
    <w:rsid w:val="1FBB33C8"/>
    <w:rsid w:val="1FFC753C"/>
    <w:rsid w:val="20065C04"/>
    <w:rsid w:val="21466CC1"/>
    <w:rsid w:val="21657C15"/>
    <w:rsid w:val="218B0B78"/>
    <w:rsid w:val="222334A6"/>
    <w:rsid w:val="223B434C"/>
    <w:rsid w:val="23AE4FF1"/>
    <w:rsid w:val="24002E90"/>
    <w:rsid w:val="2463402E"/>
    <w:rsid w:val="251E2F40"/>
    <w:rsid w:val="254A0D4A"/>
    <w:rsid w:val="25E20F82"/>
    <w:rsid w:val="25E35426"/>
    <w:rsid w:val="28101F43"/>
    <w:rsid w:val="285717B4"/>
    <w:rsid w:val="28B37BA6"/>
    <w:rsid w:val="28E514B5"/>
    <w:rsid w:val="28ED2118"/>
    <w:rsid w:val="28F434A6"/>
    <w:rsid w:val="29B80AA7"/>
    <w:rsid w:val="29D3130E"/>
    <w:rsid w:val="2A385615"/>
    <w:rsid w:val="2A573CED"/>
    <w:rsid w:val="2AF84B7E"/>
    <w:rsid w:val="2AFB5C85"/>
    <w:rsid w:val="2B0025D7"/>
    <w:rsid w:val="2C106849"/>
    <w:rsid w:val="2C3A427D"/>
    <w:rsid w:val="2C3D6F12"/>
    <w:rsid w:val="2C941E83"/>
    <w:rsid w:val="2D76092E"/>
    <w:rsid w:val="2E153E12"/>
    <w:rsid w:val="2E165C6D"/>
    <w:rsid w:val="2E3D769E"/>
    <w:rsid w:val="2E8C4181"/>
    <w:rsid w:val="2FA63021"/>
    <w:rsid w:val="2FDD4C94"/>
    <w:rsid w:val="300F5125"/>
    <w:rsid w:val="30185CCC"/>
    <w:rsid w:val="305D7B83"/>
    <w:rsid w:val="309317F7"/>
    <w:rsid w:val="30D0646D"/>
    <w:rsid w:val="3126266B"/>
    <w:rsid w:val="314F3970"/>
    <w:rsid w:val="32085C73"/>
    <w:rsid w:val="327B0795"/>
    <w:rsid w:val="32A13B63"/>
    <w:rsid w:val="32F12805"/>
    <w:rsid w:val="32F25A0B"/>
    <w:rsid w:val="32F860CE"/>
    <w:rsid w:val="33460DA3"/>
    <w:rsid w:val="33743B62"/>
    <w:rsid w:val="337C47C4"/>
    <w:rsid w:val="33811E8C"/>
    <w:rsid w:val="34482EEA"/>
    <w:rsid w:val="344C23E9"/>
    <w:rsid w:val="34C84AAA"/>
    <w:rsid w:val="35303CE3"/>
    <w:rsid w:val="3558300F"/>
    <w:rsid w:val="35731BF7"/>
    <w:rsid w:val="36941E25"/>
    <w:rsid w:val="369E2CA4"/>
    <w:rsid w:val="37D44BCF"/>
    <w:rsid w:val="387939C8"/>
    <w:rsid w:val="38A2271F"/>
    <w:rsid w:val="394E6C03"/>
    <w:rsid w:val="3971469F"/>
    <w:rsid w:val="3A322D0B"/>
    <w:rsid w:val="3A857272"/>
    <w:rsid w:val="3B5F2DA3"/>
    <w:rsid w:val="3BA94431"/>
    <w:rsid w:val="3BF257CA"/>
    <w:rsid w:val="3C601127"/>
    <w:rsid w:val="3C776471"/>
    <w:rsid w:val="3C990195"/>
    <w:rsid w:val="3D05582A"/>
    <w:rsid w:val="3D945055"/>
    <w:rsid w:val="3E8409D1"/>
    <w:rsid w:val="3F6D76B7"/>
    <w:rsid w:val="3FA96941"/>
    <w:rsid w:val="41053A3E"/>
    <w:rsid w:val="412C2130"/>
    <w:rsid w:val="414A5F02"/>
    <w:rsid w:val="41C95079"/>
    <w:rsid w:val="42187DAE"/>
    <w:rsid w:val="4246491B"/>
    <w:rsid w:val="42530DE6"/>
    <w:rsid w:val="43135248"/>
    <w:rsid w:val="431F6F1A"/>
    <w:rsid w:val="434D3A87"/>
    <w:rsid w:val="43831A0C"/>
    <w:rsid w:val="43853221"/>
    <w:rsid w:val="44CE29A6"/>
    <w:rsid w:val="45525385"/>
    <w:rsid w:val="45605EFD"/>
    <w:rsid w:val="45745ACB"/>
    <w:rsid w:val="45FB5A1D"/>
    <w:rsid w:val="46026DAB"/>
    <w:rsid w:val="46517D32"/>
    <w:rsid w:val="486C4563"/>
    <w:rsid w:val="4876582E"/>
    <w:rsid w:val="49351245"/>
    <w:rsid w:val="49A563CB"/>
    <w:rsid w:val="49E52C6C"/>
    <w:rsid w:val="4A38723F"/>
    <w:rsid w:val="4AB97C54"/>
    <w:rsid w:val="4ABE526B"/>
    <w:rsid w:val="4AFF1B0B"/>
    <w:rsid w:val="4BF058F8"/>
    <w:rsid w:val="4C1B2975"/>
    <w:rsid w:val="4D186CA5"/>
    <w:rsid w:val="4D381304"/>
    <w:rsid w:val="4E090986"/>
    <w:rsid w:val="4E281A02"/>
    <w:rsid w:val="4FD572DE"/>
    <w:rsid w:val="51FF0643"/>
    <w:rsid w:val="52E71802"/>
    <w:rsid w:val="52F932E4"/>
    <w:rsid w:val="53FA7313"/>
    <w:rsid w:val="54AC551B"/>
    <w:rsid w:val="54E003C1"/>
    <w:rsid w:val="54ED6E78"/>
    <w:rsid w:val="54F8488B"/>
    <w:rsid w:val="55A95B7B"/>
    <w:rsid w:val="55B16B8E"/>
    <w:rsid w:val="55C7591B"/>
    <w:rsid w:val="56A96DCF"/>
    <w:rsid w:val="572D5C52"/>
    <w:rsid w:val="578D66F1"/>
    <w:rsid w:val="57E02CC4"/>
    <w:rsid w:val="582B5F72"/>
    <w:rsid w:val="58D832AA"/>
    <w:rsid w:val="599820F6"/>
    <w:rsid w:val="59C503C4"/>
    <w:rsid w:val="5A201A9E"/>
    <w:rsid w:val="5A511C57"/>
    <w:rsid w:val="5AF56A87"/>
    <w:rsid w:val="5AF96577"/>
    <w:rsid w:val="5B1851F5"/>
    <w:rsid w:val="5BD13050"/>
    <w:rsid w:val="5BE55528"/>
    <w:rsid w:val="5CF8460C"/>
    <w:rsid w:val="5E59557E"/>
    <w:rsid w:val="5E7E6D93"/>
    <w:rsid w:val="5EE94B54"/>
    <w:rsid w:val="5EFB03E4"/>
    <w:rsid w:val="5F0B35DE"/>
    <w:rsid w:val="5F7D11A0"/>
    <w:rsid w:val="5FC37153"/>
    <w:rsid w:val="5FD44EBD"/>
    <w:rsid w:val="60446DB8"/>
    <w:rsid w:val="604D4C6F"/>
    <w:rsid w:val="607448F1"/>
    <w:rsid w:val="612C1F82"/>
    <w:rsid w:val="61907509"/>
    <w:rsid w:val="61B07526"/>
    <w:rsid w:val="62024F58"/>
    <w:rsid w:val="62F31BF5"/>
    <w:rsid w:val="63DF2082"/>
    <w:rsid w:val="64CA4AE0"/>
    <w:rsid w:val="64E42046"/>
    <w:rsid w:val="65554CF2"/>
    <w:rsid w:val="655C7271"/>
    <w:rsid w:val="65A90B99"/>
    <w:rsid w:val="67240360"/>
    <w:rsid w:val="672F3320"/>
    <w:rsid w:val="674E1E9C"/>
    <w:rsid w:val="67E70CDD"/>
    <w:rsid w:val="694F1A58"/>
    <w:rsid w:val="695232F6"/>
    <w:rsid w:val="6962178B"/>
    <w:rsid w:val="6A1862EE"/>
    <w:rsid w:val="6B747BA4"/>
    <w:rsid w:val="6BAF4791"/>
    <w:rsid w:val="6BE24E05"/>
    <w:rsid w:val="6BEC5C84"/>
    <w:rsid w:val="6C1F1BB5"/>
    <w:rsid w:val="6C2D1DB5"/>
    <w:rsid w:val="6C727F37"/>
    <w:rsid w:val="6C9500C9"/>
    <w:rsid w:val="6D192AA9"/>
    <w:rsid w:val="6DC42A14"/>
    <w:rsid w:val="6DE94229"/>
    <w:rsid w:val="6E160D96"/>
    <w:rsid w:val="6E6715F2"/>
    <w:rsid w:val="6E7A33A4"/>
    <w:rsid w:val="6E906D9A"/>
    <w:rsid w:val="6EC407F2"/>
    <w:rsid w:val="6F323CD9"/>
    <w:rsid w:val="6FF84BF7"/>
    <w:rsid w:val="7004478D"/>
    <w:rsid w:val="703B4AE4"/>
    <w:rsid w:val="70587242"/>
    <w:rsid w:val="708E7A5F"/>
    <w:rsid w:val="70A03481"/>
    <w:rsid w:val="70EB650A"/>
    <w:rsid w:val="714B2E4D"/>
    <w:rsid w:val="718D5813"/>
    <w:rsid w:val="71A5490B"/>
    <w:rsid w:val="72BB3CBA"/>
    <w:rsid w:val="72C57EBA"/>
    <w:rsid w:val="72E15E16"/>
    <w:rsid w:val="73530396"/>
    <w:rsid w:val="73794539"/>
    <w:rsid w:val="73DE5EB2"/>
    <w:rsid w:val="74381A66"/>
    <w:rsid w:val="756D1BE3"/>
    <w:rsid w:val="75944206"/>
    <w:rsid w:val="7595241B"/>
    <w:rsid w:val="768216BE"/>
    <w:rsid w:val="76B15B00"/>
    <w:rsid w:val="77F708EA"/>
    <w:rsid w:val="7809333E"/>
    <w:rsid w:val="78275EF6"/>
    <w:rsid w:val="78BE4504"/>
    <w:rsid w:val="78D45AD6"/>
    <w:rsid w:val="78F341AE"/>
    <w:rsid w:val="7908577F"/>
    <w:rsid w:val="7A480529"/>
    <w:rsid w:val="7B114DBF"/>
    <w:rsid w:val="7B4E6013"/>
    <w:rsid w:val="7B73597D"/>
    <w:rsid w:val="7C2E374F"/>
    <w:rsid w:val="7C596A1E"/>
    <w:rsid w:val="7C703D67"/>
    <w:rsid w:val="7C7336AB"/>
    <w:rsid w:val="7D6065E3"/>
    <w:rsid w:val="7D621902"/>
    <w:rsid w:val="7D87580C"/>
    <w:rsid w:val="7DD345AE"/>
    <w:rsid w:val="7DDF2F52"/>
    <w:rsid w:val="7EB75C7D"/>
    <w:rsid w:val="7EF020BD"/>
    <w:rsid w:val="7F030EC3"/>
    <w:rsid w:val="7F196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65"/>
      <w:ind w:left="337"/>
    </w:pPr>
    <w:rPr>
      <w:rFonts w:ascii="宋体" w:hAnsi="宋体" w:eastAsia="宋体" w:cs="宋体"/>
      <w:sz w:val="28"/>
      <w:szCs w:val="28"/>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basedOn w:val="13"/>
    <w:next w:val="1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Normal_1_0"/>
    <w:qFormat/>
    <w:uiPriority w:val="0"/>
    <w:pPr>
      <w:widowControl w:val="0"/>
      <w:jc w:val="both"/>
    </w:pPr>
    <w:rPr>
      <w:rFonts w:ascii="Calibri" w:hAnsi="Calibri" w:eastAsia="Times New Roman" w:cs="Times New Roman"/>
      <w:sz w:val="21"/>
      <w:szCs w:val="24"/>
      <w:lang w:val="en-US" w:eastAsia="zh-CN"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8470</Words>
  <Characters>8882</Characters>
  <TotalTime>155</TotalTime>
  <ScaleCrop>false</ScaleCrop>
  <LinksUpToDate>false</LinksUpToDate>
  <CharactersWithSpaces>9148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湖北公力工程咨询卫</cp:lastModifiedBy>
  <cp:lastPrinted>2024-10-08T06:15:00Z</cp:lastPrinted>
  <dcterms:modified xsi:type="dcterms:W3CDTF">2025-09-10T07:18:51Z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2052-12.1.0.22529</vt:lpwstr>
  </property>
  <property fmtid="{D5CDD505-2E9C-101B-9397-08002B2CF9AE}" pid="6" name="ICV">
    <vt:lpwstr>0D5873A60B364F2094B56DE406E391D2_13</vt:lpwstr>
  </property>
  <property fmtid="{D5CDD505-2E9C-101B-9397-08002B2CF9AE}" pid="7" name="KSOTemplateDocerSaveRecord">
    <vt:lpwstr>eyJoZGlkIjoiZjkzNjlkODkyYjBkOWFjZmI2YTgyODdlYzdlNjZkZmMiLCJ1c2VySWQiOiI5ODY4NjgwMTMifQ==</vt:lpwstr>
  </property>
</Properties>
</file>