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topLinePunct w:val="0"/>
        <w:bidi w:val="0"/>
        <w:spacing w:line="400" w:lineRule="exact"/>
        <w:ind w:firstLine="294" w:firstLineChars="150"/>
        <w:textAlignment w:val="auto"/>
        <w:rPr>
          <w:rFonts w:hint="eastAsia" w:ascii="宋体" w:hAnsi="宋体" w:eastAsia="宋体" w:cs="宋体"/>
          <w:b/>
          <w:color w:val="auto"/>
          <w:spacing w:val="-10"/>
          <w:w w:val="90"/>
          <w:sz w:val="24"/>
          <w:szCs w:val="24"/>
        </w:rPr>
      </w:pPr>
    </w:p>
    <w:p>
      <w:pPr>
        <w:keepLines w:val="0"/>
        <w:pageBreakBefore w:val="0"/>
        <w:kinsoku/>
        <w:topLinePunct w:val="0"/>
        <w:bidi w:val="0"/>
        <w:spacing w:line="480" w:lineRule="auto"/>
        <w:jc w:val="center"/>
        <w:textAlignment w:val="auto"/>
        <w:outlineLvl w:val="9"/>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金湖街道四斗粮村变电站公路两边安装路灯及绿化工程</w:t>
      </w:r>
    </w:p>
    <w:p>
      <w:pPr>
        <w:pStyle w:val="2"/>
        <w:spacing w:line="480" w:lineRule="auto"/>
        <w:outlineLvl w:val="9"/>
        <w:rPr>
          <w:rFonts w:hint="eastAsia" w:ascii="宋体" w:hAnsi="宋体" w:eastAsia="宋体" w:cs="宋体"/>
          <w:b/>
          <w:bCs/>
          <w:color w:val="auto"/>
          <w:sz w:val="48"/>
          <w:szCs w:val="48"/>
          <w:lang w:eastAsia="zh-CN"/>
        </w:rPr>
      </w:pPr>
    </w:p>
    <w:p>
      <w:pPr>
        <w:spacing w:line="480" w:lineRule="auto"/>
        <w:outlineLvl w:val="9"/>
        <w:rPr>
          <w:rFonts w:hint="eastAsia"/>
          <w:sz w:val="22"/>
          <w:szCs w:val="28"/>
          <w:lang w:eastAsia="zh-CN"/>
        </w:rPr>
      </w:pPr>
    </w:p>
    <w:p>
      <w:pPr>
        <w:keepLines w:val="0"/>
        <w:pageBreakBefore w:val="0"/>
        <w:kinsoku/>
        <w:topLinePunct w:val="0"/>
        <w:bidi w:val="0"/>
        <w:spacing w:line="480" w:lineRule="auto"/>
        <w:jc w:val="center"/>
        <w:textAlignment w:val="auto"/>
        <w:outlineLvl w:val="9"/>
        <w:rPr>
          <w:rFonts w:hint="eastAsia" w:ascii="宋体" w:hAnsi="宋体" w:eastAsia="宋体" w:cs="宋体"/>
          <w:b/>
          <w:color w:val="auto"/>
          <w:sz w:val="52"/>
          <w:szCs w:val="52"/>
        </w:rPr>
      </w:pPr>
      <w:r>
        <w:rPr>
          <w:rFonts w:hint="eastAsia" w:ascii="宋体" w:hAnsi="宋体" w:eastAsia="宋体" w:cs="宋体"/>
          <w:b/>
          <w:color w:val="auto"/>
          <w:sz w:val="52"/>
          <w:szCs w:val="52"/>
        </w:rPr>
        <w:t>竞</w:t>
      </w:r>
    </w:p>
    <w:p>
      <w:pPr>
        <w:keepLines w:val="0"/>
        <w:pageBreakBefore w:val="0"/>
        <w:kinsoku/>
        <w:topLinePunct w:val="0"/>
        <w:bidi w:val="0"/>
        <w:spacing w:line="480" w:lineRule="auto"/>
        <w:jc w:val="center"/>
        <w:textAlignment w:val="auto"/>
        <w:outlineLvl w:val="9"/>
        <w:rPr>
          <w:rFonts w:hint="eastAsia" w:ascii="宋体" w:hAnsi="宋体" w:eastAsia="宋体" w:cs="宋体"/>
          <w:b/>
          <w:color w:val="auto"/>
          <w:sz w:val="52"/>
          <w:szCs w:val="52"/>
        </w:rPr>
      </w:pPr>
      <w:r>
        <w:rPr>
          <w:rFonts w:hint="eastAsia" w:ascii="宋体" w:hAnsi="宋体" w:eastAsia="宋体" w:cs="宋体"/>
          <w:b/>
          <w:color w:val="auto"/>
          <w:sz w:val="52"/>
          <w:szCs w:val="52"/>
        </w:rPr>
        <w:t>争</w:t>
      </w:r>
    </w:p>
    <w:p>
      <w:pPr>
        <w:keepLines w:val="0"/>
        <w:pageBreakBefore w:val="0"/>
        <w:kinsoku/>
        <w:topLinePunct w:val="0"/>
        <w:bidi w:val="0"/>
        <w:spacing w:line="480" w:lineRule="auto"/>
        <w:jc w:val="center"/>
        <w:textAlignment w:val="auto"/>
        <w:outlineLvl w:val="9"/>
        <w:rPr>
          <w:rFonts w:hint="eastAsia" w:ascii="宋体" w:hAnsi="宋体" w:eastAsia="宋体" w:cs="宋体"/>
          <w:b/>
          <w:color w:val="auto"/>
          <w:sz w:val="52"/>
          <w:szCs w:val="52"/>
        </w:rPr>
      </w:pPr>
      <w:r>
        <w:rPr>
          <w:rFonts w:hint="eastAsia" w:ascii="宋体" w:hAnsi="宋体" w:eastAsia="宋体" w:cs="宋体"/>
          <w:b/>
          <w:color w:val="auto"/>
          <w:sz w:val="52"/>
          <w:szCs w:val="52"/>
        </w:rPr>
        <w:t>性</w:t>
      </w:r>
    </w:p>
    <w:p>
      <w:pPr>
        <w:keepLines w:val="0"/>
        <w:pageBreakBefore w:val="0"/>
        <w:kinsoku/>
        <w:topLinePunct w:val="0"/>
        <w:bidi w:val="0"/>
        <w:spacing w:line="480" w:lineRule="auto"/>
        <w:jc w:val="center"/>
        <w:textAlignment w:val="auto"/>
        <w:outlineLvl w:val="9"/>
        <w:rPr>
          <w:rFonts w:hint="eastAsia" w:ascii="宋体" w:hAnsi="宋体" w:eastAsia="宋体" w:cs="宋体"/>
          <w:b/>
          <w:color w:val="auto"/>
          <w:sz w:val="52"/>
          <w:szCs w:val="52"/>
        </w:rPr>
      </w:pPr>
      <w:r>
        <w:rPr>
          <w:rFonts w:hint="eastAsia" w:ascii="宋体" w:hAnsi="宋体" w:eastAsia="宋体" w:cs="宋体"/>
          <w:b/>
          <w:color w:val="auto"/>
          <w:sz w:val="52"/>
          <w:szCs w:val="52"/>
        </w:rPr>
        <w:t>谈</w:t>
      </w:r>
    </w:p>
    <w:p>
      <w:pPr>
        <w:keepLines w:val="0"/>
        <w:pageBreakBefore w:val="0"/>
        <w:kinsoku/>
        <w:topLinePunct w:val="0"/>
        <w:bidi w:val="0"/>
        <w:spacing w:line="480" w:lineRule="auto"/>
        <w:jc w:val="center"/>
        <w:textAlignment w:val="auto"/>
        <w:outlineLvl w:val="9"/>
        <w:rPr>
          <w:rFonts w:hint="eastAsia" w:ascii="宋体" w:hAnsi="宋体" w:eastAsia="宋体" w:cs="宋体"/>
          <w:b/>
          <w:color w:val="auto"/>
          <w:sz w:val="52"/>
          <w:szCs w:val="52"/>
        </w:rPr>
      </w:pPr>
      <w:r>
        <w:rPr>
          <w:rFonts w:hint="eastAsia" w:ascii="宋体" w:hAnsi="宋体" w:eastAsia="宋体" w:cs="宋体"/>
          <w:b/>
          <w:color w:val="auto"/>
          <w:sz w:val="52"/>
          <w:szCs w:val="52"/>
        </w:rPr>
        <w:t>判</w:t>
      </w:r>
    </w:p>
    <w:p>
      <w:pPr>
        <w:keepLines w:val="0"/>
        <w:pageBreakBefore w:val="0"/>
        <w:kinsoku/>
        <w:topLinePunct w:val="0"/>
        <w:bidi w:val="0"/>
        <w:spacing w:line="480" w:lineRule="auto"/>
        <w:jc w:val="center"/>
        <w:textAlignment w:val="auto"/>
        <w:outlineLvl w:val="9"/>
        <w:rPr>
          <w:rFonts w:hint="eastAsia" w:ascii="宋体" w:hAnsi="宋体" w:eastAsia="宋体" w:cs="宋体"/>
          <w:b/>
          <w:color w:val="auto"/>
          <w:sz w:val="52"/>
          <w:szCs w:val="52"/>
        </w:rPr>
      </w:pPr>
      <w:r>
        <w:rPr>
          <w:rFonts w:hint="eastAsia" w:ascii="宋体" w:hAnsi="宋体" w:eastAsia="宋体" w:cs="宋体"/>
          <w:b/>
          <w:color w:val="auto"/>
          <w:sz w:val="52"/>
          <w:szCs w:val="52"/>
        </w:rPr>
        <w:t>文</w:t>
      </w:r>
    </w:p>
    <w:p>
      <w:pPr>
        <w:keepLines w:val="0"/>
        <w:pageBreakBefore w:val="0"/>
        <w:kinsoku/>
        <w:topLinePunct w:val="0"/>
        <w:bidi w:val="0"/>
        <w:spacing w:afterLines="200" w:line="480" w:lineRule="auto"/>
        <w:jc w:val="center"/>
        <w:textAlignment w:val="auto"/>
        <w:outlineLvl w:val="9"/>
        <w:rPr>
          <w:rFonts w:hint="eastAsia" w:ascii="宋体" w:hAnsi="宋体" w:eastAsia="宋体" w:cs="宋体"/>
          <w:b/>
          <w:color w:val="auto"/>
          <w:sz w:val="52"/>
          <w:szCs w:val="52"/>
        </w:rPr>
      </w:pPr>
      <w:r>
        <w:rPr>
          <w:rFonts w:hint="eastAsia" w:ascii="宋体" w:hAnsi="宋体" w:eastAsia="宋体" w:cs="宋体"/>
          <w:b/>
          <w:color w:val="auto"/>
          <w:sz w:val="52"/>
          <w:szCs w:val="52"/>
        </w:rPr>
        <w:t>件</w:t>
      </w:r>
    </w:p>
    <w:p>
      <w:pPr>
        <w:outlineLvl w:val="9"/>
        <w:rPr>
          <w:rFonts w:hint="eastAsia"/>
        </w:rPr>
      </w:pPr>
    </w:p>
    <w:p>
      <w:pPr>
        <w:pStyle w:val="20"/>
        <w:keepLines w:val="0"/>
        <w:pageBreakBefore w:val="0"/>
        <w:kinsoku/>
        <w:topLinePunct w:val="0"/>
        <w:bidi w:val="0"/>
        <w:spacing w:line="480" w:lineRule="auto"/>
        <w:ind w:firstLine="640" w:firstLineChars="200"/>
        <w:jc w:val="left"/>
        <w:textAlignment w:val="auto"/>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rPr>
        <w:t>项目编</w:t>
      </w:r>
      <w:r>
        <w:rPr>
          <w:rFonts w:hint="eastAsia" w:ascii="宋体" w:hAnsi="宋体" w:eastAsia="宋体" w:cs="宋体"/>
          <w:b/>
          <w:color w:val="auto"/>
          <w:sz w:val="32"/>
          <w:szCs w:val="32"/>
          <w:highlight w:val="none"/>
        </w:rPr>
        <w:t>号：</w:t>
      </w:r>
      <w:r>
        <w:rPr>
          <w:rFonts w:hint="eastAsia" w:ascii="宋体" w:hAnsi="宋体" w:eastAsia="宋体" w:cs="宋体"/>
          <w:b/>
          <w:color w:val="auto"/>
          <w:sz w:val="32"/>
          <w:szCs w:val="32"/>
          <w:highlight w:val="none"/>
          <w:lang w:val="en-US" w:eastAsia="zh-CN"/>
        </w:rPr>
        <w:t>冶农招【2024】039号</w:t>
      </w:r>
    </w:p>
    <w:p>
      <w:pPr>
        <w:pStyle w:val="20"/>
        <w:keepLines w:val="0"/>
        <w:pageBreakBefore w:val="0"/>
        <w:kinsoku/>
        <w:topLinePunct w:val="0"/>
        <w:bidi w:val="0"/>
        <w:spacing w:line="480" w:lineRule="auto"/>
        <w:ind w:firstLine="640" w:firstLineChars="200"/>
        <w:jc w:val="both"/>
        <w:textAlignment w:val="auto"/>
        <w:outlineLvl w:val="9"/>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采</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购</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人：</w:t>
      </w:r>
      <w:r>
        <w:rPr>
          <w:rFonts w:hint="eastAsia" w:ascii="宋体" w:hAnsi="宋体" w:eastAsia="宋体" w:cs="宋体"/>
          <w:b/>
          <w:color w:val="auto"/>
          <w:sz w:val="32"/>
          <w:szCs w:val="32"/>
          <w:lang w:eastAsia="zh-CN"/>
        </w:rPr>
        <w:t>大冶市金湖街道办事处四斗粮村村民委员会</w:t>
      </w:r>
    </w:p>
    <w:p>
      <w:pPr>
        <w:pStyle w:val="20"/>
        <w:keepLines w:val="0"/>
        <w:pageBreakBefore w:val="0"/>
        <w:kinsoku/>
        <w:topLinePunct w:val="0"/>
        <w:bidi w:val="0"/>
        <w:spacing w:line="480" w:lineRule="auto"/>
        <w:ind w:firstLine="640" w:firstLineChars="200"/>
        <w:jc w:val="both"/>
        <w:textAlignment w:val="auto"/>
        <w:outlineLvl w:val="9"/>
        <w:rPr>
          <w:rFonts w:hint="eastAsia" w:ascii="宋体" w:hAnsi="宋体" w:eastAsia="宋体" w:cs="宋体"/>
          <w:b/>
          <w:color w:val="auto"/>
          <w:sz w:val="36"/>
          <w:szCs w:val="36"/>
        </w:rPr>
      </w:pPr>
      <w:r>
        <w:rPr>
          <w:rFonts w:hint="eastAsia" w:ascii="宋体" w:hAnsi="宋体" w:eastAsia="宋体" w:cs="宋体"/>
          <w:b/>
          <w:color w:val="auto"/>
          <w:sz w:val="32"/>
          <w:szCs w:val="32"/>
        </w:rPr>
        <w:t>代理机构：</w:t>
      </w:r>
      <w:r>
        <w:rPr>
          <w:rFonts w:hint="eastAsia" w:ascii="宋体" w:hAnsi="宋体" w:eastAsia="宋体" w:cs="宋体"/>
          <w:b/>
          <w:color w:val="auto"/>
          <w:sz w:val="32"/>
          <w:szCs w:val="32"/>
          <w:lang w:eastAsia="zh-CN"/>
        </w:rPr>
        <w:t>黄石绿洲项目管理咨询有限公司</w:t>
      </w:r>
    </w:p>
    <w:p>
      <w:pPr>
        <w:pStyle w:val="20"/>
        <w:keepLines w:val="0"/>
        <w:pageBreakBefore w:val="0"/>
        <w:kinsoku/>
        <w:topLinePunct w:val="0"/>
        <w:bidi w:val="0"/>
        <w:spacing w:line="480" w:lineRule="auto"/>
        <w:jc w:val="center"/>
        <w:textAlignment w:val="auto"/>
        <w:outlineLvl w:val="9"/>
        <w:rPr>
          <w:rFonts w:hint="eastAsia" w:ascii="宋体" w:hAnsi="宋体" w:eastAsia="宋体" w:cs="宋体"/>
          <w:b/>
          <w:color w:val="auto"/>
          <w:sz w:val="36"/>
          <w:szCs w:val="36"/>
          <w:lang w:eastAsia="zh-CN"/>
        </w:rPr>
      </w:pPr>
      <w:r>
        <w:rPr>
          <w:rFonts w:hint="eastAsia" w:ascii="宋体" w:hAnsi="宋体" w:eastAsia="宋体" w:cs="宋体"/>
          <w:b/>
          <w:color w:val="auto"/>
          <w:sz w:val="32"/>
          <w:szCs w:val="32"/>
          <w:lang w:eastAsia="zh-CN"/>
        </w:rPr>
        <w:t>2024</w:t>
      </w:r>
      <w:r>
        <w:rPr>
          <w:rFonts w:hint="eastAsia" w:ascii="宋体" w:hAnsi="宋体" w:eastAsia="宋体" w:cs="宋体"/>
          <w:b/>
          <w:color w:val="auto"/>
          <w:sz w:val="32"/>
          <w:szCs w:val="32"/>
        </w:rPr>
        <w:t>年</w:t>
      </w:r>
      <w:r>
        <w:rPr>
          <w:rFonts w:hint="eastAsia" w:hAnsi="宋体" w:cs="宋体"/>
          <w:b/>
          <w:color w:val="auto"/>
          <w:sz w:val="32"/>
          <w:szCs w:val="32"/>
          <w:lang w:val="en-US" w:eastAsia="zh-CN"/>
        </w:rPr>
        <w:t>6</w:t>
      </w:r>
      <w:r>
        <w:rPr>
          <w:rFonts w:hint="eastAsia" w:ascii="宋体" w:hAnsi="宋体" w:eastAsia="宋体" w:cs="宋体"/>
          <w:b/>
          <w:color w:val="auto"/>
          <w:sz w:val="32"/>
          <w:szCs w:val="32"/>
          <w:lang w:eastAsia="zh-CN"/>
        </w:rPr>
        <w:t>月</w:t>
      </w:r>
    </w:p>
    <w:p>
      <w:pPr>
        <w:keepLines w:val="0"/>
        <w:pageBreakBefore w:val="0"/>
        <w:kinsoku/>
        <w:topLinePunct w:val="0"/>
        <w:bidi w:val="0"/>
        <w:spacing w:line="48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keepLines w:val="0"/>
        <w:pageBreakBefore w:val="0"/>
        <w:kinsoku/>
        <w:topLinePunct w:val="0"/>
        <w:bidi w:val="0"/>
        <w:spacing w:line="480" w:lineRule="auto"/>
        <w:jc w:val="center"/>
        <w:textAlignment w:val="auto"/>
        <w:rPr>
          <w:rFonts w:hint="eastAsia" w:ascii="宋体" w:hAnsi="宋体" w:eastAsia="宋体" w:cs="宋体"/>
          <w:b/>
          <w:color w:val="auto"/>
          <w:sz w:val="24"/>
          <w:szCs w:val="24"/>
        </w:rPr>
        <w:sectPr>
          <w:headerReference r:id="rId3" w:type="default"/>
          <w:pgSz w:w="11906" w:h="16838"/>
          <w:pgMar w:top="1247" w:right="1588" w:bottom="1440" w:left="1474" w:header="851" w:footer="992" w:gutter="0"/>
          <w:pgNumType w:fmt="decimal"/>
          <w:cols w:space="720" w:num="1"/>
          <w:docGrid w:type="linesAndChars" w:linePitch="312" w:charSpace="0"/>
        </w:sectPr>
      </w:pPr>
    </w:p>
    <w:p>
      <w:pPr>
        <w:keepLines w:val="0"/>
        <w:pageBreakBefore w:val="0"/>
        <w:kinsoku/>
        <w:topLinePunct w:val="0"/>
        <w:bidi w:val="0"/>
        <w:spacing w:line="400" w:lineRule="exact"/>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pPr>
        <w:keepLines w:val="0"/>
        <w:pageBreakBefore w:val="0"/>
        <w:kinsoku/>
        <w:topLinePunct w:val="0"/>
        <w:bidi w:val="0"/>
        <w:spacing w:line="400" w:lineRule="exact"/>
        <w:jc w:val="center"/>
        <w:textAlignment w:val="auto"/>
        <w:rPr>
          <w:rFonts w:hint="eastAsia" w:ascii="宋体" w:hAnsi="宋体" w:eastAsia="宋体" w:cs="宋体"/>
          <w:color w:val="auto"/>
          <w:sz w:val="32"/>
          <w:szCs w:val="32"/>
        </w:rPr>
      </w:pPr>
    </w:p>
    <w:sdt>
      <w:sdtPr>
        <w:rPr>
          <w:rFonts w:ascii="宋体" w:hAnsi="宋体" w:eastAsia="宋体" w:cs="Times New Roman"/>
          <w:kern w:val="2"/>
          <w:sz w:val="21"/>
          <w:szCs w:val="24"/>
          <w:lang w:val="en-US" w:eastAsia="zh-CN" w:bidi="ar-SA"/>
        </w:rPr>
        <w:id w:val="147477082"/>
        <w15:color w:val="DBDBDB"/>
        <w:docPartObj>
          <w:docPartGallery w:val="Table of Contents"/>
          <w:docPartUnique/>
        </w:docPartObj>
      </w:sdtPr>
      <w:sdtEndPr>
        <w:rPr>
          <w:rFonts w:hint="eastAsia" w:ascii="宋体" w:hAnsi="宋体" w:eastAsia="宋体" w:cs="宋体"/>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5"/>
            <w:tabs>
              <w:tab w:val="right" w:leader="dot" w:pos="9298"/>
              <w:tab w:val="clear" w:pos="9061"/>
            </w:tabs>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TOC \o "1-1" \h \u </w:instrText>
          </w:r>
          <w:r>
            <w:rPr>
              <w:rFonts w:hint="eastAsia" w:ascii="宋体" w:hAnsi="宋体" w:eastAsia="宋体" w:cs="宋体"/>
              <w:b/>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_Toc28640 </w:instrText>
          </w:r>
          <w:r>
            <w:rPr>
              <w:rFonts w:hint="eastAsia" w:ascii="宋体" w:hAnsi="宋体" w:eastAsia="宋体" w:cs="宋体"/>
              <w:szCs w:val="24"/>
            </w:rPr>
            <w:fldChar w:fldCharType="separate"/>
          </w:r>
          <w:r>
            <w:rPr>
              <w:rFonts w:hint="eastAsia" w:ascii="宋体" w:hAnsi="宋体" w:eastAsia="宋体" w:cs="宋体"/>
              <w:szCs w:val="24"/>
              <w:highlight w:val="none"/>
            </w:rPr>
            <w:t>第一章 谈判公告</w:t>
          </w:r>
          <w:r>
            <w:tab/>
          </w:r>
          <w:r>
            <w:fldChar w:fldCharType="begin"/>
          </w:r>
          <w:r>
            <w:instrText xml:space="preserve"> PAGEREF _Toc28640 \h </w:instrText>
          </w:r>
          <w:r>
            <w:fldChar w:fldCharType="separate"/>
          </w:r>
          <w:r>
            <w:t>1</w:t>
          </w:r>
          <w:r>
            <w:fldChar w:fldCharType="end"/>
          </w:r>
          <w:r>
            <w:rPr>
              <w:rFonts w:hint="eastAsia" w:ascii="宋体" w:hAnsi="宋体" w:eastAsia="宋体" w:cs="宋体"/>
              <w:color w:val="auto"/>
              <w:szCs w:val="24"/>
            </w:rPr>
            <w:fldChar w:fldCharType="end"/>
          </w:r>
        </w:p>
        <w:p>
          <w:pPr>
            <w:pStyle w:val="25"/>
            <w:tabs>
              <w:tab w:val="right" w:leader="dot" w:pos="9298"/>
              <w:tab w:val="clear" w:pos="9061"/>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_Toc10305 </w:instrText>
          </w:r>
          <w:r>
            <w:rPr>
              <w:rFonts w:hint="eastAsia" w:ascii="宋体" w:hAnsi="宋体" w:eastAsia="宋体" w:cs="宋体"/>
              <w:szCs w:val="24"/>
            </w:rPr>
            <w:fldChar w:fldCharType="separate"/>
          </w:r>
          <w:r>
            <w:rPr>
              <w:rFonts w:hint="eastAsia" w:ascii="宋体" w:hAnsi="宋体" w:eastAsia="宋体" w:cs="宋体"/>
              <w:szCs w:val="24"/>
            </w:rPr>
            <w:t>第二章</w:t>
          </w:r>
          <w:r>
            <w:rPr>
              <w:rFonts w:hint="eastAsia" w:ascii="宋体" w:hAnsi="宋体" w:eastAsia="宋体" w:cs="宋体"/>
              <w:szCs w:val="24"/>
              <w:lang w:val="en-US" w:eastAsia="zh-CN"/>
            </w:rPr>
            <w:t xml:space="preserve"> </w:t>
          </w:r>
          <w:r>
            <w:rPr>
              <w:rFonts w:hint="eastAsia" w:ascii="宋体" w:hAnsi="宋体" w:eastAsia="宋体" w:cs="宋体"/>
              <w:szCs w:val="24"/>
            </w:rPr>
            <w:t>谈判须知</w:t>
          </w:r>
          <w:r>
            <w:tab/>
          </w:r>
          <w:r>
            <w:fldChar w:fldCharType="begin"/>
          </w:r>
          <w:r>
            <w:instrText xml:space="preserve"> PAGEREF _Toc10305 \h </w:instrText>
          </w:r>
          <w:r>
            <w:fldChar w:fldCharType="separate"/>
          </w:r>
          <w:r>
            <w:t>3</w:t>
          </w:r>
          <w:r>
            <w:fldChar w:fldCharType="end"/>
          </w:r>
          <w:r>
            <w:rPr>
              <w:rFonts w:hint="eastAsia" w:ascii="宋体" w:hAnsi="宋体" w:eastAsia="宋体" w:cs="宋体"/>
              <w:color w:val="auto"/>
              <w:szCs w:val="24"/>
            </w:rPr>
            <w:fldChar w:fldCharType="end"/>
          </w:r>
        </w:p>
        <w:p>
          <w:pPr>
            <w:pStyle w:val="25"/>
            <w:tabs>
              <w:tab w:val="right" w:leader="dot" w:pos="9298"/>
              <w:tab w:val="clear" w:pos="9061"/>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_Toc1275 </w:instrText>
          </w:r>
          <w:r>
            <w:rPr>
              <w:rFonts w:hint="eastAsia" w:ascii="宋体" w:hAnsi="宋体" w:eastAsia="宋体" w:cs="宋体"/>
              <w:szCs w:val="24"/>
            </w:rPr>
            <w:fldChar w:fldCharType="separate"/>
          </w:r>
          <w:r>
            <w:rPr>
              <w:rFonts w:hint="eastAsia" w:ascii="宋体" w:hAnsi="宋体" w:eastAsia="宋体" w:cs="宋体"/>
              <w:szCs w:val="24"/>
            </w:rPr>
            <w:t>第三章</w:t>
          </w:r>
          <w:r>
            <w:rPr>
              <w:rFonts w:hint="eastAsia" w:ascii="宋体" w:hAnsi="宋体" w:eastAsia="宋体" w:cs="宋体"/>
              <w:szCs w:val="24"/>
              <w:lang w:val="en-US" w:eastAsia="zh-CN"/>
            </w:rPr>
            <w:t xml:space="preserve"> </w:t>
          </w:r>
          <w:r>
            <w:rPr>
              <w:rFonts w:hint="eastAsia" w:ascii="宋体" w:hAnsi="宋体" w:eastAsia="宋体" w:cs="宋体"/>
              <w:szCs w:val="24"/>
            </w:rPr>
            <w:t>采购项目技术规格、参数及要求</w:t>
          </w:r>
          <w:r>
            <w:tab/>
          </w:r>
          <w:r>
            <w:fldChar w:fldCharType="begin"/>
          </w:r>
          <w:r>
            <w:instrText xml:space="preserve"> PAGEREF _Toc1275 \h </w:instrText>
          </w:r>
          <w:r>
            <w:fldChar w:fldCharType="separate"/>
          </w:r>
          <w:r>
            <w:t>8</w:t>
          </w:r>
          <w:r>
            <w:fldChar w:fldCharType="end"/>
          </w:r>
          <w:r>
            <w:rPr>
              <w:rFonts w:hint="eastAsia" w:ascii="宋体" w:hAnsi="宋体" w:eastAsia="宋体" w:cs="宋体"/>
              <w:color w:val="auto"/>
              <w:szCs w:val="24"/>
            </w:rPr>
            <w:fldChar w:fldCharType="end"/>
          </w:r>
        </w:p>
        <w:p>
          <w:pPr>
            <w:pStyle w:val="25"/>
            <w:tabs>
              <w:tab w:val="right" w:leader="dot" w:pos="9298"/>
              <w:tab w:val="clear" w:pos="9061"/>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_Toc11754 </w:instrText>
          </w:r>
          <w:r>
            <w:rPr>
              <w:rFonts w:hint="eastAsia" w:ascii="宋体" w:hAnsi="宋体" w:eastAsia="宋体" w:cs="宋体"/>
              <w:szCs w:val="24"/>
            </w:rPr>
            <w:fldChar w:fldCharType="separate"/>
          </w:r>
          <w:r>
            <w:rPr>
              <w:rFonts w:hint="eastAsia" w:ascii="宋体" w:hAnsi="宋体" w:eastAsia="宋体" w:cs="宋体"/>
              <w:szCs w:val="24"/>
            </w:rPr>
            <w:t>第四章 附表</w:t>
          </w:r>
          <w:r>
            <w:tab/>
          </w:r>
          <w:r>
            <w:fldChar w:fldCharType="begin"/>
          </w:r>
          <w:r>
            <w:instrText xml:space="preserve"> PAGEREF _Toc11754 \h </w:instrText>
          </w:r>
          <w:r>
            <w:fldChar w:fldCharType="separate"/>
          </w:r>
          <w:r>
            <w:t>9</w:t>
          </w:r>
          <w:r>
            <w:fldChar w:fldCharType="end"/>
          </w:r>
          <w:r>
            <w:rPr>
              <w:rFonts w:hint="eastAsia" w:ascii="宋体" w:hAnsi="宋体" w:eastAsia="宋体" w:cs="宋体"/>
              <w:color w:val="auto"/>
              <w:szCs w:val="24"/>
            </w:rPr>
            <w:fldChar w:fldCharType="end"/>
          </w:r>
        </w:p>
        <w:p>
          <w:pPr>
            <w:pStyle w:val="25"/>
            <w:tabs>
              <w:tab w:val="right" w:leader="dot" w:pos="9298"/>
              <w:tab w:val="clear" w:pos="9061"/>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_Toc17340 </w:instrText>
          </w:r>
          <w:r>
            <w:rPr>
              <w:rFonts w:hint="eastAsia" w:ascii="宋体" w:hAnsi="宋体" w:eastAsia="宋体" w:cs="宋体"/>
              <w:szCs w:val="24"/>
            </w:rPr>
            <w:fldChar w:fldCharType="separate"/>
          </w:r>
          <w:r>
            <w:rPr>
              <w:rFonts w:hint="eastAsia" w:ascii="宋体" w:hAnsi="宋体" w:eastAsia="宋体" w:cs="宋体"/>
              <w:szCs w:val="24"/>
            </w:rPr>
            <w:t>第五章 资格后审证明文件</w:t>
          </w:r>
          <w:r>
            <w:tab/>
          </w:r>
          <w:r>
            <w:fldChar w:fldCharType="begin"/>
          </w:r>
          <w:r>
            <w:instrText xml:space="preserve"> PAGEREF _Toc17340 \h </w:instrText>
          </w:r>
          <w:r>
            <w:fldChar w:fldCharType="separate"/>
          </w:r>
          <w:r>
            <w:t>35</w:t>
          </w:r>
          <w:r>
            <w:fldChar w:fldCharType="end"/>
          </w:r>
          <w:r>
            <w:rPr>
              <w:rFonts w:hint="eastAsia" w:ascii="宋体" w:hAnsi="宋体" w:eastAsia="宋体" w:cs="宋体"/>
              <w:color w:val="auto"/>
              <w:szCs w:val="24"/>
            </w:rPr>
            <w:fldChar w:fldCharType="end"/>
          </w: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color w:val="auto"/>
              <w:szCs w:val="24"/>
            </w:rPr>
            <w:fldChar w:fldCharType="end"/>
          </w:r>
        </w:p>
      </w:sdtContent>
    </w:sdt>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p>
    <w:p>
      <w:pPr>
        <w:pStyle w:val="16"/>
        <w:keepLines w:val="0"/>
        <w:pageBreakBefore w:val="0"/>
        <w:kinsoku/>
        <w:topLinePunct w:val="0"/>
        <w:bidi w:val="0"/>
        <w:spacing w:line="400" w:lineRule="exact"/>
        <w:ind w:left="63" w:right="63"/>
        <w:textAlignment w:val="auto"/>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4"/>
          <w:szCs w:val="24"/>
          <w:highlight w:val="none"/>
        </w:rPr>
        <w:sectPr>
          <w:footerReference r:id="rId4" w:type="default"/>
          <w:pgSz w:w="11906" w:h="16838"/>
          <w:pgMar w:top="1247" w:right="1304" w:bottom="1440" w:left="1304" w:header="851" w:footer="992" w:gutter="0"/>
          <w:pgNumType w:fmt="decimal" w:start="1"/>
          <w:cols w:space="720" w:num="1"/>
          <w:docGrid w:type="linesAndChars" w:linePitch="312" w:charSpace="0"/>
        </w:sectPr>
      </w:pPr>
    </w:p>
    <w:p>
      <w:pPr>
        <w:keepNext w:val="0"/>
        <w:keepLines w:val="0"/>
        <w:pageBreakBefore w:val="0"/>
        <w:widowControl w:val="0"/>
        <w:kinsoku/>
        <w:overflowPunct/>
        <w:topLinePunct w:val="0"/>
        <w:autoSpaceDE/>
        <w:autoSpaceDN/>
        <w:bidi w:val="0"/>
        <w:adjustRightInd/>
        <w:snapToGrid/>
        <w:spacing w:line="400" w:lineRule="exact"/>
        <w:jc w:val="center"/>
        <w:textAlignment w:val="auto"/>
        <w:outlineLvl w:val="0"/>
        <w:rPr>
          <w:rFonts w:hint="eastAsia" w:ascii="宋体" w:hAnsi="宋体" w:eastAsia="宋体" w:cs="宋体"/>
          <w:b/>
          <w:color w:val="auto"/>
          <w:sz w:val="28"/>
          <w:szCs w:val="28"/>
          <w:highlight w:val="none"/>
        </w:rPr>
      </w:pPr>
      <w:bookmarkStart w:id="0" w:name="_Toc28640"/>
      <w:r>
        <w:rPr>
          <w:rFonts w:hint="eastAsia" w:ascii="宋体" w:hAnsi="宋体" w:eastAsia="宋体" w:cs="宋体"/>
          <w:b/>
          <w:color w:val="auto"/>
          <w:sz w:val="28"/>
          <w:szCs w:val="28"/>
          <w:highlight w:val="none"/>
        </w:rPr>
        <w:t>第一章 谈判公告</w:t>
      </w:r>
      <w:bookmarkEnd w:id="0"/>
    </w:p>
    <w:p>
      <w:pPr>
        <w:keepNext w:val="0"/>
        <w:keepLines w:val="0"/>
        <w:pageBreakBefore w:val="0"/>
        <w:widowControl w:val="0"/>
        <w:kinsoku/>
        <w:overflowPunct/>
        <w:topLinePunct w:val="0"/>
        <w:autoSpaceDE/>
        <w:autoSpaceDN/>
        <w:bidi w:val="0"/>
        <w:adjustRightInd/>
        <w:snapToGrid/>
        <w:spacing w:line="400" w:lineRule="exact"/>
        <w:ind w:firstLine="667" w:firstLineChars="27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黄石绿洲项目管理咨询有限公司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大冶市金湖街道办事处四斗粮村村民委员会</w:t>
      </w:r>
      <w:r>
        <w:rPr>
          <w:rFonts w:hint="eastAsia" w:ascii="宋体" w:hAnsi="宋体" w:eastAsia="宋体" w:cs="宋体"/>
          <w:color w:val="auto"/>
          <w:sz w:val="24"/>
          <w:szCs w:val="24"/>
          <w:highlight w:val="none"/>
        </w:rPr>
        <w:t>的委托，拟就</w:t>
      </w:r>
      <w:r>
        <w:rPr>
          <w:rFonts w:hint="eastAsia" w:ascii="宋体" w:hAnsi="宋体" w:eastAsia="宋体" w:cs="宋体"/>
          <w:color w:val="auto"/>
          <w:sz w:val="24"/>
          <w:szCs w:val="24"/>
          <w:highlight w:val="none"/>
          <w:lang w:eastAsia="zh-CN"/>
        </w:rPr>
        <w:t>金湖街道四斗粮村变电站公路两边安装路灯及绿化工程</w:t>
      </w:r>
      <w:r>
        <w:rPr>
          <w:rFonts w:hint="eastAsia" w:ascii="宋体" w:hAnsi="宋体" w:eastAsia="宋体" w:cs="宋体"/>
          <w:color w:val="auto"/>
          <w:sz w:val="24"/>
          <w:szCs w:val="24"/>
          <w:highlight w:val="none"/>
        </w:rPr>
        <w:t>进行竞争性谈判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现欢迎符合条件的供应商参加谈判。</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一、采购项目编号：</w:t>
      </w:r>
      <w:r>
        <w:rPr>
          <w:rFonts w:hint="eastAsia" w:ascii="宋体" w:hAnsi="宋体" w:eastAsia="宋体" w:cs="宋体"/>
          <w:color w:val="auto"/>
          <w:sz w:val="24"/>
          <w:szCs w:val="24"/>
          <w:highlight w:val="none"/>
          <w:lang w:val="en-US" w:eastAsia="zh-CN"/>
        </w:rPr>
        <w:t xml:space="preserve">冶农招【2024】039号   </w:t>
      </w:r>
    </w:p>
    <w:p>
      <w:pPr>
        <w:keepNext w:val="0"/>
        <w:keepLines w:val="0"/>
        <w:pageBreakBefore w:val="0"/>
        <w:widowControl w:val="0"/>
        <w:kinsoku/>
        <w:overflowPunct/>
        <w:topLinePunct w:val="0"/>
        <w:autoSpaceDE/>
        <w:autoSpaceDN/>
        <w:bidi w:val="0"/>
        <w:adjustRightInd/>
        <w:snapToGrid/>
        <w:spacing w:line="400" w:lineRule="exact"/>
        <w:ind w:left="2160" w:hanging="2160" w:hangingChars="9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二、采购项目名称：</w:t>
      </w:r>
      <w:r>
        <w:rPr>
          <w:rFonts w:hint="eastAsia" w:ascii="宋体" w:hAnsi="宋体" w:eastAsia="宋体" w:cs="宋体"/>
          <w:color w:val="auto"/>
          <w:sz w:val="24"/>
          <w:szCs w:val="24"/>
          <w:highlight w:val="none"/>
          <w:lang w:eastAsia="zh-CN"/>
        </w:rPr>
        <w:t>金湖街道四斗粮村变电站公路两边安装路灯及绿化工程</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三、采购范围：详见工程量清单中的全部内容</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最高限</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val="en-US" w:eastAsia="zh-CN"/>
        </w:rPr>
        <w:t>285337.73元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超过最高限价的报价视为无效响应）</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五、资金来源：</w:t>
      </w:r>
      <w:r>
        <w:rPr>
          <w:rFonts w:hint="eastAsia" w:ascii="宋体" w:hAnsi="宋体" w:eastAsia="宋体" w:cs="宋体"/>
          <w:color w:val="auto"/>
          <w:sz w:val="24"/>
          <w:szCs w:val="24"/>
          <w:highlight w:val="none"/>
          <w:u w:val="none"/>
          <w:lang w:eastAsia="zh-CN"/>
        </w:rPr>
        <w:t>奖补、自筹</w:t>
      </w:r>
      <w:r>
        <w:rPr>
          <w:rFonts w:hint="eastAsia" w:ascii="宋体" w:hAnsi="宋体" w:eastAsia="宋体" w:cs="宋体"/>
          <w:color w:val="auto"/>
          <w:sz w:val="24"/>
          <w:szCs w:val="24"/>
          <w:highlight w:val="none"/>
        </w:rPr>
        <w:t>。</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六、供应商资格要求：</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满足《中华人民共和国政府采购法》第二十二条规定，</w:t>
      </w:r>
      <w:r>
        <w:rPr>
          <w:rFonts w:hint="eastAsia" w:ascii="宋体" w:hAnsi="宋体" w:eastAsia="宋体" w:cs="宋体"/>
          <w:color w:val="auto"/>
          <w:kern w:val="0"/>
          <w:sz w:val="24"/>
          <w:szCs w:val="24"/>
          <w:lang w:eastAsia="zh-CN"/>
        </w:rPr>
        <w:t>谈判时需提供下列证明材料，且所提供的资格证明材料均在有效期内：</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（1）具有独立承担民事责任的能力；</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（2）具有良好的商业信誉和健全的财务会计制度；</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（3）具有履行合同所必需的设备和专业技术能力；</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（4）有依法缴纳税收和社会保障资金的良好记录；</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（5）参加政府采购活动前三年内，在经营活动中没有重大违法记录；</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（6）法律、行政法规规定的其他条件。</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2、供应商具有银行基本开户许可证或基本存款帐户信息；</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供应商须具备良好的财务状况，供应商</w:t>
      </w:r>
      <w:r>
        <w:rPr>
          <w:rFonts w:hint="eastAsia" w:ascii="宋体" w:hAnsi="宋体" w:eastAsia="宋体" w:cs="宋体"/>
          <w:color w:val="auto"/>
          <w:kern w:val="0"/>
          <w:sz w:val="24"/>
          <w:szCs w:val="24"/>
          <w:lang w:val="en-US" w:eastAsia="zh-CN"/>
        </w:rPr>
        <w:t>应提供至2024年度前三年中任意一年的经审计的财务审计报告，且利润大于0元（新成立的公司不足一年的提供银行开具的近一个月的资</w:t>
      </w:r>
      <w:r>
        <w:rPr>
          <w:rFonts w:hint="eastAsia" w:ascii="宋体" w:hAnsi="宋体" w:eastAsia="宋体" w:cs="宋体"/>
          <w:color w:val="auto"/>
          <w:kern w:val="0"/>
          <w:sz w:val="24"/>
          <w:szCs w:val="24"/>
          <w:highlight w:val="none"/>
          <w:lang w:val="en-US" w:eastAsia="zh-CN"/>
        </w:rPr>
        <w:t>信证明）；</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eastAsia="zh-CN"/>
        </w:rPr>
        <w:t>应具备</w:t>
      </w:r>
      <w:r>
        <w:rPr>
          <w:rFonts w:hint="eastAsia" w:ascii="宋体" w:hAnsi="宋体" w:eastAsia="宋体" w:cs="宋体"/>
          <w:color w:val="auto"/>
          <w:kern w:val="0"/>
          <w:sz w:val="24"/>
          <w:szCs w:val="24"/>
          <w:highlight w:val="none"/>
        </w:rPr>
        <w:t>在中国境内注册并取得的具备独立法人资格的营业执照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具备行政主管部门核发的市政公用工程施工总承包叁级</w:t>
      </w:r>
      <w:r>
        <w:rPr>
          <w:rFonts w:hint="eastAsia" w:ascii="宋体" w:hAnsi="宋体" w:cs="宋体"/>
          <w:color w:val="auto"/>
          <w:kern w:val="0"/>
          <w:sz w:val="24"/>
          <w:szCs w:val="24"/>
          <w:highlight w:val="none"/>
          <w:lang w:eastAsia="zh-CN"/>
        </w:rPr>
        <w:t>（含）</w:t>
      </w:r>
      <w:r>
        <w:rPr>
          <w:rFonts w:hint="eastAsia" w:ascii="宋体" w:hAnsi="宋体" w:eastAsia="宋体" w:cs="宋体"/>
          <w:color w:val="auto"/>
          <w:kern w:val="0"/>
          <w:sz w:val="24"/>
          <w:szCs w:val="24"/>
          <w:highlight w:val="none"/>
        </w:rPr>
        <w:t>以上资质</w:t>
      </w:r>
      <w:r>
        <w:rPr>
          <w:rFonts w:hint="eastAsia" w:ascii="宋体" w:hAnsi="宋体" w:eastAsia="宋体" w:cs="宋体"/>
          <w:color w:val="auto"/>
          <w:kern w:val="0"/>
          <w:sz w:val="24"/>
          <w:szCs w:val="24"/>
          <w:highlight w:val="none"/>
          <w:lang w:eastAsia="zh-CN"/>
        </w:rPr>
        <w:t>或城市及道路照明工程专业承包叁级</w:t>
      </w:r>
      <w:r>
        <w:rPr>
          <w:rFonts w:hint="eastAsia" w:ascii="宋体" w:hAnsi="宋体" w:cs="宋体"/>
          <w:color w:val="auto"/>
          <w:kern w:val="0"/>
          <w:sz w:val="24"/>
          <w:szCs w:val="24"/>
          <w:highlight w:val="none"/>
          <w:lang w:eastAsia="zh-CN"/>
        </w:rPr>
        <w:t>（含）</w:t>
      </w:r>
      <w:r>
        <w:rPr>
          <w:rFonts w:hint="eastAsia" w:ascii="宋体" w:hAnsi="宋体" w:eastAsia="宋体" w:cs="宋体"/>
          <w:color w:val="auto"/>
          <w:kern w:val="0"/>
          <w:sz w:val="24"/>
          <w:szCs w:val="24"/>
          <w:highlight w:val="none"/>
          <w:lang w:eastAsia="zh-CN"/>
        </w:rPr>
        <w:t>以上资</w:t>
      </w:r>
      <w:r>
        <w:rPr>
          <w:rFonts w:hint="eastAsia" w:ascii="宋体" w:hAnsi="宋体" w:cs="宋体"/>
          <w:color w:val="auto"/>
          <w:kern w:val="0"/>
          <w:sz w:val="24"/>
          <w:szCs w:val="24"/>
          <w:highlight w:val="none"/>
          <w:lang w:eastAsia="zh-CN"/>
        </w:rPr>
        <w:t>质</w:t>
      </w:r>
      <w:r>
        <w:rPr>
          <w:rFonts w:hint="eastAsia" w:ascii="宋体" w:hAnsi="宋体" w:eastAsia="宋体" w:cs="宋体"/>
          <w:color w:val="auto"/>
          <w:kern w:val="0"/>
          <w:sz w:val="24"/>
          <w:szCs w:val="24"/>
          <w:highlight w:val="none"/>
        </w:rPr>
        <w:t>，具</w:t>
      </w:r>
      <w:r>
        <w:rPr>
          <w:rFonts w:hint="eastAsia" w:ascii="宋体" w:hAnsi="宋体" w:eastAsia="宋体" w:cs="宋体"/>
          <w:color w:val="auto"/>
          <w:kern w:val="0"/>
          <w:sz w:val="24"/>
          <w:szCs w:val="24"/>
          <w:highlight w:val="none"/>
          <w:lang w:eastAsia="zh-CN"/>
        </w:rPr>
        <w:t>备</w:t>
      </w:r>
      <w:r>
        <w:rPr>
          <w:rFonts w:hint="eastAsia" w:ascii="宋体" w:hAnsi="宋体" w:eastAsia="宋体" w:cs="宋体"/>
          <w:color w:val="auto"/>
          <w:kern w:val="0"/>
          <w:sz w:val="24"/>
          <w:szCs w:val="24"/>
          <w:highlight w:val="none"/>
        </w:rPr>
        <w:t>有效的安全生产许可证；拟派的项目经理须具备行政主管部</w:t>
      </w:r>
      <w:r>
        <w:rPr>
          <w:rFonts w:hint="eastAsia" w:ascii="宋体" w:hAnsi="宋体" w:eastAsia="宋体" w:cs="宋体"/>
          <w:color w:val="auto"/>
          <w:kern w:val="0"/>
          <w:sz w:val="24"/>
          <w:szCs w:val="24"/>
          <w:highlight w:val="none"/>
          <w:lang w:eastAsia="zh-CN"/>
        </w:rPr>
        <w:t>门</w:t>
      </w:r>
      <w:r>
        <w:rPr>
          <w:rFonts w:hint="eastAsia" w:ascii="宋体" w:hAnsi="宋体" w:eastAsia="宋体" w:cs="宋体"/>
          <w:color w:val="auto"/>
          <w:kern w:val="0"/>
          <w:sz w:val="24"/>
          <w:szCs w:val="24"/>
          <w:highlight w:val="none"/>
        </w:rPr>
        <w:t>核发的市政公用工程专业贰级及以上注册建造师资格证书(不含临时证)，具备有效的安全生产考核合格证书( B证) ,且</w:t>
      </w:r>
      <w:r>
        <w:rPr>
          <w:rFonts w:hint="eastAsia" w:ascii="宋体" w:hAnsi="宋体" w:eastAsia="宋体" w:cs="宋体"/>
          <w:color w:val="auto"/>
          <w:kern w:val="0"/>
          <w:sz w:val="24"/>
          <w:szCs w:val="24"/>
          <w:highlight w:val="none"/>
          <w:lang w:val="en-US" w:eastAsia="zh-CN"/>
        </w:rPr>
        <w:t>未</w:t>
      </w:r>
      <w:r>
        <w:rPr>
          <w:rFonts w:hint="eastAsia" w:ascii="宋体" w:hAnsi="宋体" w:eastAsia="宋体" w:cs="宋体"/>
          <w:color w:val="auto"/>
          <w:kern w:val="0"/>
          <w:sz w:val="24"/>
          <w:szCs w:val="24"/>
          <w:highlight w:val="none"/>
        </w:rPr>
        <w:t>担任其它在建工程的项目经理(提供承诺函)</w:t>
      </w:r>
      <w:r>
        <w:rPr>
          <w:rFonts w:hint="eastAsia" w:ascii="宋体" w:hAnsi="宋体" w:eastAsia="宋体" w:cs="宋体"/>
          <w:color w:val="auto"/>
          <w:kern w:val="0"/>
          <w:sz w:val="24"/>
          <w:szCs w:val="24"/>
          <w:highlight w:val="none"/>
          <w:lang w:eastAsia="zh-CN"/>
        </w:rPr>
        <w:t>；拟派的</w:t>
      </w:r>
      <w:r>
        <w:rPr>
          <w:rFonts w:hint="eastAsia" w:ascii="宋体" w:hAnsi="宋体" w:eastAsia="宋体" w:cs="宋体"/>
          <w:color w:val="auto"/>
          <w:kern w:val="0"/>
          <w:sz w:val="24"/>
          <w:szCs w:val="24"/>
          <w:highlight w:val="none"/>
        </w:rPr>
        <w:t>技术负责人具备</w:t>
      </w:r>
      <w:r>
        <w:rPr>
          <w:rFonts w:hint="eastAsia" w:ascii="宋体" w:hAnsi="宋体" w:eastAsia="宋体" w:cs="宋体"/>
          <w:color w:val="auto"/>
          <w:kern w:val="0"/>
          <w:sz w:val="24"/>
          <w:szCs w:val="24"/>
          <w:highlight w:val="none"/>
          <w:lang w:eastAsia="zh-CN"/>
        </w:rPr>
        <w:t>相关专业</w:t>
      </w:r>
      <w:r>
        <w:rPr>
          <w:rFonts w:hint="eastAsia" w:ascii="宋体" w:hAnsi="宋体" w:eastAsia="宋体" w:cs="宋体"/>
          <w:color w:val="auto"/>
          <w:kern w:val="0"/>
          <w:sz w:val="24"/>
          <w:szCs w:val="24"/>
          <w:highlight w:val="none"/>
        </w:rPr>
        <w:t>中级(含)以上职称证</w:t>
      </w:r>
      <w:r>
        <w:rPr>
          <w:rFonts w:hint="eastAsia" w:ascii="宋体" w:hAnsi="宋体" w:eastAsia="宋体" w:cs="宋体"/>
          <w:color w:val="auto"/>
          <w:kern w:val="0"/>
          <w:sz w:val="24"/>
          <w:szCs w:val="24"/>
          <w:highlight w:val="none"/>
          <w:lang w:eastAsia="zh-CN"/>
        </w:rPr>
        <w:t>；拟投入本</w:t>
      </w:r>
      <w:r>
        <w:rPr>
          <w:rFonts w:hint="eastAsia" w:ascii="宋体" w:hAnsi="宋体" w:eastAsia="宋体" w:cs="宋体"/>
          <w:color w:val="auto"/>
          <w:kern w:val="0"/>
          <w:sz w:val="24"/>
          <w:szCs w:val="24"/>
          <w:lang w:eastAsia="zh-CN"/>
        </w:rPr>
        <w:t>项目的</w:t>
      </w:r>
      <w:r>
        <w:rPr>
          <w:rFonts w:hint="eastAsia" w:ascii="宋体" w:hAnsi="宋体" w:eastAsia="宋体" w:cs="宋体"/>
          <w:color w:val="auto"/>
          <w:kern w:val="0"/>
          <w:sz w:val="24"/>
          <w:szCs w:val="24"/>
        </w:rPr>
        <w:t>五大员 (施工员、质量员、安全员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材料员、资料员)须具备有效的岗位证书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安全员具备有效的安全生产考核合格证(C证))；项目人员均需提供供应商为其依法缴纳的社会保障资金的良好记录，提供近三个月（谈判截止之日前三个月）的社保名单及缴费证明（以开标现场查询为准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如依法不需要缴纳社保的，提供不需要缴纳社保的证明材料），所有人员必须为本公司正式员工并提供劳动合同。</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5、近三年（以投标截止日时间往前推算三年，以竣工验收合格时间为准）至少完成一项类似业绩（提供查询网址和页面截图、中标通知书、施工合同为准）；</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未被列入“信用中国”网站（www.creditchina.gov.cn）失信被执行人、重大税收违法失信主体、政府采购严重违法失信行为记</w:t>
      </w:r>
      <w:r>
        <w:rPr>
          <w:rFonts w:hint="eastAsia" w:ascii="宋体" w:hAnsi="宋体" w:eastAsia="宋体" w:cs="宋体"/>
          <w:color w:val="auto"/>
          <w:kern w:val="0"/>
          <w:sz w:val="24"/>
          <w:szCs w:val="24"/>
          <w:highlight w:val="none"/>
        </w:rPr>
        <w:t>录名单</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lang w:val="en-US" w:eastAsia="zh-CN"/>
        </w:rPr>
        <w:t>网页打印件</w:t>
      </w:r>
      <w:r>
        <w:rPr>
          <w:rFonts w:hint="eastAsia" w:ascii="宋体" w:hAnsi="宋体" w:eastAsia="宋体" w:cs="宋体"/>
          <w:color w:val="auto"/>
          <w:kern w:val="0"/>
          <w:sz w:val="24"/>
          <w:szCs w:val="24"/>
          <w:highlight w:val="none"/>
        </w:rPr>
        <w:t>；</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、落实政府采购政策需满足的资格条件：专门面向中小微企业</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、踏勘现场:在开标前各投标单位自行前往现场踏勘，并将踏勘现场标志性</w:t>
      </w:r>
      <w:r>
        <w:rPr>
          <w:rFonts w:hint="eastAsia" w:ascii="宋体" w:hAnsi="宋体" w:eastAsia="宋体" w:cs="宋体"/>
          <w:color w:val="auto"/>
          <w:kern w:val="0"/>
          <w:sz w:val="24"/>
          <w:szCs w:val="24"/>
          <w:highlight w:val="none"/>
          <w:lang w:eastAsia="zh-CN"/>
        </w:rPr>
        <w:t>的地点和参照物照片（彩色打印件）及踏勘现场承诺函</w:t>
      </w:r>
      <w:r>
        <w:rPr>
          <w:rFonts w:hint="eastAsia" w:ascii="宋体" w:hAnsi="宋体" w:eastAsia="宋体" w:cs="宋体"/>
          <w:color w:val="auto"/>
          <w:kern w:val="0"/>
          <w:sz w:val="24"/>
          <w:szCs w:val="24"/>
          <w:highlight w:val="none"/>
        </w:rPr>
        <w:t>附到竞争性谈判响应文件中，不符合要求或所提供照片模糊不清的的谈判响应文件将否决投标资格；</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、本项目不接受联合体参与谈判。</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注、本次谈判采取资格后审方式（合格制），资格审查的具体要求见谈判文件，资格审查不合格的供应商响应文件将被否决（资格审查的具体要求见谈判文件）。</w:t>
      </w:r>
    </w:p>
    <w:p>
      <w:pPr>
        <w:keepNext w:val="0"/>
        <w:keepLines w:val="0"/>
        <w:pageBreakBefore w:val="0"/>
        <w:widowControl w:val="0"/>
        <w:kinsoku/>
        <w:overflowPunct/>
        <w:topLinePunct w:val="0"/>
        <w:autoSpaceDE/>
        <w:autoSpaceDN/>
        <w:bidi w:val="0"/>
        <w:adjustRightInd/>
        <w:snapToGrid/>
        <w:spacing w:line="400" w:lineRule="exact"/>
        <w:ind w:left="240" w:hanging="240" w:hanging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七、凡有意参加投标者：</w:t>
      </w:r>
      <w:r>
        <w:rPr>
          <w:rFonts w:hint="eastAsia" w:ascii="宋体" w:hAnsi="宋体" w:eastAsia="宋体" w:cs="宋体"/>
          <w:color w:val="auto"/>
          <w:kern w:val="0"/>
          <w:sz w:val="24"/>
          <w:szCs w:val="24"/>
          <w:highlight w:val="none"/>
        </w:rPr>
        <w:t>请于202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06</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日起到云上大冶-聚焦三农板块（http://dayeyun.cjyun.org/z/133229/）本公告页面下载谈判文件。</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八、谈判响应文件递交截止时间：</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rPr>
        <w:t>。</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九、谈判响应文件送达地点：大冶市金湖街道办事处武装部会议室</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十、谈判时间：同响应文件递交截止时间。</w:t>
      </w:r>
      <w:bookmarkStart w:id="11" w:name="_GoBack"/>
      <w:bookmarkEnd w:id="11"/>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谈判地点：</w:t>
      </w:r>
      <w:r>
        <w:rPr>
          <w:rFonts w:hint="eastAsia" w:ascii="宋体" w:hAnsi="宋体" w:eastAsia="宋体" w:cs="宋体"/>
          <w:bCs/>
          <w:color w:val="auto"/>
          <w:sz w:val="24"/>
          <w:szCs w:val="24"/>
        </w:rPr>
        <w:t>同递交响应文件</w:t>
      </w:r>
      <w:r>
        <w:rPr>
          <w:rFonts w:hint="eastAsia" w:ascii="宋体" w:hAnsi="宋体" w:eastAsia="宋体" w:cs="宋体"/>
          <w:color w:val="auto"/>
          <w:sz w:val="24"/>
          <w:szCs w:val="24"/>
        </w:rPr>
        <w:t>送达地点</w:t>
      </w:r>
      <w:r>
        <w:rPr>
          <w:rFonts w:hint="eastAsia" w:ascii="宋体" w:hAnsi="宋体" w:eastAsia="宋体" w:cs="宋体"/>
          <w:bCs/>
          <w:color w:val="auto"/>
          <w:sz w:val="24"/>
          <w:szCs w:val="24"/>
        </w:rPr>
        <w:t>。</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十一、逾期送达的或者未送达指定地点的谈判文件，采购人不予受理。</w:t>
      </w:r>
    </w:p>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十二、本次竞争性谈判公告在云上大冶-聚焦三农板块（http://dayeyun.cjyun.org/z/133229/）上发布。</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十三、联系方式</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w:t>
      </w:r>
      <w:r>
        <w:rPr>
          <w:rFonts w:hint="eastAsia" w:ascii="宋体" w:hAnsi="宋体" w:eastAsia="宋体" w:cs="宋体"/>
          <w:color w:val="auto"/>
          <w:sz w:val="24"/>
          <w:szCs w:val="24"/>
          <w:highlight w:val="none"/>
          <w:lang w:eastAsia="zh-CN"/>
        </w:rPr>
        <w:t>大冶市金湖街道办事处四斗粮村村民委员会</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：柯书记</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17771052302</w:t>
      </w:r>
    </w:p>
    <w:p>
      <w:pPr>
        <w:pStyle w:val="2"/>
        <w:rPr>
          <w:rFonts w:hint="eastAsia"/>
          <w:lang w:val="en-US" w:eastAsia="zh-CN"/>
        </w:rPr>
      </w:pPr>
      <w:r>
        <w:rPr>
          <w:rFonts w:hint="eastAsia" w:ascii="宋体" w:hAnsi="宋体" w:eastAsia="宋体" w:cs="宋体"/>
          <w:color w:val="auto"/>
          <w:sz w:val="24"/>
          <w:szCs w:val="24"/>
          <w:lang w:val="en-US" w:eastAsia="zh-CN"/>
        </w:rPr>
        <w:t>地  址：大冶市四斗粮村</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政府采购代理机构：</w:t>
      </w:r>
      <w:r>
        <w:rPr>
          <w:rFonts w:hint="eastAsia" w:ascii="宋体" w:hAnsi="宋体" w:eastAsia="宋体" w:cs="宋体"/>
          <w:color w:val="auto"/>
          <w:sz w:val="24"/>
          <w:szCs w:val="24"/>
          <w:lang w:eastAsia="zh-CN"/>
        </w:rPr>
        <w:t>黄石绿洲项目管理咨询有限公司</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：刘工</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17671240008</w:t>
      </w:r>
      <w:r>
        <w:rPr>
          <w:rFonts w:hint="eastAsia" w:ascii="宋体" w:hAnsi="宋体" w:eastAsia="宋体" w:cs="宋体"/>
          <w:color w:val="auto"/>
          <w:sz w:val="24"/>
          <w:szCs w:val="24"/>
          <w:lang w:eastAsia="zh-CN"/>
        </w:rPr>
        <w:t xml:space="preserve"> </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eastAsia="zh-CN"/>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址：大冶市兴盛花园二期 </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firstLine="504" w:firstLineChars="21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overflowPunct/>
        <w:topLinePunct w:val="0"/>
        <w:autoSpaceDE/>
        <w:autoSpaceDN/>
        <w:bidi w:val="0"/>
        <w:adjustRightInd/>
        <w:snapToGrid/>
        <w:spacing w:line="400" w:lineRule="exact"/>
        <w:ind w:firstLine="504" w:firstLineChars="210"/>
        <w:jc w:val="righ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eastAsia="zh-CN"/>
        </w:rPr>
        <w:t>黄石绿洲项目管理咨询有限公司</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lang w:eastAsia="zh-CN"/>
        </w:rPr>
        <w:t>2024年</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06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28</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日</w:t>
      </w:r>
    </w:p>
    <w:p>
      <w:pPr>
        <w:keepNext w:val="0"/>
        <w:keepLines w:val="0"/>
        <w:pageBreakBefore w:val="0"/>
        <w:widowControl w:val="0"/>
        <w:kinsoku/>
        <w:overflowPunct/>
        <w:topLinePunct w:val="0"/>
        <w:autoSpaceDE/>
        <w:autoSpaceDN/>
        <w:bidi w:val="0"/>
        <w:adjustRightInd/>
        <w:snapToGrid/>
        <w:spacing w:line="400" w:lineRule="exact"/>
        <w:ind w:firstLine="504" w:firstLineChars="210"/>
        <w:jc w:val="center"/>
        <w:textAlignment w:val="auto"/>
        <w:outlineLvl w:val="0"/>
        <w:rPr>
          <w:rFonts w:hint="eastAsia" w:ascii="宋体" w:hAnsi="宋体" w:eastAsia="宋体" w:cs="宋体"/>
          <w:b/>
          <w:color w:val="auto"/>
          <w:sz w:val="24"/>
          <w:szCs w:val="24"/>
        </w:rPr>
      </w:pPr>
      <w:r>
        <w:rPr>
          <w:rFonts w:hint="eastAsia" w:ascii="宋体" w:hAnsi="宋体" w:eastAsia="宋体" w:cs="宋体"/>
          <w:color w:val="auto"/>
          <w:sz w:val="24"/>
          <w:szCs w:val="24"/>
        </w:rPr>
        <w:br w:type="page"/>
      </w:r>
      <w:bookmarkStart w:id="1" w:name="_Toc10305"/>
      <w:r>
        <w:rPr>
          <w:rFonts w:hint="eastAsia" w:ascii="宋体" w:hAnsi="宋体" w:eastAsia="宋体" w:cs="宋体"/>
          <w:b/>
          <w:color w:val="auto"/>
          <w:sz w:val="28"/>
          <w:szCs w:val="28"/>
        </w:rPr>
        <w:t>第二章</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谈判须知</w:t>
      </w:r>
      <w:bookmarkEnd w:id="1"/>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一、总　则</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适用范围</w:t>
      </w:r>
    </w:p>
    <w:p>
      <w:pPr>
        <w:keepLines w:val="0"/>
        <w:pageBreakBefore w:val="0"/>
        <w:kinsoku/>
        <w:topLinePunct w:val="0"/>
        <w:bidi w:val="0"/>
        <w:spacing w:line="400" w:lineRule="exact"/>
        <w:ind w:left="420" w:hanging="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本文件仅适用于本文件中所叙述的工程类政府采购项目。</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定义</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2.1“采购人”是指：</w:t>
      </w:r>
      <w:r>
        <w:rPr>
          <w:rFonts w:hint="eastAsia" w:ascii="宋体" w:hAnsi="宋体" w:eastAsia="宋体" w:cs="宋体"/>
          <w:color w:val="auto"/>
          <w:sz w:val="24"/>
          <w:szCs w:val="24"/>
          <w:lang w:eastAsia="zh-CN"/>
        </w:rPr>
        <w:t>大冶市金湖街道办事处四斗粮村村民委员会</w:t>
      </w:r>
      <w:r>
        <w:rPr>
          <w:rFonts w:hint="eastAsia" w:ascii="宋体" w:hAnsi="宋体" w:eastAsia="宋体" w:cs="宋体"/>
          <w:color w:val="auto"/>
          <w:sz w:val="24"/>
          <w:szCs w:val="24"/>
        </w:rPr>
        <w:t>。</w:t>
      </w:r>
    </w:p>
    <w:p>
      <w:pPr>
        <w:keepLines w:val="0"/>
        <w:pageBreakBefore w:val="0"/>
        <w:kinsoku/>
        <w:topLinePunct w:val="0"/>
        <w:bidi w:val="0"/>
        <w:spacing w:line="4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2.2“政府采购代理机构”是指：</w:t>
      </w:r>
      <w:r>
        <w:rPr>
          <w:rFonts w:hint="eastAsia" w:ascii="宋体" w:hAnsi="宋体" w:eastAsia="宋体" w:cs="宋体"/>
          <w:color w:val="auto"/>
          <w:sz w:val="24"/>
          <w:szCs w:val="24"/>
          <w:lang w:eastAsia="zh-CN"/>
        </w:rPr>
        <w:t>黄石绿洲项目管理咨询有限公司</w:t>
      </w:r>
      <w:r>
        <w:rPr>
          <w:rFonts w:hint="eastAsia" w:ascii="宋体" w:hAnsi="宋体" w:eastAsia="宋体" w:cs="宋体"/>
          <w:color w:val="auto"/>
          <w:sz w:val="24"/>
          <w:szCs w:val="24"/>
        </w:rPr>
        <w:t>。</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2.3“谈判供应商”是指响应本文件要求，参加谈判的法人或者其他组织。如果该供应商在本次谈判中成交,即成为“成交供应商”。</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2.4“竞争性谈判响应文件”是指：供应商根据本文件要求，编制包含报价、技术和服务等所有内容的文件。</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“货物”是指各种形态和种类的物品，包括原材料、燃料、设备、产品等。</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 “服务”是指除货物和工程以外的其他政府采购对象。</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谈判供应商的基本条件</w:t>
      </w:r>
    </w:p>
    <w:p>
      <w:pPr>
        <w:keepLines w:val="0"/>
        <w:pageBreakBefore w:val="0"/>
        <w:kinsoku/>
        <w:topLinePunct w:val="0"/>
        <w:bidi w:val="0"/>
        <w:spacing w:line="40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3.1、谈判供应商的条件及要求：满足“谈判公告”中供应商资格及要求条件的供应商。</w:t>
      </w:r>
    </w:p>
    <w:p>
      <w:pPr>
        <w:keepLines w:val="0"/>
        <w:pageBreakBefore w:val="0"/>
        <w:kinsoku/>
        <w:topLinePunct w:val="0"/>
        <w:bidi w:val="0"/>
        <w:spacing w:line="40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谈判费用</w:t>
      </w:r>
    </w:p>
    <w:p>
      <w:pPr>
        <w:keepLines w:val="0"/>
        <w:pageBreakBefore w:val="0"/>
        <w:kinsoku/>
        <w:topLinePunct w:val="0"/>
        <w:bidi w:val="0"/>
        <w:spacing w:line="40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谈判供应商应自行承担所有与编写和提交竞争性谈判响应文件有关的费用，不论谈判结果如何，采购人和采购代理机构在任何情况下无义务和责任承担此类费用。</w:t>
      </w:r>
    </w:p>
    <w:p>
      <w:pPr>
        <w:pStyle w:val="20"/>
        <w:keepLines w:val="0"/>
        <w:pageBreakBefore w:val="0"/>
        <w:kinsoku/>
        <w:topLinePunct w:val="0"/>
        <w:bidi w:val="0"/>
        <w:adjustRightInd w:val="0"/>
        <w:snapToGrid w:val="0"/>
        <w:spacing w:line="40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4.2本项目招标代理服务费由中标人在领取中标通知书时向招标代理机构一次性付清。</w:t>
      </w:r>
      <w:r>
        <w:rPr>
          <w:rFonts w:hint="eastAsia" w:ascii="宋体" w:hAnsi="宋体" w:eastAsia="宋体" w:cs="宋体"/>
          <w:color w:val="auto"/>
          <w:sz w:val="24"/>
          <w:szCs w:val="24"/>
          <w:highlight w:val="none"/>
        </w:rPr>
        <w:t>招标代理费按相关文件收取。</w:t>
      </w:r>
    </w:p>
    <w:p>
      <w:pPr>
        <w:keepLines w:val="0"/>
        <w:pageBreakBefore w:val="0"/>
        <w:kinsoku/>
        <w:topLinePunct w:val="0"/>
        <w:bidi w:val="0"/>
        <w:spacing w:line="40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4.3在谈判过程中谈判小组发现供应商有下列情形之一的，认定其有围标串标行为，宣布其本次谈判无效：</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（1）不同供应商的竞争性谈判文件两处以上（含两处）错、漏一致或雷同的；</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（2）不同供应商的竞争性谈判各项报价存在异常一致或者呈规律性变化的；</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（3）不同供应商的竞争性谈判文件由同一单位或者同一个人编制的；</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（4）不同供应商的竞争性谈判文件中投标资料相互混装或项目班子成员出现同一人的；</w:t>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二、竞争性谈判响应文件的编制</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竞争性谈判响应文件编制基本要求</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5.1谈判供应商提交的竞争性谈判</w:t>
      </w:r>
      <w:r>
        <w:rPr>
          <w:rFonts w:hint="eastAsia" w:ascii="宋体" w:hAnsi="宋体" w:eastAsia="宋体" w:cs="宋体"/>
          <w:color w:val="auto"/>
          <w:sz w:val="24"/>
          <w:szCs w:val="24"/>
          <w:lang w:eastAsia="zh-CN"/>
        </w:rPr>
        <w:t>纸质</w:t>
      </w:r>
      <w:r>
        <w:rPr>
          <w:rFonts w:hint="eastAsia" w:ascii="宋体" w:hAnsi="宋体" w:eastAsia="宋体" w:cs="宋体"/>
          <w:color w:val="auto"/>
          <w:sz w:val="24"/>
          <w:szCs w:val="24"/>
        </w:rPr>
        <w:t>响应文件必须目录清晰，并逐页编码、签字、盖章，按要求胶装</w:t>
      </w:r>
      <w:r>
        <w:rPr>
          <w:rFonts w:hint="eastAsia" w:ascii="宋体" w:hAnsi="宋体" w:eastAsia="宋体" w:cs="宋体"/>
          <w:color w:val="auto"/>
          <w:sz w:val="24"/>
          <w:szCs w:val="24"/>
          <w:lang w:eastAsia="zh-CN"/>
        </w:rPr>
        <w:t>密封</w:t>
      </w:r>
      <w:r>
        <w:rPr>
          <w:rFonts w:hint="eastAsia" w:ascii="宋体" w:hAnsi="宋体" w:eastAsia="宋体" w:cs="宋体"/>
          <w:color w:val="auto"/>
          <w:sz w:val="24"/>
          <w:szCs w:val="24"/>
        </w:rPr>
        <w:t>。不得采用活页夹等可随时拆开的方式装订，否则作为无效投标处理。</w:t>
      </w:r>
    </w:p>
    <w:p>
      <w:pPr>
        <w:spacing w:line="44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rPr>
        <w:t>5.2谈判供应商提交的竞争性谈判响应文件以及谈判供应商与</w:t>
      </w:r>
      <w:r>
        <w:rPr>
          <w:rFonts w:hint="eastAsia" w:ascii="宋体" w:hAnsi="宋体" w:eastAsia="宋体" w:cs="宋体"/>
          <w:color w:val="auto"/>
          <w:sz w:val="24"/>
          <w:szCs w:val="24"/>
          <w:u w:val="none"/>
        </w:rPr>
        <w:t>政府采购代理机构</w:t>
      </w:r>
      <w:r>
        <w:rPr>
          <w:rFonts w:hint="eastAsia" w:ascii="宋体" w:hAnsi="宋体" w:eastAsia="宋体" w:cs="宋体"/>
          <w:color w:val="auto"/>
          <w:sz w:val="24"/>
          <w:szCs w:val="24"/>
        </w:rPr>
        <w:t>和采购人就有关谈判的所有来往函电均应使用中文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谈判供应商提交的支持文件和印刷的文献可以使用别的语言，但其相应内容必须附有中文翻译文本，在解释竞争性谈判响应文件时以翻译文本为主。</w:t>
      </w:r>
      <w:r>
        <w:rPr>
          <w:rFonts w:hint="eastAsia" w:ascii="宋体" w:hAnsi="宋体" w:eastAsia="宋体" w:cs="宋体"/>
          <w:color w:val="auto"/>
          <w:sz w:val="24"/>
          <w:szCs w:val="24"/>
          <w:lang w:val="en-US" w:eastAsia="zh-CN"/>
        </w:rPr>
        <w:t>首次报价表及</w:t>
      </w:r>
      <w:r>
        <w:rPr>
          <w:rFonts w:hint="eastAsia" w:ascii="宋体" w:hAnsi="宋体" w:eastAsia="宋体" w:cs="宋体"/>
          <w:b w:val="0"/>
          <w:bCs w:val="0"/>
          <w:color w:val="auto"/>
          <w:sz w:val="24"/>
          <w:szCs w:val="24"/>
          <w:highlight w:val="none"/>
          <w:lang w:val="zh-CN"/>
        </w:rPr>
        <w:t>资格后审证明文件</w:t>
      </w:r>
      <w:r>
        <w:rPr>
          <w:rFonts w:hint="eastAsia" w:ascii="宋体" w:hAnsi="宋体" w:eastAsia="宋体" w:cs="宋体"/>
          <w:b w:val="0"/>
          <w:bCs w:val="0"/>
          <w:color w:val="auto"/>
          <w:sz w:val="24"/>
          <w:szCs w:val="24"/>
          <w:highlight w:val="none"/>
          <w:lang w:val="en-US" w:eastAsia="zh-CN"/>
        </w:rPr>
        <w:t>须另外单独封装。</w:t>
      </w:r>
    </w:p>
    <w:p>
      <w:pPr>
        <w:spacing w:line="44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rPr>
        <w:t>5.3谈判供应商应认真阅读、并充分理解本文件的全部内容（包括所有的补充、修改内容），</w:t>
      </w:r>
      <w:r>
        <w:rPr>
          <w:rFonts w:hint="eastAsia" w:ascii="宋体" w:hAnsi="宋体" w:eastAsia="宋体" w:cs="宋体"/>
          <w:color w:val="auto"/>
          <w:sz w:val="24"/>
          <w:szCs w:val="24"/>
          <w:highlight w:val="none"/>
        </w:rPr>
        <w:t>承诺并</w:t>
      </w:r>
      <w:r>
        <w:rPr>
          <w:rFonts w:hint="eastAsia" w:ascii="宋体" w:hAnsi="宋体" w:eastAsia="宋体" w:cs="宋体"/>
          <w:color w:val="auto"/>
          <w:sz w:val="24"/>
          <w:szCs w:val="24"/>
        </w:rPr>
        <w:t>履行本文件中各项条款规定及要求</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提供承诺函</w:t>
      </w:r>
      <w:r>
        <w:rPr>
          <w:rFonts w:hint="eastAsia" w:ascii="宋体" w:hAnsi="宋体" w:cs="宋体"/>
          <w:color w:val="auto"/>
          <w:sz w:val="24"/>
          <w:szCs w:val="24"/>
          <w:lang w:eastAsia="zh-CN"/>
        </w:rPr>
        <w:t>）。</w:t>
      </w:r>
    </w:p>
    <w:p>
      <w:pPr>
        <w:keepLines w:val="0"/>
        <w:pageBreakBefore w:val="0"/>
        <w:kinsoku/>
        <w:topLinePunct w:val="0"/>
        <w:bidi w:val="0"/>
        <w:spacing w:line="400" w:lineRule="exact"/>
        <w:ind w:left="420" w:hanging="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5.4竞争性谈判响应文件必须按本文件的全部内容，包括所有的补充通知及附件进行编制。</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5.5如因谈判供应商只填写和提供了本文件要求的部分内容和附件，而给评审造成困难，其可能导致的结果和责任由谈判供应商自行承担。</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5.6竞争性谈判响应文件的组成</w:t>
      </w:r>
    </w:p>
    <w:p>
      <w:pPr>
        <w:pStyle w:val="2"/>
        <w:keepNext w:val="0"/>
        <w:keepLines w:val="0"/>
        <w:pageBreakBefore w:val="0"/>
        <w:widowControl w:val="0"/>
        <w:kinsoku/>
        <w:wordWrap/>
        <w:overflowPunct/>
        <w:topLinePunct w:val="0"/>
        <w:bidi w:val="0"/>
        <w:spacing w:line="400" w:lineRule="exact"/>
        <w:ind w:left="0" w:leftChars="0" w:firstLine="0" w:firstLineChars="0"/>
        <w:textAlignment w:val="auto"/>
        <w:rPr>
          <w:rFonts w:hint="eastAsia" w:ascii="宋体" w:hAnsi="宋体" w:eastAsia="宋体" w:cs="宋体"/>
          <w:color w:val="auto"/>
          <w:sz w:val="24"/>
          <w:szCs w:val="24"/>
        </w:rPr>
      </w:pPr>
      <w:r>
        <w:rPr>
          <w:rFonts w:hint="eastAsia"/>
        </w:rPr>
        <w:t>竞争性谈判响应文件应分为价格文件和商务技术文件两个部分组成。</w:t>
      </w:r>
      <w:r>
        <w:rPr>
          <w:rFonts w:hint="eastAsia" w:ascii="宋体" w:hAnsi="宋体" w:eastAsia="宋体" w:cs="宋体"/>
          <w:color w:val="auto"/>
          <w:sz w:val="24"/>
          <w:szCs w:val="24"/>
        </w:rPr>
        <w:t>应包括下列部分（但不限于）</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.1价格文件</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1）报价表；</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2）已标价工程量清单； </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 xml:space="preserve">.2 商务技术文件（应该有的必须提供，如未提供，评审小组有权拒绝其竞争性谈判响应文件及谈判资格。） </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1）谈判书；</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2）营业执照加盖公章复印件；</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3）资质证书、安全生产许可证、项目经理资格证书、技术负责人职称证等加盖公章复印件；</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5）法定代表人身份证加盖公章复印件；</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6）法定代表人授权书原件及授权委托人身份证加盖公章复印件；</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注：参与谈判的授权委托人必须是本公司正式员工，须提供公司为其缴纳的社保证明和劳动合同。</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7）银行基本开户许可证或基本存款帐户信息加盖公章复印件；</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8）质量保证措施；</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9）施工方案；</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10）谈判供应商必须提供的有关资料：拟投入本项目技术力量情况；拟投入本项目的人员、设备、资金情况证明；工期承诺；不转包分包承诺；保修期及服务承诺、非联合体投标、投标诚信承诺书等。</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11）谈判供应商认为需要提供的有关资料。</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计量单位</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6.1除技术要求中另有规定外，本文件所要求使用的计量单位均应采用国家法定计量单位。</w:t>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三、谈判报价要求</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7.1对于本文件中未列明，而谈判供应商认为必需的费用也需列入总报价。在合同实施时，采购人将不予支付成交供应商没有列入的项目费用，并认为此项目的费用已包括在总报价中。</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7.2供应商所提交的“已标价工程量清单”中存在漏项或未填写的单价和合价，视为已包括在工程量清单的其它单价和合价中，</w:t>
      </w:r>
      <w:r>
        <w:rPr>
          <w:rFonts w:hint="eastAsia" w:ascii="宋体" w:hAnsi="宋体" w:eastAsia="宋体" w:cs="宋体"/>
          <w:color w:val="auto"/>
          <w:sz w:val="24"/>
          <w:szCs w:val="24"/>
          <w:highlight w:val="none"/>
          <w:lang w:val="en-US" w:eastAsia="zh-CN"/>
        </w:rPr>
        <w:t>并承诺</w:t>
      </w:r>
      <w:r>
        <w:rPr>
          <w:rFonts w:hint="eastAsia" w:ascii="宋体" w:hAnsi="宋体" w:eastAsia="宋体" w:cs="宋体"/>
          <w:color w:val="auto"/>
          <w:sz w:val="24"/>
          <w:szCs w:val="24"/>
        </w:rPr>
        <w:t>不得作为以后工程量变更增加投资的因素；</w:t>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四、竞争性谈判响应文件的份数、封装和递交</w:t>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8. 谈判响应文件的份数和封装</w:t>
      </w:r>
    </w:p>
    <w:p>
      <w:pPr>
        <w:keepLines w:val="0"/>
        <w:pageBreakBefore w:val="0"/>
        <w:kinsoku/>
        <w:topLinePunct w:val="0"/>
        <w:bidi w:val="0"/>
        <w:spacing w:line="4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8.1谈判供应商应将竞争性谈判响应文件中“价格文件”和“商务技术文件”一起胶装，价格文件在前，商务技术文件在后，目录清晰，正本一份，副本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份、每份响应文件封面均要注明“正本”或“副本”字样，正本和副本一起</w:t>
      </w:r>
      <w:r>
        <w:rPr>
          <w:rFonts w:hint="eastAsia" w:ascii="宋体" w:hAnsi="宋体" w:eastAsia="宋体" w:cs="宋体"/>
          <w:color w:val="auto"/>
          <w:sz w:val="24"/>
          <w:szCs w:val="24"/>
          <w:lang w:eastAsia="zh-CN"/>
        </w:rPr>
        <w:t>密封</w:t>
      </w:r>
      <w:r>
        <w:rPr>
          <w:rFonts w:hint="eastAsia" w:ascii="宋体" w:hAnsi="宋体" w:eastAsia="宋体" w:cs="宋体"/>
          <w:color w:val="auto"/>
          <w:sz w:val="24"/>
          <w:szCs w:val="24"/>
        </w:rPr>
        <w:t>封装</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shd w:val="clear" w:color="auto" w:fill="FFFFFF"/>
        </w:rPr>
        <w:t>档案袋封面上应注明采购项目名称、编号和有“在（      年   月   日    午   时）之前不得启封”的字样，封口处加盖供应商公章及法人章。</w:t>
      </w:r>
    </w:p>
    <w:p>
      <w:pPr>
        <w:keepLines w:val="0"/>
        <w:pageBreakBefore w:val="0"/>
        <w:kinsoku/>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8.2竞争性谈判响应文件的信封上应写明：</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（1）竞争性采购项目编号；</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（2）竞争性采购项目名称标段；</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（3）谈判供应商名称。</w:t>
      </w:r>
    </w:p>
    <w:p>
      <w:pPr>
        <w:keepLines w:val="0"/>
        <w:pageBreakBefore w:val="0"/>
        <w:kinsoku/>
        <w:topLinePunct w:val="0"/>
        <w:bidi w:val="0"/>
        <w:spacing w:line="4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w:t>
      </w:r>
      <w:r>
        <w:rPr>
          <w:rFonts w:hint="eastAsia" w:ascii="宋体" w:hAnsi="宋体" w:eastAsia="宋体" w:cs="宋体"/>
          <w:color w:val="auto"/>
          <w:sz w:val="24"/>
          <w:szCs w:val="24"/>
        </w:rPr>
        <w:t>供应商必须提供电子版投标文件一份，拷贝到U盘，</w:t>
      </w:r>
      <w:r>
        <w:rPr>
          <w:rFonts w:hint="eastAsia" w:ascii="宋体" w:hAnsi="宋体" w:eastAsia="宋体" w:cs="宋体"/>
          <w:color w:val="auto"/>
          <w:sz w:val="24"/>
          <w:szCs w:val="24"/>
          <w:lang w:val="en-US" w:eastAsia="zh-CN"/>
        </w:rPr>
        <w:t>单独</w:t>
      </w:r>
      <w:r>
        <w:rPr>
          <w:rFonts w:hint="eastAsia" w:ascii="宋体" w:hAnsi="宋体" w:eastAsia="宋体" w:cs="宋体"/>
          <w:color w:val="auto"/>
          <w:sz w:val="24"/>
          <w:szCs w:val="24"/>
        </w:rPr>
        <w:t>封装，电子版文件每页必须加盖本单位公章，否则作无效投标处理。</w:t>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9. 竞争性谈判响应文件的递交</w:t>
      </w:r>
    </w:p>
    <w:p>
      <w:pPr>
        <w:keepLines w:val="0"/>
        <w:pageBreakBefore w:val="0"/>
        <w:kinsoku/>
        <w:topLinePunct w:val="0"/>
        <w:bidi w:val="0"/>
        <w:spacing w:line="400" w:lineRule="exact"/>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rPr>
        <w:t>9.1所有竞争性谈判竞争性响应文件应于“第一</w:t>
      </w:r>
      <w:r>
        <w:rPr>
          <w:rFonts w:hint="eastAsia" w:ascii="宋体" w:hAnsi="宋体" w:eastAsia="宋体" w:cs="宋体"/>
          <w:color w:val="auto"/>
          <w:sz w:val="24"/>
          <w:szCs w:val="24"/>
          <w:lang w:eastAsia="zh-CN"/>
        </w:rPr>
        <w:t>章</w:t>
      </w:r>
      <w:r>
        <w:rPr>
          <w:rFonts w:hint="eastAsia" w:ascii="宋体" w:hAnsi="宋体" w:eastAsia="宋体" w:cs="宋体"/>
          <w:color w:val="auto"/>
          <w:sz w:val="24"/>
          <w:szCs w:val="24"/>
          <w:lang w:val="en-US" w:eastAsia="zh-CN"/>
        </w:rPr>
        <w:t xml:space="preserve"> 谈判公告</w:t>
      </w:r>
      <w:r>
        <w:rPr>
          <w:rFonts w:hint="eastAsia" w:ascii="宋体" w:hAnsi="宋体" w:eastAsia="宋体" w:cs="宋体"/>
          <w:color w:val="auto"/>
          <w:sz w:val="24"/>
          <w:szCs w:val="24"/>
        </w:rPr>
        <w:t>”中规定的时间前递交到</w:t>
      </w:r>
      <w:r>
        <w:rPr>
          <w:rFonts w:hint="eastAsia" w:ascii="宋体" w:hAnsi="宋体" w:eastAsia="宋体" w:cs="宋体"/>
          <w:color w:val="auto"/>
          <w:sz w:val="24"/>
          <w:szCs w:val="24"/>
          <w:u w:val="none"/>
        </w:rPr>
        <w:t>指定地点</w:t>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10.迟交的竞争性谈判响应文件</w:t>
      </w:r>
    </w:p>
    <w:p>
      <w:pPr>
        <w:keepLines w:val="0"/>
        <w:pageBreakBefore w:val="0"/>
        <w:kinsoku/>
        <w:topLinePunct w:val="0"/>
        <w:bidi w:val="0"/>
        <w:spacing w:line="400" w:lineRule="exact"/>
        <w:ind w:firstLine="475" w:firstLineChars="1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按《政府采购法》的规定，</w:t>
      </w:r>
      <w:r>
        <w:rPr>
          <w:rFonts w:hint="eastAsia" w:ascii="宋体" w:hAnsi="宋体" w:eastAsia="宋体" w:cs="宋体"/>
          <w:color w:val="auto"/>
          <w:sz w:val="24"/>
          <w:szCs w:val="24"/>
          <w:u w:val="none"/>
        </w:rPr>
        <w:t>政府采购代理机构将拒</w:t>
      </w:r>
      <w:r>
        <w:rPr>
          <w:rFonts w:hint="eastAsia" w:ascii="宋体" w:hAnsi="宋体" w:eastAsia="宋体" w:cs="宋体"/>
          <w:color w:val="auto"/>
          <w:sz w:val="24"/>
          <w:szCs w:val="24"/>
        </w:rPr>
        <w:t>绝或原封退回在其规定的递交竞争性谈判响应文件截止时间之后收到的任何竞争性谈判响应文件。</w:t>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五、谈判的步骤</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11.1</w:t>
      </w:r>
      <w:r>
        <w:rPr>
          <w:rFonts w:hint="eastAsia" w:ascii="宋体" w:hAnsi="宋体" w:eastAsia="宋体" w:cs="宋体"/>
          <w:color w:val="auto"/>
          <w:sz w:val="24"/>
          <w:szCs w:val="24"/>
        </w:rPr>
        <w:t>如发现下列情形之一的，其谈判响应文件将被视为无效：</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（1）谈判响应人的响应文件或资格证明文件未提供或不符合谈判文件要求的；</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（2）超出经营范围或业务范围响应的；</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（3）未按照谈判文件的要求制作谈判响应文件的；</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（4）谈判响应文件中的响应与事实不符或虚假响应的；</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（5）报价超过预算，且采购人无法支付的；</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（6）第二轮谈判报价不得高于第一轮报价；</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（7）未按照谈判文件规定要求密封、签署、盖章的；</w:t>
      </w:r>
    </w:p>
    <w:p>
      <w:pPr>
        <w:pStyle w:val="2"/>
        <w:keepLines w:val="0"/>
        <w:pageBreakBefore w:val="0"/>
        <w:kinsoku/>
        <w:topLinePunct w:val="0"/>
        <w:bidi w:val="0"/>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未标明项目履约期限或超过谈判文件规定的项目履约期限</w:t>
      </w:r>
      <w:r>
        <w:rPr>
          <w:rFonts w:hint="eastAsia" w:ascii="宋体" w:hAnsi="宋体" w:eastAsia="宋体" w:cs="宋体"/>
          <w:sz w:val="24"/>
          <w:szCs w:val="24"/>
          <w:lang w:eastAsia="zh-CN"/>
        </w:rPr>
        <w:t>。</w:t>
      </w:r>
    </w:p>
    <w:p>
      <w:pPr>
        <w:keepLines w:val="0"/>
        <w:pageBreakBefore w:val="0"/>
        <w:kinsoku/>
        <w:topLinePunct w:val="0"/>
        <w:bidi w:val="0"/>
        <w:spacing w:line="400" w:lineRule="exac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11.2第一轮谈判</w:t>
      </w:r>
    </w:p>
    <w:p>
      <w:pPr>
        <w:keepLines w:val="0"/>
        <w:pageBreakBefore w:val="0"/>
        <w:kinsoku/>
        <w:topLinePunct w:val="0"/>
        <w:bidi w:val="0"/>
        <w:spacing w:line="4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谈判小组按已确定的</w:t>
      </w:r>
      <w:r>
        <w:rPr>
          <w:rFonts w:hint="eastAsia" w:ascii="宋体" w:hAnsi="宋体" w:eastAsia="宋体" w:cs="宋体"/>
          <w:color w:val="auto"/>
          <w:sz w:val="24"/>
          <w:szCs w:val="24"/>
        </w:rPr>
        <w:t>谈判顺序，与单一供应商分别</w:t>
      </w:r>
      <w:r>
        <w:rPr>
          <w:rFonts w:hint="eastAsia" w:ascii="宋体" w:hAnsi="宋体" w:eastAsia="宋体" w:cs="宋体"/>
          <w:color w:val="auto"/>
          <w:kern w:val="0"/>
          <w:sz w:val="24"/>
          <w:szCs w:val="24"/>
        </w:rPr>
        <w:t>就符合采购需求、质量和服务等进行谈判，并了解其报价组成情况。</w:t>
      </w:r>
      <w:r>
        <w:rPr>
          <w:rFonts w:hint="eastAsia" w:ascii="宋体" w:hAnsi="宋体" w:eastAsia="宋体" w:cs="宋体"/>
          <w:color w:val="auto"/>
          <w:sz w:val="24"/>
          <w:szCs w:val="24"/>
        </w:rPr>
        <w:t>谈判中，谈判的任何一方不得透露与谈判有关的其他供应商的技术资料、价格和其他信息。</w:t>
      </w:r>
    </w:p>
    <w:p>
      <w:pPr>
        <w:keepLines w:val="0"/>
        <w:pageBreakBefore w:val="0"/>
        <w:widowControl/>
        <w:tabs>
          <w:tab w:val="left" w:pos="540"/>
        </w:tabs>
        <w:kinsoku/>
        <w:topLinePunct w:val="0"/>
        <w:bidi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代理机构对谈判过程和重要谈判内容进行记录，谈判双方在记录上签字确认。</w:t>
      </w:r>
    </w:p>
    <w:p>
      <w:pPr>
        <w:keepLines w:val="0"/>
        <w:pageBreakBefore w:val="0"/>
        <w:widowControl/>
        <w:tabs>
          <w:tab w:val="left" w:pos="540"/>
        </w:tabs>
        <w:kinsoku/>
        <w:topLinePunct w:val="0"/>
        <w:bidi w:val="0"/>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谈判小组一致确定响应供应商符合谈判文件要求的，按谈判文件设定的方法和标准确定成交候选人。第一轮谈判谈判小组未能确定成交候选人的，对谈判文件修正后进行第二轮谈判。</w:t>
      </w:r>
    </w:p>
    <w:p>
      <w:pPr>
        <w:keepLines w:val="0"/>
        <w:pageBreakBefore w:val="0"/>
        <w:widowControl/>
        <w:kinsoku/>
        <w:topLinePunct w:val="0"/>
        <w:bidi w:val="0"/>
        <w:spacing w:line="40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11.3谈判文件修正</w:t>
      </w:r>
    </w:p>
    <w:p>
      <w:pPr>
        <w:keepLines w:val="0"/>
        <w:pageBreakBefore w:val="0"/>
        <w:widowControl/>
        <w:tabs>
          <w:tab w:val="left" w:pos="540"/>
        </w:tabs>
        <w:kinsoku/>
        <w:topLinePunct w:val="0"/>
        <w:bidi w:val="0"/>
        <w:spacing w:line="40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⑴、</w:t>
      </w:r>
      <w:r>
        <w:rPr>
          <w:rFonts w:hint="eastAsia" w:ascii="宋体" w:hAnsi="宋体" w:eastAsia="宋体" w:cs="宋体"/>
          <w:color w:val="auto"/>
          <w:sz w:val="24"/>
          <w:szCs w:val="24"/>
        </w:rPr>
        <w:t>第一轮谈判结束后，各响应供应商退场等候，谈判小组进行合议。根据第一轮谈判掌握的情况，可以对谈判文件进行修改，确定采购内容的详细规格或具体要求，优化采购方案。</w:t>
      </w:r>
    </w:p>
    <w:p>
      <w:pPr>
        <w:keepLines w:val="0"/>
        <w:pageBreakBefore w:val="0"/>
        <w:widowControl/>
        <w:tabs>
          <w:tab w:val="left" w:pos="540"/>
        </w:tabs>
        <w:kinsoku/>
        <w:topLinePunct w:val="0"/>
        <w:bidi w:val="0"/>
        <w:spacing w:line="40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⑵、</w:t>
      </w:r>
      <w:r>
        <w:rPr>
          <w:rFonts w:hint="eastAsia" w:ascii="宋体" w:hAnsi="宋体" w:eastAsia="宋体" w:cs="宋体"/>
          <w:color w:val="auto"/>
          <w:kern w:val="0"/>
          <w:sz w:val="24"/>
          <w:szCs w:val="24"/>
        </w:rPr>
        <w:t>代理机构</w:t>
      </w:r>
      <w:r>
        <w:rPr>
          <w:rFonts w:hint="eastAsia" w:ascii="宋体" w:hAnsi="宋体" w:eastAsia="宋体" w:cs="宋体"/>
          <w:color w:val="auto"/>
          <w:sz w:val="24"/>
          <w:szCs w:val="24"/>
        </w:rPr>
        <w:t>通知响应供应商集中，谈判小组强调调整后的采购要求，将谈判文件的修改结果以书面的形式通知响应供应商，向响应供应商提供较充分的修正时间。</w:t>
      </w:r>
    </w:p>
    <w:p>
      <w:pPr>
        <w:keepLines w:val="0"/>
        <w:pageBreakBefore w:val="0"/>
        <w:widowControl/>
        <w:kinsoku/>
        <w:topLinePunct w:val="0"/>
        <w:bidi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⑶、响应供应商根据第一轮谈判情况和谈判文件修改书面的通知，对原响应文件进行修正，并将修正文件签字（盖章）后密封送交谈判小组。逾时不交的，视同放弃谈判。修正文件与响应文件同具法律效应。</w:t>
      </w:r>
    </w:p>
    <w:p>
      <w:pPr>
        <w:keepLines w:val="0"/>
        <w:pageBreakBefore w:val="0"/>
        <w:widowControl/>
        <w:kinsoku/>
        <w:topLinePunct w:val="0"/>
        <w:bidi w:val="0"/>
        <w:spacing w:line="40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11.4第二轮谈判</w:t>
      </w:r>
    </w:p>
    <w:p>
      <w:pPr>
        <w:keepLines w:val="0"/>
        <w:pageBreakBefore w:val="0"/>
        <w:kinsoku/>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谈判小组就修正后的响应文件与响应供应商分别进行谈判。谈判小组对谈判过程和重要谈判内容进行记录，谈判双方在记录上签字确认。谈判小组按谈判文件设定的方法和标准确定成交候选人。</w:t>
      </w:r>
    </w:p>
    <w:p>
      <w:pPr>
        <w:keepLines w:val="0"/>
        <w:pageBreakBefore w:val="0"/>
        <w:kinsoku/>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Lines w:val="0"/>
        <w:pageBreakBefore w:val="0"/>
        <w:widowControl/>
        <w:tabs>
          <w:tab w:val="left" w:pos="540"/>
        </w:tabs>
        <w:kinsoku/>
        <w:topLinePunct w:val="0"/>
        <w:bidi w:val="0"/>
        <w:spacing w:line="40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11.5最后报价（报价表格详见附件七）</w:t>
      </w:r>
    </w:p>
    <w:p>
      <w:pPr>
        <w:keepLines w:val="0"/>
        <w:pageBreakBefore w:val="0"/>
        <w:widowControl/>
        <w:tabs>
          <w:tab w:val="left" w:pos="540"/>
        </w:tabs>
        <w:kinsoku/>
        <w:topLinePunct w:val="0"/>
        <w:bidi w:val="0"/>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成交候选人作最后报价，密封递交谈判小组。谈判小组按报价从低到高排序，推荐成交候选人顺序，形成谈判报告。</w:t>
      </w:r>
    </w:p>
    <w:p>
      <w:pPr>
        <w:keepLines w:val="0"/>
        <w:pageBreakBefore w:val="0"/>
        <w:widowControl/>
        <w:tabs>
          <w:tab w:val="left" w:pos="540"/>
        </w:tabs>
        <w:kinsoku/>
        <w:topLinePunct w:val="0"/>
        <w:bidi w:val="0"/>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Lines w:val="0"/>
        <w:pageBreakBefore w:val="0"/>
        <w:kinsoku/>
        <w:topLinePunct w:val="0"/>
        <w:bidi w:val="0"/>
        <w:spacing w:line="400" w:lineRule="exact"/>
        <w:ind w:firstLine="235" w:firstLineChars="98"/>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六、非专门面向中小企业、监狱企业或残疾人福利性单位采购项目价格评议</w:t>
      </w:r>
    </w:p>
    <w:p>
      <w:pPr>
        <w:keepLines w:val="0"/>
        <w:pageBreakBefore w:val="0"/>
        <w:kinsoku/>
        <w:topLinePunct w:val="0"/>
        <w:bidi w:val="0"/>
        <w:spacing w:line="400" w:lineRule="exact"/>
        <w:ind w:firstLine="235" w:firstLineChars="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12.1依据《政府采购促进中小企业发展暂行办法》财库（2011）181号文、《财政部 司法部关于政府采购支持监狱企业发展有关问题的通知》财库（2014）68号文、《三部门联合发布关于促进残疾人就业政府采购政策的通知》财库（2017）141号文的规定，本项目对小型和微型企业、监狱企业、残疾人福利性单位的报价给予10%的扣除，用扣除后的价格参与评审。</w:t>
      </w:r>
    </w:p>
    <w:p>
      <w:pPr>
        <w:keepLines w:val="0"/>
        <w:pageBreakBefore w:val="0"/>
        <w:kinsoku/>
        <w:topLinePunct w:val="0"/>
        <w:bidi w:val="0"/>
        <w:spacing w:line="400" w:lineRule="exact"/>
        <w:ind w:firstLine="235" w:firstLineChars="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12.2中小企业划分标准详见《工业和信息化部、国家统计局、国家发展和改革委员会、财政部关于印发中小企业划型标准规定的通知》（工信部联企业[2011]300号）规定。</w:t>
      </w:r>
    </w:p>
    <w:p>
      <w:pPr>
        <w:keepLines w:val="0"/>
        <w:pageBreakBefore w:val="0"/>
        <w:kinsoku/>
        <w:topLinePunct w:val="0"/>
        <w:bidi w:val="0"/>
        <w:spacing w:line="400" w:lineRule="exact"/>
        <w:ind w:firstLine="235" w:firstLineChars="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Lines w:val="0"/>
        <w:pageBreakBefore w:val="0"/>
        <w:kinsoku/>
        <w:topLinePunct w:val="0"/>
        <w:bidi w:val="0"/>
        <w:spacing w:line="400" w:lineRule="exact"/>
        <w:ind w:firstLine="235" w:firstLineChars="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12.4残疾人福利性单位应符合《三部门联合发布关于促进残疾人就业政府采购政策的通知》财库（2017）141号文设定的相关条件。</w:t>
      </w:r>
    </w:p>
    <w:p>
      <w:pPr>
        <w:keepLines w:val="0"/>
        <w:pageBreakBefore w:val="0"/>
        <w:kinsoku/>
        <w:topLinePunct w:val="0"/>
        <w:bidi w:val="0"/>
        <w:spacing w:line="400" w:lineRule="exact"/>
        <w:ind w:firstLine="235" w:firstLineChars="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keepLines w:val="0"/>
        <w:pageBreakBefore w:val="0"/>
        <w:kinsoku/>
        <w:topLinePunct w:val="0"/>
        <w:bidi w:val="0"/>
        <w:spacing w:line="400" w:lineRule="exact"/>
        <w:ind w:firstLine="235" w:firstLineChars="9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12.5供应商若为残疾人福利性单位，必须提供残疾人福利性单位声明函原件，否则在评审时不予认可。</w:t>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七、确定成交供应商办法</w:t>
      </w:r>
    </w:p>
    <w:p>
      <w:pPr>
        <w:keepLines w:val="0"/>
        <w:pageBreakBefore w:val="0"/>
        <w:kinsoku/>
        <w:topLinePunct w:val="0"/>
        <w:bidi w:val="0"/>
        <w:spacing w:line="400" w:lineRule="exact"/>
        <w:ind w:left="420" w:hanging="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谈判小组只要求商务评审和技术（服务）评审合格的谈判供应商在规定的时间内进行报价。</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12.2谈判小组将根据需要决定是否要求所有合格的谈判供应商在规定时间内进行第二次或最后报价，该最后报价将作为谈判小组评比的最终依据。</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12.3根据符合采购需求、质量和服务相等且报价最低的原则确定成交供应商。若几个竞标人竞标报价相同，则由谈判小组现场组织相同报价的竞标人抽签决定其排列名次位置。</w:t>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八、签订合同</w:t>
      </w:r>
    </w:p>
    <w:p>
      <w:pPr>
        <w:keepLines w:val="0"/>
        <w:pageBreakBefore w:val="0"/>
        <w:kinsoku/>
        <w:topLinePunct w:val="0"/>
        <w:bidi w:val="0"/>
        <w:spacing w:line="400" w:lineRule="exact"/>
        <w:ind w:left="420" w:hanging="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13.成交供应商在收到成交通知书后，按规定与采购人签订采购合同。</w:t>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九、适用法律</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14.采购当事人的一切活动均适用于《中华人民共和国政府采购法》及相关规定。</w:t>
      </w:r>
    </w:p>
    <w:p>
      <w:pPr>
        <w:keepLines w:val="0"/>
        <w:pageBreakBefore w:val="0"/>
        <w:kinsoku/>
        <w:topLinePunct w:val="0"/>
        <w:bidi w:val="0"/>
        <w:spacing w:line="400" w:lineRule="exact"/>
        <w:jc w:val="center"/>
        <w:textAlignment w:val="auto"/>
        <w:outlineLvl w:val="0"/>
        <w:rPr>
          <w:rFonts w:hint="eastAsia" w:ascii="宋体" w:hAnsi="宋体" w:eastAsia="宋体" w:cs="宋体"/>
          <w:color w:val="auto"/>
          <w:sz w:val="28"/>
          <w:szCs w:val="28"/>
        </w:rPr>
      </w:pPr>
      <w:r>
        <w:rPr>
          <w:rFonts w:hint="eastAsia" w:ascii="宋体" w:hAnsi="宋体" w:eastAsia="宋体" w:cs="宋体"/>
          <w:color w:val="auto"/>
          <w:sz w:val="24"/>
          <w:szCs w:val="24"/>
        </w:rPr>
        <w:br w:type="page"/>
      </w:r>
      <w:bookmarkStart w:id="2" w:name="_Toc1275"/>
      <w:r>
        <w:rPr>
          <w:rFonts w:hint="eastAsia" w:ascii="宋体" w:hAnsi="宋体" w:eastAsia="宋体" w:cs="宋体"/>
          <w:b/>
          <w:color w:val="auto"/>
          <w:sz w:val="28"/>
          <w:szCs w:val="28"/>
        </w:rPr>
        <w:t>第三章</w:t>
      </w:r>
      <w:r>
        <w:rPr>
          <w:rFonts w:hint="eastAsia" w:ascii="宋体" w:hAnsi="宋体" w:eastAsia="宋体" w:cs="宋体"/>
          <w:color w:val="auto"/>
          <w:sz w:val="28"/>
          <w:szCs w:val="28"/>
        </w:rPr>
        <w:t>、</w:t>
      </w:r>
      <w:r>
        <w:rPr>
          <w:rFonts w:hint="eastAsia" w:ascii="宋体" w:hAnsi="宋体" w:eastAsia="宋体" w:cs="宋体"/>
          <w:b/>
          <w:color w:val="auto"/>
          <w:sz w:val="28"/>
          <w:szCs w:val="28"/>
        </w:rPr>
        <w:t>采购项目技术规格、参数及要求</w:t>
      </w:r>
      <w:bookmarkEnd w:id="2"/>
    </w:p>
    <w:p>
      <w:pPr>
        <w:keepLines w:val="0"/>
        <w:pageBreakBefore w:val="0"/>
        <w:kinsoku/>
        <w:topLinePunct w:val="0"/>
        <w:bidi w:val="0"/>
        <w:spacing w:line="400" w:lineRule="exact"/>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一、项目编号：</w:t>
      </w:r>
      <w:r>
        <w:rPr>
          <w:rFonts w:hint="eastAsia" w:ascii="宋体" w:hAnsi="宋体" w:eastAsia="宋体" w:cs="宋体"/>
          <w:color w:val="auto"/>
          <w:sz w:val="24"/>
          <w:szCs w:val="24"/>
          <w:highlight w:val="none"/>
          <w:lang w:val="en-US" w:eastAsia="zh-CN"/>
        </w:rPr>
        <w:t xml:space="preserve">冶农招【2024】039号  </w:t>
      </w:r>
    </w:p>
    <w:p>
      <w:pPr>
        <w:keepLines w:val="0"/>
        <w:pageBreakBefore w:val="0"/>
        <w:kinsoku/>
        <w:topLinePunct w:val="0"/>
        <w:bidi w:val="0"/>
        <w:spacing w:line="400" w:lineRule="exact"/>
        <w:ind w:firstLine="240" w:firstLineChars="1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、采购项目名称</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金湖街道四斗粮村变电站公路两边安装路灯及绿化工程</w:t>
      </w:r>
    </w:p>
    <w:p>
      <w:pPr>
        <w:keepLines w:val="0"/>
        <w:pageBreakBefore w:val="0"/>
        <w:kinsoku/>
        <w:topLinePunct w:val="0"/>
        <w:bidi w:val="0"/>
        <w:spacing w:line="40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三、项目地址：四斗粮村</w:t>
      </w:r>
    </w:p>
    <w:p>
      <w:pPr>
        <w:keepLines w:val="0"/>
        <w:pageBreakBefore w:val="0"/>
        <w:kinsoku/>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、采购项目需求</w:t>
      </w:r>
    </w:p>
    <w:p>
      <w:pPr>
        <w:keepLines w:val="0"/>
        <w:pageBreakBefore w:val="0"/>
        <w:kinsoku/>
        <w:topLinePunct w:val="0"/>
        <w:bidi w:val="0"/>
        <w:spacing w:line="400" w:lineRule="exact"/>
        <w:ind w:right="-48" w:rightChars="-23"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1、施工内容：详见附件中工程量清单；</w:t>
      </w:r>
    </w:p>
    <w:p>
      <w:pPr>
        <w:keepLines w:val="0"/>
        <w:pageBreakBefore w:val="0"/>
        <w:kinsoku/>
        <w:topLinePunct w:val="0"/>
        <w:bidi w:val="0"/>
        <w:spacing w:line="400" w:lineRule="exact"/>
        <w:ind w:right="-48" w:rightChars="-23"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2、施工要求：达到国家现行验收规范合格标准；</w:t>
      </w:r>
    </w:p>
    <w:p>
      <w:pPr>
        <w:keepLines w:val="0"/>
        <w:pageBreakBefore w:val="0"/>
        <w:tabs>
          <w:tab w:val="left" w:pos="180"/>
          <w:tab w:val="left" w:pos="1620"/>
        </w:tabs>
        <w:kinsoku/>
        <w:topLinePunct w:val="0"/>
        <w:bidi w:val="0"/>
        <w:spacing w:line="400" w:lineRule="exact"/>
        <w:ind w:firstLine="240" w:firstLineChars="100"/>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color w:val="auto"/>
          <w:sz w:val="24"/>
          <w:szCs w:val="24"/>
          <w:highlight w:val="none"/>
        </w:rPr>
        <w:t>3、付款方式：</w:t>
      </w:r>
      <w:r>
        <w:rPr>
          <w:rFonts w:hint="eastAsia" w:ascii="宋体" w:hAnsi="宋体" w:eastAsia="宋体" w:cs="宋体"/>
          <w:iCs/>
          <w:color w:val="auto"/>
          <w:sz w:val="24"/>
          <w:szCs w:val="24"/>
          <w:highlight w:val="none"/>
          <w:lang w:val="en-US" w:eastAsia="zh-CN"/>
        </w:rPr>
        <w:t>工程完工验收合格经审计后</w:t>
      </w:r>
      <w:r>
        <w:rPr>
          <w:rFonts w:hint="eastAsia" w:ascii="宋体" w:hAnsi="宋体" w:cs="宋体"/>
          <w:iCs/>
          <w:color w:val="auto"/>
          <w:sz w:val="24"/>
          <w:szCs w:val="24"/>
          <w:highlight w:val="none"/>
          <w:lang w:val="en-US" w:eastAsia="zh-CN"/>
        </w:rPr>
        <w:t>付至审定价的95%，余款待质保期期满后一次性付清。</w:t>
      </w:r>
    </w:p>
    <w:p>
      <w:pPr>
        <w:keepLines w:val="0"/>
        <w:pageBreakBefore w:val="0"/>
        <w:kinsoku/>
        <w:topLinePunct w:val="0"/>
        <w:bidi w:val="0"/>
        <w:spacing w:line="400" w:lineRule="exact"/>
        <w:ind w:right="-48" w:rightChars="-23"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4、施工工期：</w:t>
      </w:r>
      <w:r>
        <w:rPr>
          <w:rFonts w:hint="eastAsia" w:ascii="宋体" w:hAnsi="宋体" w:cs="宋体"/>
          <w:color w:val="auto"/>
          <w:sz w:val="24"/>
          <w:szCs w:val="24"/>
          <w:highlight w:val="none"/>
          <w:lang w:val="en-US" w:eastAsia="zh-CN"/>
        </w:rPr>
        <w:t>150日历天；</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5、本工程施工中的工农关系由成交供应商自行处理，采购人配合协调。</w:t>
      </w:r>
    </w:p>
    <w:p>
      <w:pPr>
        <w:pStyle w:val="2"/>
        <w:keepNext w:val="0"/>
        <w:keepLines w:val="0"/>
        <w:pageBreakBefore w:val="0"/>
        <w:widowControl w:val="0"/>
        <w:kinsoku/>
        <w:wordWrap/>
        <w:overflowPunct/>
        <w:topLinePunct w:val="0"/>
        <w:bidi w:val="0"/>
        <w:spacing w:line="400" w:lineRule="exact"/>
        <w:ind w:left="0" w:leftChars="0" w:firstLine="240" w:firstLineChars="100"/>
        <w:textAlignment w:val="auto"/>
        <w:rPr>
          <w:rFonts w:hint="eastAsia"/>
        </w:rPr>
      </w:pPr>
      <w:r>
        <w:rPr>
          <w:rFonts w:hint="eastAsia"/>
        </w:rPr>
        <w:t>6、谈判供应商须确保不拖欠农民工工资，且每月足额发放到位（提供承诺函），未提供承诺函作无效投标处理。</w:t>
      </w:r>
    </w:p>
    <w:p>
      <w:pPr>
        <w:pStyle w:val="2"/>
        <w:keepNext w:val="0"/>
        <w:keepLines w:val="0"/>
        <w:pageBreakBefore w:val="0"/>
        <w:widowControl w:val="0"/>
        <w:kinsoku/>
        <w:wordWrap/>
        <w:overflowPunct/>
        <w:topLinePunct w:val="0"/>
        <w:bidi w:val="0"/>
        <w:spacing w:line="400" w:lineRule="exact"/>
        <w:ind w:left="0" w:leftChars="0" w:firstLine="240" w:firstLineChars="100"/>
        <w:textAlignment w:val="auto"/>
        <w:rPr>
          <w:rFonts w:hint="eastAsia"/>
        </w:rPr>
      </w:pPr>
      <w:r>
        <w:rPr>
          <w:rFonts w:hint="eastAsia"/>
        </w:rPr>
        <w:t>7、谈判响应文件中规定的声明、承诺函，有格式的按格式提供；无格式的，供应商应自理格式提供。</w:t>
      </w:r>
    </w:p>
    <w:p>
      <w:pPr>
        <w:keepLines w:val="0"/>
        <w:pageBreakBefore w:val="0"/>
        <w:kinsoku/>
        <w:topLinePunct w:val="0"/>
        <w:bidi w:val="0"/>
        <w:spacing w:line="400" w:lineRule="exact"/>
        <w:jc w:val="center"/>
        <w:textAlignment w:val="auto"/>
        <w:outlineLvl w:val="0"/>
        <w:rPr>
          <w:rFonts w:hint="eastAsia" w:ascii="宋体" w:hAnsi="宋体" w:eastAsia="宋体" w:cs="宋体"/>
          <w:color w:val="auto"/>
          <w:sz w:val="28"/>
          <w:szCs w:val="28"/>
        </w:rPr>
      </w:pPr>
      <w:r>
        <w:rPr>
          <w:rFonts w:hint="eastAsia" w:ascii="宋体" w:hAnsi="宋体" w:eastAsia="宋体" w:cs="宋体"/>
          <w:b/>
          <w:color w:val="auto"/>
          <w:sz w:val="24"/>
          <w:szCs w:val="24"/>
        </w:rPr>
        <w:br w:type="page"/>
      </w:r>
      <w:bookmarkStart w:id="3" w:name="_Toc428523584"/>
      <w:bookmarkStart w:id="4" w:name="_Toc11754"/>
      <w:r>
        <w:rPr>
          <w:rFonts w:hint="eastAsia" w:ascii="宋体" w:hAnsi="宋体" w:eastAsia="宋体" w:cs="宋体"/>
          <w:b/>
          <w:color w:val="auto"/>
          <w:sz w:val="28"/>
          <w:szCs w:val="28"/>
        </w:rPr>
        <w:t>第四章</w:t>
      </w:r>
      <w:bookmarkEnd w:id="3"/>
      <w:r>
        <w:rPr>
          <w:rFonts w:hint="eastAsia" w:ascii="宋体" w:hAnsi="宋体" w:eastAsia="宋体" w:cs="宋体"/>
          <w:b/>
          <w:color w:val="auto"/>
          <w:sz w:val="28"/>
          <w:szCs w:val="28"/>
        </w:rPr>
        <w:t xml:space="preserve"> 附表</w:t>
      </w:r>
      <w:bookmarkEnd w:id="4"/>
    </w:p>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tabs>
          <w:tab w:val="left" w:pos="180"/>
          <w:tab w:val="left" w:pos="1620"/>
        </w:tabs>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(谈判响应文件基本格式)</w:t>
      </w:r>
    </w:p>
    <w:p>
      <w:pPr>
        <w:keepLines w:val="0"/>
        <w:pageBreakBefore w:val="0"/>
        <w:tabs>
          <w:tab w:val="left" w:pos="180"/>
          <w:tab w:val="left" w:pos="1620"/>
        </w:tabs>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(封面)</w:t>
      </w:r>
    </w:p>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竞争性谈判响应文件</w:t>
      </w:r>
    </w:p>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ind w:firstLine="2673" w:firstLineChars="111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采购项目编号：</w:t>
      </w:r>
    </w:p>
    <w:p>
      <w:pPr>
        <w:keepLines w:val="0"/>
        <w:pageBreakBefore w:val="0"/>
        <w:tabs>
          <w:tab w:val="left" w:pos="3240"/>
        </w:tabs>
        <w:kinsoku/>
        <w:topLinePunct w:val="0"/>
        <w:bidi w:val="0"/>
        <w:spacing w:line="400" w:lineRule="exact"/>
        <w:ind w:firstLine="2673" w:firstLineChars="111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采购项目名称：</w:t>
      </w:r>
    </w:p>
    <w:p>
      <w:pPr>
        <w:keepLines w:val="0"/>
        <w:pageBreakBefore w:val="0"/>
        <w:kinsoku/>
        <w:topLinePunct w:val="0"/>
        <w:bidi w:val="0"/>
        <w:spacing w:line="400" w:lineRule="exact"/>
        <w:ind w:firstLine="2673" w:firstLineChars="111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谈判内容：</w:t>
      </w:r>
    </w:p>
    <w:p>
      <w:pPr>
        <w:keepLines w:val="0"/>
        <w:pageBreakBefore w:val="0"/>
        <w:tabs>
          <w:tab w:val="left" w:pos="2625"/>
        </w:tabs>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tabs>
          <w:tab w:val="left" w:pos="2625"/>
        </w:tabs>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tabs>
          <w:tab w:val="left" w:pos="2625"/>
        </w:tabs>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tabs>
          <w:tab w:val="left" w:pos="2625"/>
        </w:tabs>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tabs>
          <w:tab w:val="left" w:pos="2625"/>
        </w:tabs>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tabs>
          <w:tab w:val="left" w:pos="2625"/>
        </w:tabs>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tabs>
          <w:tab w:val="left" w:pos="2625"/>
        </w:tabs>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ind w:firstLine="3480" w:firstLineChars="14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w:t>
      </w:r>
    </w:p>
    <w:p>
      <w:pPr>
        <w:keepLines w:val="0"/>
        <w:pageBreakBefore w:val="0"/>
        <w:kinsoku/>
        <w:topLinePunct w:val="0"/>
        <w:bidi w:val="0"/>
        <w:spacing w:line="400" w:lineRule="exact"/>
        <w:ind w:firstLine="4080" w:firstLineChars="17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br w:type="page"/>
      </w:r>
      <w:r>
        <w:rPr>
          <w:rFonts w:hint="eastAsia" w:ascii="宋体" w:hAnsi="宋体" w:eastAsia="宋体" w:cs="宋体"/>
          <w:b/>
          <w:color w:val="auto"/>
          <w:sz w:val="24"/>
          <w:szCs w:val="24"/>
        </w:rPr>
        <w:t>附件一</w:t>
      </w:r>
    </w:p>
    <w:p>
      <w:pPr>
        <w:keepLines w:val="0"/>
        <w:pageBreakBefore w:val="0"/>
        <w:kinsoku/>
        <w:topLinePunct w:val="0"/>
        <w:bidi w:val="0"/>
        <w:spacing w:line="4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谈判书</w:t>
      </w:r>
    </w:p>
    <w:p>
      <w:pPr>
        <w:pStyle w:val="20"/>
        <w:keepLines w:val="0"/>
        <w:pageBreakBefore w:val="0"/>
        <w:tabs>
          <w:tab w:val="left" w:pos="3885"/>
        </w:tabs>
        <w:kinsoku/>
        <w:topLinePunct w:val="0"/>
        <w:bidi w:val="0"/>
        <w:spacing w:line="400" w:lineRule="exact"/>
        <w:jc w:val="center"/>
        <w:textAlignment w:val="auto"/>
        <w:rPr>
          <w:rFonts w:hint="eastAsia" w:ascii="宋体" w:hAnsi="宋体" w:eastAsia="宋体" w:cs="宋体"/>
          <w:color w:val="auto"/>
          <w:sz w:val="24"/>
          <w:szCs w:val="24"/>
        </w:rPr>
      </w:pPr>
    </w:p>
    <w:p>
      <w:pPr>
        <w:pStyle w:val="20"/>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（采购人/政府采购代理机构）</w:t>
      </w:r>
      <w:r>
        <w:rPr>
          <w:rFonts w:hint="eastAsia" w:ascii="宋体" w:hAnsi="宋体" w:eastAsia="宋体" w:cs="宋体"/>
          <w:color w:val="auto"/>
          <w:sz w:val="24"/>
          <w:szCs w:val="24"/>
        </w:rPr>
        <w:t>：</w:t>
      </w:r>
    </w:p>
    <w:p>
      <w:pPr>
        <w:pStyle w:val="20"/>
        <w:keepLines w:val="0"/>
        <w:pageBreakBefore w:val="0"/>
        <w:kinsoku/>
        <w:topLinePunct w:val="0"/>
        <w:bidi w:val="0"/>
        <w:spacing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依据贵方</w:t>
      </w:r>
      <w:r>
        <w:rPr>
          <w:rFonts w:hint="eastAsia" w:ascii="宋体" w:hAnsi="宋体" w:eastAsia="宋体" w:cs="宋体"/>
          <w:color w:val="auto"/>
          <w:sz w:val="24"/>
          <w:szCs w:val="24"/>
          <w:u w:val="single"/>
        </w:rPr>
        <w:t>（项目名称/文件编号）</w:t>
      </w:r>
      <w:r>
        <w:rPr>
          <w:rFonts w:hint="eastAsia" w:ascii="宋体" w:hAnsi="宋体" w:eastAsia="宋体" w:cs="宋体"/>
          <w:color w:val="auto"/>
          <w:sz w:val="24"/>
          <w:szCs w:val="24"/>
        </w:rPr>
        <w:t>项目政府采购的谈判邀请，我方</w:t>
      </w:r>
      <w:r>
        <w:rPr>
          <w:rFonts w:hint="eastAsia" w:ascii="宋体" w:hAnsi="宋体" w:eastAsia="宋体" w:cs="宋体"/>
          <w:color w:val="auto"/>
          <w:sz w:val="24"/>
          <w:szCs w:val="24"/>
          <w:u w:val="single"/>
        </w:rPr>
        <w:t>（姓名和职务）</w:t>
      </w:r>
      <w:r>
        <w:rPr>
          <w:rFonts w:hint="eastAsia" w:ascii="宋体" w:hAnsi="宋体" w:eastAsia="宋体" w:cs="宋体"/>
          <w:color w:val="auto"/>
          <w:sz w:val="24"/>
          <w:szCs w:val="24"/>
        </w:rPr>
        <w:t>经正式授权并代表谈判供应商</w:t>
      </w:r>
      <w:r>
        <w:rPr>
          <w:rFonts w:hint="eastAsia" w:ascii="宋体" w:hAnsi="宋体" w:eastAsia="宋体" w:cs="宋体"/>
          <w:color w:val="auto"/>
          <w:sz w:val="24"/>
          <w:szCs w:val="24"/>
          <w:u w:val="single"/>
        </w:rPr>
        <w:t>（谈判供应商名称、地址）</w:t>
      </w:r>
      <w:r>
        <w:rPr>
          <w:rFonts w:hint="eastAsia" w:ascii="宋体" w:hAnsi="宋体" w:eastAsia="宋体" w:cs="宋体"/>
          <w:color w:val="auto"/>
          <w:sz w:val="24"/>
          <w:szCs w:val="24"/>
        </w:rPr>
        <w:t>提交下述竞争性谈判响应文件价格及商务技术服务文件正本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份和副本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pPr>
        <w:pStyle w:val="20"/>
        <w:keepLines w:val="0"/>
        <w:pageBreakBefore w:val="0"/>
        <w:kinsoku/>
        <w:topLinePunct w:val="0"/>
        <w:bidi w:val="0"/>
        <w:spacing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1.报价表；</w:t>
      </w:r>
    </w:p>
    <w:p>
      <w:pPr>
        <w:pStyle w:val="20"/>
        <w:keepLines w:val="0"/>
        <w:pageBreakBefore w:val="0"/>
        <w:kinsoku/>
        <w:topLinePunct w:val="0"/>
        <w:bidi w:val="0"/>
        <w:spacing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2.分项报价表(已标价工程量清单)；</w:t>
      </w:r>
    </w:p>
    <w:p>
      <w:pPr>
        <w:pStyle w:val="20"/>
        <w:keepLines w:val="0"/>
        <w:pageBreakBefore w:val="0"/>
        <w:kinsoku/>
        <w:topLinePunct w:val="0"/>
        <w:bidi w:val="0"/>
        <w:spacing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3.按竞争性谈判文件谈判须知和技术规格要求提供的有关文件；</w:t>
      </w:r>
    </w:p>
    <w:p>
      <w:pPr>
        <w:pStyle w:val="20"/>
        <w:keepLines w:val="0"/>
        <w:pageBreakBefore w:val="0"/>
        <w:kinsoku/>
        <w:topLinePunct w:val="0"/>
        <w:bidi w:val="0"/>
        <w:spacing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4.资格证明文件；</w:t>
      </w:r>
    </w:p>
    <w:p>
      <w:pPr>
        <w:pStyle w:val="20"/>
        <w:keepLines w:val="0"/>
        <w:pageBreakBefore w:val="0"/>
        <w:kinsoku/>
        <w:topLinePunct w:val="0"/>
        <w:bidi w:val="0"/>
        <w:spacing w:line="4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在此，授权代表宣布同意如下：</w:t>
      </w:r>
    </w:p>
    <w:p>
      <w:pPr>
        <w:pStyle w:val="20"/>
        <w:keepLines w:val="0"/>
        <w:pageBreakBefore w:val="0"/>
        <w:kinsoku/>
        <w:topLinePunct w:val="0"/>
        <w:bidi w:val="0"/>
        <w:spacing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1.将按竞争性谈判文件的约定履行合同责任和义务；</w:t>
      </w:r>
    </w:p>
    <w:p>
      <w:pPr>
        <w:pStyle w:val="20"/>
        <w:keepLines w:val="0"/>
        <w:pageBreakBefore w:val="0"/>
        <w:kinsoku/>
        <w:topLinePunct w:val="0"/>
        <w:bidi w:val="0"/>
        <w:spacing w:line="400" w:lineRule="exact"/>
        <w:ind w:left="840" w:hanging="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2.已详细审查全部竞争性谈判文件，包括</w:t>
      </w:r>
      <w:r>
        <w:rPr>
          <w:rFonts w:hint="eastAsia" w:ascii="宋体" w:hAnsi="宋体" w:eastAsia="宋体" w:cs="宋体"/>
          <w:color w:val="auto"/>
          <w:sz w:val="24"/>
          <w:szCs w:val="24"/>
          <w:u w:val="single"/>
        </w:rPr>
        <w:t>（补遗书）（如果有的话）</w:t>
      </w:r>
      <w:r>
        <w:rPr>
          <w:rFonts w:hint="eastAsia" w:ascii="宋体" w:hAnsi="宋体" w:eastAsia="宋体" w:cs="宋体"/>
          <w:color w:val="auto"/>
          <w:sz w:val="24"/>
          <w:szCs w:val="24"/>
        </w:rPr>
        <w:t>；我们完全理解并同意放弃对这方面有不明及误解的权力；</w:t>
      </w:r>
    </w:p>
    <w:p>
      <w:pPr>
        <w:pStyle w:val="20"/>
        <w:keepLines w:val="0"/>
        <w:pageBreakBefore w:val="0"/>
        <w:kinsoku/>
        <w:topLinePunct w:val="0"/>
        <w:bidi w:val="0"/>
        <w:spacing w:line="400" w:lineRule="exact"/>
        <w:ind w:left="840" w:hanging="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3.同意提供按照贵方可能要求的与其谈判有关的一切数据或资料；</w:t>
      </w:r>
    </w:p>
    <w:p>
      <w:pPr>
        <w:pStyle w:val="20"/>
        <w:keepLines w:val="0"/>
        <w:pageBreakBefore w:val="0"/>
        <w:kinsoku/>
        <w:topLinePunct w:val="0"/>
        <w:bidi w:val="0"/>
        <w:spacing w:line="400" w:lineRule="exact"/>
        <w:ind w:left="840" w:hanging="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4.提交的“已标价工程量清单”中存在漏项或未填写的单价和合价等情况，视为已包括在工程量清单的其它单价和合价中，</w:t>
      </w:r>
      <w:r>
        <w:rPr>
          <w:rFonts w:hint="eastAsia" w:ascii="宋体" w:hAnsi="宋体" w:eastAsia="宋体" w:cs="宋体"/>
          <w:color w:val="auto"/>
          <w:sz w:val="24"/>
          <w:szCs w:val="24"/>
          <w:lang w:val="en-US" w:eastAsia="zh-CN"/>
        </w:rPr>
        <w:t>并承诺</w:t>
      </w:r>
      <w:r>
        <w:rPr>
          <w:rFonts w:hint="eastAsia" w:ascii="宋体" w:hAnsi="宋体" w:eastAsia="宋体" w:cs="宋体"/>
          <w:color w:val="auto"/>
          <w:sz w:val="24"/>
          <w:szCs w:val="24"/>
        </w:rPr>
        <w:t>不得作为以后工程量变更增加投资的因素。</w:t>
      </w:r>
    </w:p>
    <w:p>
      <w:pPr>
        <w:pStyle w:val="20"/>
        <w:keepLines w:val="0"/>
        <w:pageBreakBefore w:val="0"/>
        <w:kinsoku/>
        <w:topLinePunct w:val="0"/>
        <w:bidi w:val="0"/>
        <w:spacing w:line="400" w:lineRule="exact"/>
        <w:ind w:left="840" w:hanging="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5.本响应文件有效期为自竞争性谈判之日起个</w:t>
      </w:r>
      <w:r>
        <w:rPr>
          <w:rFonts w:hint="eastAsia" w:ascii="宋体" w:hAnsi="宋体" w:eastAsia="宋体" w:cs="宋体"/>
          <w:color w:val="auto"/>
          <w:sz w:val="24"/>
          <w:szCs w:val="24"/>
          <w:lang w:eastAsia="zh-CN"/>
        </w:rPr>
        <w:t>（60）</w:t>
      </w:r>
      <w:r>
        <w:rPr>
          <w:rFonts w:hint="eastAsia" w:ascii="宋体" w:hAnsi="宋体" w:eastAsia="宋体" w:cs="宋体"/>
          <w:color w:val="auto"/>
          <w:sz w:val="24"/>
          <w:szCs w:val="24"/>
        </w:rPr>
        <w:t>日历</w:t>
      </w:r>
      <w:r>
        <w:rPr>
          <w:rFonts w:hint="eastAsia" w:ascii="宋体" w:hAnsi="宋体" w:eastAsia="宋体" w:cs="宋体"/>
          <w:color w:val="auto"/>
          <w:sz w:val="24"/>
          <w:szCs w:val="24"/>
          <w:lang w:val="en-US" w:eastAsia="zh-CN"/>
        </w:rPr>
        <w:t>天</w:t>
      </w:r>
      <w:r>
        <w:rPr>
          <w:rFonts w:hint="eastAsia" w:ascii="宋体" w:hAnsi="宋体" w:eastAsia="宋体" w:cs="宋体"/>
          <w:color w:val="auto"/>
          <w:sz w:val="24"/>
          <w:szCs w:val="24"/>
        </w:rPr>
        <w:t>；</w:t>
      </w:r>
    </w:p>
    <w:p>
      <w:pPr>
        <w:pStyle w:val="20"/>
        <w:keepLines w:val="0"/>
        <w:pageBreakBefore w:val="0"/>
        <w:kinsoku/>
        <w:topLinePunct w:val="0"/>
        <w:bidi w:val="0"/>
        <w:spacing w:line="400" w:lineRule="exact"/>
        <w:ind w:firstLine="48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6.与本谈判有关的一切正式往来信函请寄：</w:t>
      </w:r>
    </w:p>
    <w:p>
      <w:pPr>
        <w:pStyle w:val="20"/>
        <w:keepLines w:val="0"/>
        <w:pageBreakBefore w:val="0"/>
        <w:kinsoku/>
        <w:topLinePunct w:val="0"/>
        <w:bidi w:val="0"/>
        <w:spacing w:line="400" w:lineRule="exact"/>
        <w:ind w:firstLine="720" w:firstLineChars="3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电话/传真：</w:t>
      </w:r>
      <w:r>
        <w:rPr>
          <w:rFonts w:hint="eastAsia" w:ascii="宋体" w:hAnsi="宋体" w:eastAsia="宋体" w:cs="宋体"/>
          <w:color w:val="auto"/>
          <w:sz w:val="24"/>
          <w:szCs w:val="24"/>
          <w:u w:val="single"/>
          <w:lang w:val="en-US" w:eastAsia="zh-CN"/>
        </w:rPr>
        <w:t xml:space="preserve">                                  </w:t>
      </w:r>
    </w:p>
    <w:p>
      <w:pPr>
        <w:pStyle w:val="20"/>
        <w:keepLines w:val="0"/>
        <w:pageBreakBefore w:val="0"/>
        <w:kinsoku/>
        <w:topLinePunct w:val="0"/>
        <w:bidi w:val="0"/>
        <w:spacing w:line="400" w:lineRule="exact"/>
        <w:ind w:firstLine="720" w:firstLineChars="3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电子函件：</w:t>
      </w:r>
      <w:r>
        <w:rPr>
          <w:rFonts w:hint="eastAsia" w:ascii="宋体" w:hAnsi="宋体" w:eastAsia="宋体" w:cs="宋体"/>
          <w:color w:val="auto"/>
          <w:sz w:val="24"/>
          <w:szCs w:val="24"/>
          <w:u w:val="single"/>
          <w:lang w:val="en-US" w:eastAsia="zh-CN"/>
        </w:rPr>
        <w:t xml:space="preserve">                                   </w:t>
      </w:r>
    </w:p>
    <w:p>
      <w:pPr>
        <w:pStyle w:val="20"/>
        <w:keepLines w:val="0"/>
        <w:pageBreakBefore w:val="0"/>
        <w:kinsoku/>
        <w:topLinePunct w:val="0"/>
        <w:bidi w:val="0"/>
        <w:spacing w:line="400" w:lineRule="exact"/>
        <w:ind w:firstLine="720" w:firstLineChars="3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日  期：  年  月  日</w:t>
      </w:r>
    </w:p>
    <w:p>
      <w:pPr>
        <w:pStyle w:val="20"/>
        <w:keepLines w:val="0"/>
        <w:pageBreakBefore w:val="0"/>
        <w:kinsoku/>
        <w:topLinePunct w:val="0"/>
        <w:bidi w:val="0"/>
        <w:spacing w:line="400" w:lineRule="exact"/>
        <w:ind w:firstLine="720" w:firstLineChars="3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谈判供应商或法定代表人授权代表签字：</w:t>
      </w:r>
      <w:r>
        <w:rPr>
          <w:rFonts w:hint="eastAsia" w:ascii="宋体" w:hAnsi="宋体" w:eastAsia="宋体" w:cs="宋体"/>
          <w:color w:val="auto"/>
          <w:sz w:val="24"/>
          <w:szCs w:val="24"/>
          <w:u w:val="single"/>
          <w:lang w:val="en-US" w:eastAsia="zh-CN"/>
        </w:rPr>
        <w:t xml:space="preserve">             </w:t>
      </w:r>
    </w:p>
    <w:p>
      <w:pPr>
        <w:pStyle w:val="20"/>
        <w:keepLines w:val="0"/>
        <w:pageBreakBefore w:val="0"/>
        <w:kinsoku/>
        <w:topLinePunct w:val="0"/>
        <w:bidi w:val="0"/>
        <w:spacing w:line="400" w:lineRule="exact"/>
        <w:ind w:firstLine="720" w:firstLineChars="3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供应商名称（单位盖章）：</w:t>
      </w:r>
      <w:r>
        <w:rPr>
          <w:rFonts w:hint="eastAsia" w:ascii="宋体" w:hAnsi="宋体" w:eastAsia="宋体" w:cs="宋体"/>
          <w:color w:val="auto"/>
          <w:sz w:val="24"/>
          <w:szCs w:val="24"/>
          <w:u w:val="single"/>
          <w:lang w:val="en-US" w:eastAsia="zh-CN"/>
        </w:rPr>
        <w:t xml:space="preserve">                 </w:t>
      </w:r>
    </w:p>
    <w:p>
      <w:pPr>
        <w:pStyle w:val="20"/>
        <w:keepLines w:val="0"/>
        <w:pageBreakBefore w:val="0"/>
        <w:kinsoku/>
        <w:topLinePunct w:val="0"/>
        <w:bidi w:val="0"/>
        <w:spacing w:line="400" w:lineRule="exact"/>
        <w:ind w:firstLine="720" w:firstLineChars="3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lang w:val="en-US" w:eastAsia="zh-CN"/>
        </w:rPr>
        <w:t xml:space="preserve">                           </w:t>
      </w:r>
    </w:p>
    <w:p>
      <w:pPr>
        <w:pStyle w:val="20"/>
        <w:keepLines w:val="0"/>
        <w:pageBreakBefore w:val="0"/>
        <w:kinsoku/>
        <w:topLinePunct w:val="0"/>
        <w:bidi w:val="0"/>
        <w:spacing w:line="400" w:lineRule="exact"/>
        <w:ind w:firstLine="720" w:firstLineChars="3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帐号/行号：</w:t>
      </w:r>
      <w:r>
        <w:rPr>
          <w:rFonts w:hint="eastAsia" w:ascii="宋体" w:hAnsi="宋体" w:eastAsia="宋体" w:cs="宋体"/>
          <w:color w:val="auto"/>
          <w:sz w:val="24"/>
          <w:szCs w:val="24"/>
          <w:u w:val="single"/>
          <w:lang w:val="en-US" w:eastAsia="zh-CN"/>
        </w:rPr>
        <w:t xml:space="preserve">                          </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b/>
          <w:color w:val="auto"/>
          <w:sz w:val="28"/>
          <w:szCs w:val="28"/>
        </w:rPr>
      </w:pPr>
      <w:r>
        <w:rPr>
          <w:rFonts w:hint="eastAsia" w:ascii="宋体" w:hAnsi="宋体" w:eastAsia="宋体" w:cs="宋体"/>
          <w:color w:val="auto"/>
          <w:sz w:val="24"/>
          <w:szCs w:val="24"/>
        </w:rPr>
        <w:br w:type="page"/>
      </w:r>
      <w:r>
        <w:rPr>
          <w:rFonts w:hint="eastAsia" w:ascii="宋体" w:hAnsi="宋体" w:eastAsia="宋体" w:cs="宋体"/>
          <w:b/>
          <w:color w:val="auto"/>
          <w:sz w:val="24"/>
          <w:szCs w:val="24"/>
        </w:rPr>
        <w:t>附件二</w:t>
      </w:r>
    </w:p>
    <w:p>
      <w:pPr>
        <w:keepLines w:val="0"/>
        <w:pageBreakBefore w:val="0"/>
        <w:kinsoku/>
        <w:topLinePunct w:val="0"/>
        <w:bidi w:val="0"/>
        <w:spacing w:line="4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报 价 表</w:t>
      </w:r>
    </w:p>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pPr>
        <w:keepLines w:val="0"/>
        <w:pageBreakBefore w:val="0"/>
        <w:tabs>
          <w:tab w:val="left" w:pos="180"/>
          <w:tab w:val="left" w:pos="1620"/>
        </w:tabs>
        <w:kinsoku/>
        <w:topLinePunct w:val="0"/>
        <w:bidi w:val="0"/>
        <w:spacing w:line="400" w:lineRule="exact"/>
        <w:textAlignment w:val="auto"/>
        <w:rPr>
          <w:rFonts w:hint="eastAsia" w:ascii="宋体" w:hAnsi="宋体" w:eastAsia="宋体" w:cs="宋体"/>
          <w:b/>
          <w:sz w:val="24"/>
          <w:szCs w:val="24"/>
        </w:rPr>
      </w:pPr>
      <w:r>
        <w:rPr>
          <w:rFonts w:hint="eastAsia" w:ascii="宋体" w:hAnsi="宋体" w:eastAsia="宋体" w:cs="宋体"/>
          <w:sz w:val="24"/>
          <w:szCs w:val="24"/>
        </w:rPr>
        <w:t xml:space="preserve">项目名称:  </w:t>
      </w:r>
    </w:p>
    <w:tbl>
      <w:tblPr>
        <w:tblStyle w:val="30"/>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人民币（大写）元（¥）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姓名：      执业资格名称：</w:t>
            </w:r>
          </w:p>
          <w:p>
            <w:pPr>
              <w:keepLines w:val="0"/>
              <w:pageBreakBefore w:val="0"/>
              <w:kinsoku/>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专业、级别：      注册编号：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天数：日历天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textAlignment w:val="auto"/>
              <w:rPr>
                <w:rFonts w:hint="eastAsia" w:ascii="宋体" w:hAnsi="宋体" w:eastAsia="宋体" w:cs="宋体"/>
                <w:sz w:val="24"/>
                <w:szCs w:val="24"/>
              </w:rPr>
            </w:pPr>
          </w:p>
        </w:tc>
      </w:tr>
    </w:tbl>
    <w:p>
      <w:pPr>
        <w:keepLines w:val="0"/>
        <w:pageBreakBefore w:val="0"/>
        <w:kinsoku/>
        <w:topLinePunct w:val="0"/>
        <w:bidi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备注：本次谈判报价为综合报价，报价单位为人民币元。</w:t>
      </w:r>
    </w:p>
    <w:p>
      <w:pPr>
        <w:keepLines w:val="0"/>
        <w:pageBreakBefore w:val="0"/>
        <w:kinsoku/>
        <w:topLinePunct w:val="0"/>
        <w:bidi w:val="0"/>
        <w:spacing w:line="400" w:lineRule="exact"/>
        <w:textAlignment w:val="auto"/>
        <w:rPr>
          <w:rFonts w:hint="eastAsia" w:ascii="宋体" w:hAnsi="宋体" w:eastAsia="宋体" w:cs="宋体"/>
          <w:sz w:val="24"/>
          <w:szCs w:val="24"/>
        </w:rPr>
      </w:pPr>
    </w:p>
    <w:p>
      <w:pPr>
        <w:keepLines w:val="0"/>
        <w:pageBreakBefore w:val="0"/>
        <w:kinsoku/>
        <w:topLinePunct w:val="0"/>
        <w:bidi w:val="0"/>
        <w:adjustRightInd w:val="0"/>
        <w:snapToGrid w:val="0"/>
        <w:spacing w:line="400" w:lineRule="exact"/>
        <w:ind w:firstLine="480" w:firstLineChars="200"/>
        <w:jc w:val="right"/>
        <w:textAlignment w:val="auto"/>
        <w:rPr>
          <w:rFonts w:hint="eastAsia" w:ascii="宋体" w:hAnsi="宋体" w:eastAsia="宋体" w:cs="宋体"/>
          <w:sz w:val="24"/>
          <w:szCs w:val="24"/>
        </w:rPr>
      </w:pPr>
    </w:p>
    <w:p>
      <w:pPr>
        <w:keepLines w:val="0"/>
        <w:pageBreakBefore w:val="0"/>
        <w:kinsoku/>
        <w:topLinePunct w:val="0"/>
        <w:bidi w:val="0"/>
        <w:adjustRightInd w:val="0"/>
        <w:snapToGrid w:val="0"/>
        <w:spacing w:line="400" w:lineRule="exact"/>
        <w:ind w:firstLine="480" w:firstLineChars="200"/>
        <w:jc w:val="right"/>
        <w:textAlignment w:val="auto"/>
        <w:rPr>
          <w:rFonts w:hint="eastAsia" w:ascii="宋体" w:hAnsi="宋体" w:eastAsia="宋体" w:cs="宋体"/>
          <w:sz w:val="24"/>
          <w:szCs w:val="24"/>
        </w:rPr>
      </w:pPr>
    </w:p>
    <w:p>
      <w:pPr>
        <w:keepLines w:val="0"/>
        <w:pageBreakBefore w:val="0"/>
        <w:kinsoku/>
        <w:topLinePunct w:val="0"/>
        <w:bidi w:val="0"/>
        <w:adjustRightInd w:val="0"/>
        <w:snapToGrid w:val="0"/>
        <w:spacing w:line="400" w:lineRule="exact"/>
        <w:ind w:firstLine="480" w:firstLineChars="200"/>
        <w:jc w:val="right"/>
        <w:textAlignment w:val="auto"/>
        <w:rPr>
          <w:rFonts w:hint="eastAsia" w:ascii="宋体" w:hAnsi="宋体" w:eastAsia="宋体" w:cs="宋体"/>
          <w:sz w:val="24"/>
          <w:szCs w:val="24"/>
        </w:rPr>
      </w:pPr>
    </w:p>
    <w:p>
      <w:pPr>
        <w:keepLines w:val="0"/>
        <w:pageBreakBefore w:val="0"/>
        <w:kinsoku/>
        <w:topLinePunct w:val="0"/>
        <w:bidi w:val="0"/>
        <w:adjustRightInd w:val="0"/>
        <w:snapToGrid w:val="0"/>
        <w:spacing w:line="400" w:lineRule="exact"/>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法定代表人或授权代表签字：</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keepLines w:val="0"/>
        <w:pageBreakBefore w:val="0"/>
        <w:kinsoku/>
        <w:topLinePunct w:val="0"/>
        <w:bidi w:val="0"/>
        <w:adjustRightInd w:val="0"/>
        <w:snapToGrid w:val="0"/>
        <w:spacing w:line="4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keepLines w:val="0"/>
        <w:pageBreakBefore w:val="0"/>
        <w:kinsoku/>
        <w:topLinePunct w:val="0"/>
        <w:bidi w:val="0"/>
        <w:adjustRightInd w:val="0"/>
        <w:snapToGrid w:val="0"/>
        <w:spacing w:line="4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报价日期：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pStyle w:val="20"/>
        <w:keepLines w:val="0"/>
        <w:pageBreakBefore w:val="0"/>
        <w:kinsoku/>
        <w:topLinePunct w:val="0"/>
        <w:bidi w:val="0"/>
        <w:spacing w:line="400" w:lineRule="exact"/>
        <w:textAlignment w:val="auto"/>
        <w:rPr>
          <w:rFonts w:hint="eastAsia" w:ascii="宋体" w:hAnsi="宋体" w:eastAsia="宋体" w:cs="宋体"/>
          <w:b/>
          <w:color w:val="FF0000"/>
          <w:sz w:val="24"/>
          <w:szCs w:val="24"/>
          <w:shd w:val="pct10" w:color="auto" w:fill="FFFFFF"/>
        </w:rPr>
      </w:pPr>
    </w:p>
    <w:p>
      <w:pPr>
        <w:pStyle w:val="20"/>
        <w:keepLines w:val="0"/>
        <w:pageBreakBefore w:val="0"/>
        <w:kinsoku/>
        <w:topLinePunct w:val="0"/>
        <w:bidi w:val="0"/>
        <w:spacing w:line="400" w:lineRule="exact"/>
        <w:textAlignment w:val="auto"/>
        <w:rPr>
          <w:rFonts w:hint="eastAsia" w:ascii="宋体" w:hAnsi="宋体" w:eastAsia="宋体" w:cs="宋体"/>
          <w:b w:val="0"/>
          <w:bCs/>
          <w:color w:val="auto"/>
          <w:sz w:val="24"/>
          <w:szCs w:val="24"/>
          <w:shd w:val="clear" w:color="auto" w:fill="auto"/>
        </w:rPr>
      </w:pPr>
      <w:r>
        <w:rPr>
          <w:rFonts w:hint="eastAsia" w:ascii="宋体" w:hAnsi="宋体" w:eastAsia="宋体" w:cs="宋体"/>
          <w:b w:val="0"/>
          <w:bCs/>
          <w:color w:val="auto"/>
          <w:sz w:val="24"/>
          <w:szCs w:val="24"/>
          <w:shd w:val="clear" w:color="auto" w:fill="auto"/>
        </w:rPr>
        <w:t>说明：</w:t>
      </w:r>
      <w:r>
        <w:rPr>
          <w:rFonts w:hint="eastAsia" w:ascii="宋体" w:hAnsi="宋体" w:eastAsia="宋体" w:cs="宋体"/>
          <w:b w:val="0"/>
          <w:bCs/>
          <w:color w:val="auto"/>
          <w:sz w:val="24"/>
          <w:szCs w:val="24"/>
          <w:shd w:val="clear" w:color="auto" w:fill="auto"/>
          <w:lang w:val="en-US" w:eastAsia="zh-CN"/>
        </w:rPr>
        <w:t>此综合报价表</w:t>
      </w:r>
      <w:r>
        <w:rPr>
          <w:rFonts w:hint="eastAsia" w:ascii="宋体" w:hAnsi="宋体" w:eastAsia="宋体" w:cs="宋体"/>
          <w:b w:val="0"/>
          <w:bCs/>
          <w:color w:val="auto"/>
          <w:sz w:val="24"/>
          <w:szCs w:val="24"/>
          <w:shd w:val="clear" w:color="auto" w:fill="auto"/>
        </w:rPr>
        <w:t>除保留在响应文件中外，还</w:t>
      </w:r>
      <w:r>
        <w:rPr>
          <w:rFonts w:hint="eastAsia" w:ascii="宋体" w:hAnsi="宋体" w:eastAsia="宋体" w:cs="宋体"/>
          <w:b w:val="0"/>
          <w:bCs/>
          <w:color w:val="auto"/>
          <w:sz w:val="24"/>
          <w:szCs w:val="24"/>
          <w:shd w:val="clear" w:color="auto" w:fill="auto"/>
          <w:lang w:val="en-US" w:eastAsia="zh-CN"/>
        </w:rPr>
        <w:t>需</w:t>
      </w:r>
      <w:r>
        <w:rPr>
          <w:rFonts w:hint="eastAsia" w:ascii="宋体" w:hAnsi="宋体" w:eastAsia="宋体" w:cs="宋体"/>
          <w:b w:val="0"/>
          <w:bCs/>
          <w:color w:val="auto"/>
          <w:sz w:val="24"/>
          <w:szCs w:val="24"/>
          <w:shd w:val="clear" w:color="auto" w:fill="auto"/>
        </w:rPr>
        <w:t>另附一份</w:t>
      </w:r>
      <w:r>
        <w:rPr>
          <w:rFonts w:hint="eastAsia" w:ascii="宋体" w:hAnsi="宋体" w:eastAsia="宋体" w:cs="宋体"/>
          <w:b w:val="0"/>
          <w:bCs/>
          <w:color w:val="auto"/>
          <w:sz w:val="24"/>
          <w:szCs w:val="24"/>
          <w:shd w:val="clear" w:color="auto" w:fill="auto"/>
          <w:lang w:val="en-US" w:eastAsia="zh-CN"/>
        </w:rPr>
        <w:t>在</w:t>
      </w:r>
      <w:r>
        <w:rPr>
          <w:rFonts w:hint="eastAsia" w:ascii="宋体" w:hAnsi="宋体" w:eastAsia="宋体" w:cs="宋体"/>
          <w:b w:val="0"/>
          <w:bCs/>
          <w:color w:val="auto"/>
          <w:sz w:val="24"/>
          <w:szCs w:val="24"/>
          <w:shd w:val="clear" w:color="auto" w:fill="auto"/>
        </w:rPr>
        <w:t>谈判截止时间前</w:t>
      </w:r>
      <w:r>
        <w:rPr>
          <w:rFonts w:hint="eastAsia" w:ascii="宋体" w:hAnsi="宋体" w:eastAsia="宋体" w:cs="宋体"/>
          <w:b w:val="0"/>
          <w:bCs/>
          <w:color w:val="auto"/>
          <w:sz w:val="24"/>
          <w:szCs w:val="24"/>
          <w:shd w:val="clear" w:color="auto" w:fill="auto"/>
          <w:lang w:val="en-US" w:eastAsia="zh-CN"/>
        </w:rPr>
        <w:t>单独递交。单独递交的此表</w:t>
      </w:r>
      <w:r>
        <w:rPr>
          <w:rFonts w:hint="eastAsia" w:ascii="宋体" w:hAnsi="宋体" w:eastAsia="宋体" w:cs="宋体"/>
          <w:b w:val="0"/>
          <w:bCs/>
          <w:color w:val="auto"/>
          <w:sz w:val="24"/>
          <w:szCs w:val="24"/>
          <w:shd w:val="clear" w:color="auto" w:fill="auto"/>
        </w:rPr>
        <w:t>应用信封单独密封，信封上应写明供应商名称、采购人或</w:t>
      </w:r>
      <w:r>
        <w:rPr>
          <w:rFonts w:hint="eastAsia" w:ascii="宋体" w:hAnsi="宋体" w:eastAsia="宋体" w:cs="宋体"/>
          <w:b w:val="0"/>
          <w:bCs/>
          <w:color w:val="auto"/>
          <w:sz w:val="24"/>
          <w:szCs w:val="24"/>
          <w:shd w:val="clear" w:color="auto" w:fill="auto"/>
          <w:lang w:val="en-US" w:eastAsia="zh-CN"/>
        </w:rPr>
        <w:t>政府采购</w:t>
      </w:r>
      <w:r>
        <w:rPr>
          <w:rFonts w:hint="eastAsia" w:ascii="宋体" w:hAnsi="宋体" w:eastAsia="宋体" w:cs="宋体"/>
          <w:b w:val="0"/>
          <w:bCs/>
          <w:color w:val="auto"/>
          <w:sz w:val="24"/>
          <w:szCs w:val="24"/>
          <w:shd w:val="clear" w:color="auto" w:fill="auto"/>
        </w:rPr>
        <w:t>代理机构名称、项目名称，信封骑缝处加盖单位公章和法定代表人(或委托代理人)印鉴</w:t>
      </w:r>
      <w:r>
        <w:rPr>
          <w:rFonts w:hint="eastAsia" w:ascii="宋体" w:hAnsi="宋体" w:cs="宋体"/>
          <w:b w:val="0"/>
          <w:bCs/>
          <w:color w:val="auto"/>
          <w:sz w:val="24"/>
          <w:szCs w:val="24"/>
          <w:shd w:val="clear" w:color="auto" w:fill="auto"/>
          <w:lang w:eastAsia="zh-CN"/>
        </w:rPr>
        <w:t>。</w:t>
      </w:r>
    </w:p>
    <w:p>
      <w:pPr>
        <w:pStyle w:val="20"/>
        <w:keepLines w:val="0"/>
        <w:pageBreakBefore w:val="0"/>
        <w:kinsoku/>
        <w:topLinePunct w:val="0"/>
        <w:bidi w:val="0"/>
        <w:spacing w:line="400" w:lineRule="exact"/>
        <w:ind w:firstLine="720"/>
        <w:jc w:val="right"/>
        <w:textAlignment w:val="auto"/>
        <w:rPr>
          <w:rFonts w:hint="eastAsia" w:ascii="宋体" w:hAnsi="宋体" w:eastAsia="宋体" w:cs="宋体"/>
          <w:b w:val="0"/>
          <w:bCs/>
          <w:color w:val="auto"/>
          <w:sz w:val="24"/>
          <w:szCs w:val="24"/>
          <w:shd w:val="clear" w:color="auto" w:fill="auto"/>
        </w:rPr>
        <w:sectPr>
          <w:footerReference r:id="rId5" w:type="default"/>
          <w:pgSz w:w="11906" w:h="16838"/>
          <w:pgMar w:top="1247" w:right="1304" w:bottom="1440" w:left="1304" w:header="851" w:footer="992" w:gutter="0"/>
          <w:pgNumType w:fmt="decimal" w:start="1"/>
          <w:cols w:space="720" w:num="1"/>
          <w:docGrid w:type="linesAndChars" w:linePitch="312" w:charSpace="0"/>
        </w:sectPr>
      </w:pPr>
    </w:p>
    <w:p>
      <w:pPr>
        <w:keepLines w:val="0"/>
        <w:pageBreakBefore w:val="0"/>
        <w:kinsoku/>
        <w:topLinePunct w:val="0"/>
        <w:bidi w:val="0"/>
        <w:spacing w:line="400" w:lineRule="exac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附件三</w:t>
      </w:r>
    </w:p>
    <w:p>
      <w:pPr>
        <w:keepLines w:val="0"/>
        <w:pageBreakBefore w:val="0"/>
        <w:kinsoku/>
        <w:topLinePunct w:val="0"/>
        <w:bidi w:val="0"/>
        <w:adjustRightInd w:val="0"/>
        <w:snapToGrid w:val="0"/>
        <w:spacing w:line="400" w:lineRule="exact"/>
        <w:ind w:left="-88" w:leftChars="-42"/>
        <w:jc w:val="center"/>
        <w:textAlignment w:val="auto"/>
        <w:outlineLvl w:val="9"/>
        <w:rPr>
          <w:rFonts w:hint="eastAsia" w:ascii="宋体" w:hAnsi="宋体" w:eastAsia="宋体" w:cs="宋体"/>
          <w:b/>
          <w:color w:val="auto"/>
          <w:sz w:val="24"/>
          <w:szCs w:val="24"/>
        </w:rPr>
      </w:pPr>
    </w:p>
    <w:p>
      <w:pPr>
        <w:keepLines w:val="0"/>
        <w:pageBreakBefore w:val="0"/>
        <w:kinsoku/>
        <w:topLinePunct w:val="0"/>
        <w:bidi w:val="0"/>
        <w:adjustRightInd w:val="0"/>
        <w:snapToGrid w:val="0"/>
        <w:spacing w:line="400" w:lineRule="exact"/>
        <w:ind w:left="-88" w:leftChars="-42"/>
        <w:jc w:val="center"/>
        <w:textAlignment w:val="auto"/>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已标价工程量清单</w:t>
      </w: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p>
      <w:pPr>
        <w:keepLines w:val="0"/>
        <w:pageBreakBefore w:val="0"/>
        <w:kinsoku/>
        <w:topLinePunct w:val="0"/>
        <w:bidi w:val="0"/>
        <w:adjustRightInd w:val="0"/>
        <w:snapToGrid w:val="0"/>
        <w:spacing w:line="400" w:lineRule="exact"/>
        <w:jc w:val="righ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年</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月</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keepLines w:val="0"/>
        <w:pageBreakBefore w:val="0"/>
        <w:kinsoku/>
        <w:topLinePunct w:val="0"/>
        <w:bidi w:val="0"/>
        <w:adjustRightInd w:val="0"/>
        <w:snapToGrid w:val="0"/>
        <w:spacing w:line="400" w:lineRule="exact"/>
        <w:textAlignment w:val="auto"/>
        <w:outlineLvl w:val="9"/>
        <w:rPr>
          <w:rFonts w:hint="eastAsia" w:ascii="宋体" w:hAnsi="宋体" w:eastAsia="宋体" w:cs="宋体"/>
          <w:color w:val="auto"/>
          <w:sz w:val="24"/>
          <w:szCs w:val="24"/>
        </w:rPr>
      </w:pPr>
    </w:p>
    <w:p>
      <w:pPr>
        <w:pStyle w:val="2"/>
        <w:outlineLvl w:val="9"/>
        <w:rPr>
          <w:rFonts w:hint="eastAsia" w:ascii="宋体" w:hAnsi="宋体" w:eastAsia="宋体" w:cs="宋体"/>
          <w:color w:val="auto"/>
          <w:sz w:val="24"/>
          <w:szCs w:val="24"/>
        </w:rPr>
      </w:pPr>
    </w:p>
    <w:p>
      <w:pPr>
        <w:outlineLvl w:val="9"/>
        <w:rPr>
          <w:rFonts w:hint="eastAsia" w:ascii="宋体" w:hAnsi="宋体" w:eastAsia="宋体" w:cs="宋体"/>
          <w:color w:val="auto"/>
          <w:sz w:val="24"/>
          <w:szCs w:val="24"/>
        </w:rPr>
      </w:pPr>
    </w:p>
    <w:p>
      <w:pPr>
        <w:pStyle w:val="2"/>
        <w:outlineLvl w:val="9"/>
        <w:rPr>
          <w:rFonts w:hint="eastAsia" w:ascii="宋体" w:hAnsi="宋体" w:eastAsia="宋体" w:cs="宋体"/>
          <w:color w:val="auto"/>
          <w:sz w:val="24"/>
          <w:szCs w:val="24"/>
        </w:rPr>
      </w:pPr>
    </w:p>
    <w:p>
      <w:pPr>
        <w:outlineLvl w:val="9"/>
        <w:rPr>
          <w:rFonts w:hint="eastAsia" w:ascii="宋体" w:hAnsi="宋体" w:eastAsia="宋体" w:cs="宋体"/>
          <w:color w:val="auto"/>
          <w:sz w:val="24"/>
          <w:szCs w:val="24"/>
        </w:rPr>
      </w:pPr>
    </w:p>
    <w:p>
      <w:pPr>
        <w:pStyle w:val="2"/>
        <w:outlineLvl w:val="9"/>
        <w:rPr>
          <w:rFonts w:hint="eastAsia"/>
        </w:rPr>
      </w:pPr>
    </w:p>
    <w:p>
      <w:pPr>
        <w:keepLines w:val="0"/>
        <w:pageBreakBefore w:val="0"/>
        <w:kinsoku/>
        <w:topLinePunct w:val="0"/>
        <w:bidi w:val="0"/>
        <w:spacing w:line="400" w:lineRule="exac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附件四</w:t>
      </w:r>
    </w:p>
    <w:p>
      <w:pPr>
        <w:keepLines w:val="0"/>
        <w:pageBreakBefore w:val="0"/>
        <w:kinsoku/>
        <w:topLinePunct w:val="0"/>
        <w:bidi w:val="0"/>
        <w:adjustRightInd w:val="0"/>
        <w:snapToGrid w:val="0"/>
        <w:spacing w:line="400" w:lineRule="exact"/>
        <w:ind w:left="-88" w:leftChars="-42"/>
        <w:jc w:val="center"/>
        <w:textAlignment w:val="auto"/>
        <w:outlineLvl w:val="9"/>
        <w:rPr>
          <w:rFonts w:hint="eastAsia" w:ascii="宋体" w:hAnsi="宋体" w:eastAsia="宋体" w:cs="宋体"/>
          <w:b/>
          <w:color w:val="auto"/>
          <w:sz w:val="28"/>
          <w:szCs w:val="28"/>
        </w:rPr>
      </w:pPr>
      <w:bookmarkStart w:id="5" w:name="_Toc355884927"/>
      <w:r>
        <w:rPr>
          <w:rFonts w:hint="eastAsia" w:ascii="宋体" w:hAnsi="宋体" w:eastAsia="宋体" w:cs="宋体"/>
          <w:b/>
          <w:color w:val="auto"/>
          <w:sz w:val="28"/>
          <w:szCs w:val="28"/>
        </w:rPr>
        <w:t>投入本项目技术力量</w:t>
      </w:r>
    </w:p>
    <w:bookmarkEnd w:id="5"/>
    <w:p>
      <w:pPr>
        <w:keepLines w:val="0"/>
        <w:pageBreakBefore w:val="0"/>
        <w:kinsoku/>
        <w:topLinePunct w:val="0"/>
        <w:bidi w:val="0"/>
        <w:spacing w:line="400" w:lineRule="exact"/>
        <w:ind w:firstLine="2400" w:firstLineChars="1000"/>
        <w:textAlignment w:val="auto"/>
        <w:outlineLvl w:val="9"/>
        <w:rPr>
          <w:rFonts w:hint="eastAsia" w:ascii="宋体" w:hAnsi="宋体" w:eastAsia="宋体" w:cs="宋体"/>
          <w:sz w:val="24"/>
          <w:szCs w:val="24"/>
        </w:rPr>
      </w:pPr>
      <w:r>
        <w:rPr>
          <w:rFonts w:hint="eastAsia" w:ascii="宋体" w:hAnsi="宋体" w:eastAsia="宋体" w:cs="宋体"/>
          <w:sz w:val="24"/>
          <w:szCs w:val="24"/>
        </w:rPr>
        <w:t>拟投入本项目的项目经理情况表</w:t>
      </w:r>
    </w:p>
    <w:tbl>
      <w:tblPr>
        <w:tblStyle w:val="30"/>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43"/>
        <w:gridCol w:w="1274"/>
        <w:gridCol w:w="227"/>
        <w:gridCol w:w="1292"/>
        <w:gridCol w:w="209"/>
        <w:gridCol w:w="1501"/>
        <w:gridCol w:w="383"/>
        <w:gridCol w:w="1142"/>
        <w:gridCol w:w="189"/>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3" w:type="dxa"/>
            <w:gridSpan w:val="11"/>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姓    名</w:t>
            </w:r>
          </w:p>
        </w:tc>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p>
        </w:tc>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年    龄</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p>
        </w:tc>
        <w:tc>
          <w:tcPr>
            <w:tcW w:w="152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学历/学位</w:t>
            </w: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毕业学校</w:t>
            </w:r>
          </w:p>
        </w:tc>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p>
        </w:tc>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专    业</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p>
        </w:tc>
        <w:tc>
          <w:tcPr>
            <w:tcW w:w="152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pacing w:val="-20"/>
                <w:sz w:val="24"/>
                <w:szCs w:val="24"/>
              </w:rPr>
              <w:t>执业资格</w:t>
            </w: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职    称</w:t>
            </w:r>
          </w:p>
        </w:tc>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p>
        </w:tc>
        <w:tc>
          <w:tcPr>
            <w:tcW w:w="1501"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拟任何职</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p>
        </w:tc>
        <w:tc>
          <w:tcPr>
            <w:tcW w:w="1525"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pacing w:val="-20"/>
                <w:sz w:val="24"/>
                <w:szCs w:val="24"/>
              </w:rPr>
            </w:pPr>
            <w:r>
              <w:rPr>
                <w:rFonts w:hint="eastAsia" w:ascii="宋体" w:hAnsi="宋体" w:eastAsia="宋体" w:cs="宋体"/>
                <w:bCs/>
                <w:spacing w:val="-20"/>
                <w:sz w:val="24"/>
                <w:szCs w:val="24"/>
              </w:rPr>
              <w:t>参加工作时间</w:t>
            </w:r>
          </w:p>
        </w:tc>
        <w:tc>
          <w:tcPr>
            <w:tcW w:w="1033"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3" w:type="dxa"/>
            <w:gridSpan w:val="11"/>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时  间</w:t>
            </w:r>
          </w:p>
        </w:tc>
        <w:tc>
          <w:tcPr>
            <w:tcW w:w="7061" w:type="dxa"/>
            <w:gridSpan w:val="9"/>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ind w:firstLine="2400" w:firstLineChars="10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kern w:val="28"/>
                <w:position w:val="-40"/>
                <w:sz w:val="24"/>
                <w:szCs w:val="24"/>
              </w:rPr>
            </w:pPr>
          </w:p>
        </w:tc>
        <w:tc>
          <w:tcPr>
            <w:tcW w:w="7061" w:type="dxa"/>
            <w:gridSpan w:val="9"/>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kern w:val="28"/>
                <w:position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kern w:val="28"/>
                <w:position w:val="-40"/>
                <w:sz w:val="24"/>
                <w:szCs w:val="24"/>
              </w:rPr>
            </w:pPr>
          </w:p>
        </w:tc>
        <w:tc>
          <w:tcPr>
            <w:tcW w:w="7061" w:type="dxa"/>
            <w:gridSpan w:val="9"/>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kern w:val="28"/>
                <w:position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kern w:val="28"/>
                <w:position w:val="-40"/>
                <w:sz w:val="24"/>
                <w:szCs w:val="24"/>
              </w:rPr>
            </w:pPr>
          </w:p>
        </w:tc>
        <w:tc>
          <w:tcPr>
            <w:tcW w:w="7061" w:type="dxa"/>
            <w:gridSpan w:val="9"/>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kern w:val="28"/>
                <w:position w:val="-4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3" w:type="dxa"/>
            <w:gridSpan w:val="11"/>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3、近年负责类似工程项目业绩情况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序</w:t>
            </w:r>
          </w:p>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号</w:t>
            </w: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项目名称</w:t>
            </w:r>
          </w:p>
        </w:tc>
        <w:tc>
          <w:tcPr>
            <w:tcW w:w="1519"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pacing w:val="-20"/>
                <w:sz w:val="24"/>
                <w:szCs w:val="24"/>
              </w:rPr>
            </w:pPr>
            <w:r>
              <w:rPr>
                <w:rFonts w:hint="eastAsia" w:ascii="宋体" w:hAnsi="宋体" w:eastAsia="宋体" w:cs="宋体"/>
                <w:spacing w:val="-20"/>
                <w:sz w:val="24"/>
                <w:szCs w:val="24"/>
              </w:rPr>
              <w:t>该项目中</w:t>
            </w:r>
          </w:p>
          <w:p>
            <w:pPr>
              <w:keepLines w:val="0"/>
              <w:pageBreakBefore w:val="0"/>
              <w:kinsoku/>
              <w:topLinePunct w:val="0"/>
              <w:bidi w:val="0"/>
              <w:spacing w:line="400" w:lineRule="exact"/>
              <w:jc w:val="center"/>
              <w:textAlignment w:val="auto"/>
              <w:outlineLvl w:val="9"/>
              <w:rPr>
                <w:rFonts w:hint="eastAsia" w:ascii="宋体" w:hAnsi="宋体" w:eastAsia="宋体" w:cs="宋体"/>
                <w:spacing w:val="-20"/>
                <w:sz w:val="24"/>
                <w:szCs w:val="24"/>
              </w:rPr>
            </w:pPr>
            <w:r>
              <w:rPr>
                <w:rFonts w:hint="eastAsia" w:ascii="宋体" w:hAnsi="宋体" w:eastAsia="宋体" w:cs="宋体"/>
                <w:spacing w:val="-20"/>
                <w:sz w:val="24"/>
                <w:szCs w:val="24"/>
              </w:rPr>
              <w:t>任何职</w:t>
            </w:r>
          </w:p>
        </w:tc>
        <w:tc>
          <w:tcPr>
            <w:tcW w:w="2093"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项目地点、联系人及联系电话</w:t>
            </w:r>
          </w:p>
        </w:tc>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质量等级</w:t>
            </w:r>
          </w:p>
        </w:tc>
        <w:tc>
          <w:tcPr>
            <w:tcW w:w="84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工程规模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textAlignment w:val="auto"/>
              <w:outlineLvl w:val="9"/>
              <w:rPr>
                <w:rFonts w:hint="eastAsia" w:ascii="宋体" w:hAnsi="宋体" w:eastAsia="宋体" w:cs="宋体"/>
                <w:b/>
                <w:sz w:val="24"/>
                <w:szCs w:val="24"/>
              </w:rPr>
            </w:pPr>
          </w:p>
        </w:tc>
        <w:tc>
          <w:tcPr>
            <w:tcW w:w="1519"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p>
        </w:tc>
        <w:tc>
          <w:tcPr>
            <w:tcW w:w="2093"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
                <w:sz w:val="24"/>
                <w:szCs w:val="24"/>
              </w:rPr>
            </w:pPr>
          </w:p>
        </w:tc>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textAlignment w:val="auto"/>
              <w:outlineLvl w:val="9"/>
              <w:rPr>
                <w:rFonts w:hint="eastAsia" w:ascii="宋体" w:hAnsi="宋体" w:eastAsia="宋体" w:cs="宋体"/>
                <w:sz w:val="24"/>
                <w:szCs w:val="24"/>
              </w:rPr>
            </w:pPr>
          </w:p>
        </w:tc>
        <w:tc>
          <w:tcPr>
            <w:tcW w:w="1519"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p>
        </w:tc>
        <w:tc>
          <w:tcPr>
            <w:tcW w:w="2093"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
                <w:sz w:val="24"/>
                <w:szCs w:val="24"/>
              </w:rPr>
            </w:pPr>
          </w:p>
        </w:tc>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textAlignment w:val="auto"/>
              <w:outlineLvl w:val="9"/>
              <w:rPr>
                <w:rFonts w:hint="eastAsia" w:ascii="宋体" w:hAnsi="宋体" w:eastAsia="宋体" w:cs="宋体"/>
                <w:sz w:val="24"/>
                <w:szCs w:val="24"/>
              </w:rPr>
            </w:pPr>
          </w:p>
        </w:tc>
        <w:tc>
          <w:tcPr>
            <w:tcW w:w="1519"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p>
        </w:tc>
        <w:tc>
          <w:tcPr>
            <w:tcW w:w="2093" w:type="dxa"/>
            <w:gridSpan w:val="3"/>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b/>
                <w:sz w:val="24"/>
                <w:szCs w:val="24"/>
              </w:rPr>
            </w:pPr>
          </w:p>
        </w:tc>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topLinePunct w:val="0"/>
              <w:bidi w:val="0"/>
              <w:spacing w:line="400" w:lineRule="exact"/>
              <w:jc w:val="center"/>
              <w:textAlignment w:val="auto"/>
              <w:outlineLvl w:val="9"/>
              <w:rPr>
                <w:rFonts w:hint="eastAsia" w:ascii="宋体" w:hAnsi="宋体" w:eastAsia="宋体" w:cs="宋体"/>
                <w:sz w:val="24"/>
                <w:szCs w:val="24"/>
              </w:rPr>
            </w:pPr>
          </w:p>
        </w:tc>
      </w:tr>
    </w:tbl>
    <w:p>
      <w:pPr>
        <w:pStyle w:val="20"/>
        <w:keepLines w:val="0"/>
        <w:pageBreakBefore w:val="0"/>
        <w:widowControl/>
        <w:kinsoku/>
        <w:topLinePunct w:val="0"/>
        <w:bidi w:val="0"/>
        <w:spacing w:line="400" w:lineRule="exact"/>
        <w:jc w:val="right"/>
        <w:textAlignment w:val="auto"/>
        <w:rPr>
          <w:rFonts w:hint="eastAsia" w:ascii="宋体" w:hAnsi="宋体" w:eastAsia="宋体" w:cs="宋体"/>
          <w:color w:val="auto"/>
          <w:sz w:val="24"/>
          <w:szCs w:val="24"/>
        </w:rPr>
      </w:pPr>
    </w:p>
    <w:p>
      <w:pPr>
        <w:pStyle w:val="20"/>
        <w:keepLines w:val="0"/>
        <w:pageBreakBefore w:val="0"/>
        <w:widowControl/>
        <w:kinsoku/>
        <w:topLinePunct w:val="0"/>
        <w:bidi w:val="0"/>
        <w:spacing w:line="4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20"/>
        <w:keepLines w:val="0"/>
        <w:pageBreakBefore w:val="0"/>
        <w:widowControl/>
        <w:kinsoku/>
        <w:topLinePunct w:val="0"/>
        <w:bidi w:val="0"/>
        <w:spacing w:line="400" w:lineRule="exact"/>
        <w:jc w:val="righ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keepLines w:val="0"/>
        <w:pageBreakBefore w:val="0"/>
        <w:kinsoku/>
        <w:topLinePunct w:val="0"/>
        <w:bidi w:val="0"/>
        <w:spacing w:line="40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Lines w:val="0"/>
        <w:pageBreakBefore w:val="0"/>
        <w:kinsoku/>
        <w:topLinePunct w:val="0"/>
        <w:bidi w:val="0"/>
        <w:spacing w:line="400" w:lineRule="exact"/>
        <w:ind w:right="420" w:firstLine="6120" w:firstLineChars="2550"/>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sz w:val="22"/>
          <w:szCs w:val="28"/>
        </w:rPr>
      </w:pPr>
    </w:p>
    <w:p>
      <w:pPr>
        <w:keepLines w:val="0"/>
        <w:pageBreakBefore w:val="0"/>
        <w:kinsoku/>
        <w:topLinePunct w:val="0"/>
        <w:bidi w:val="0"/>
        <w:spacing w:line="400" w:lineRule="exact"/>
        <w:jc w:val="center"/>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8"/>
          <w:szCs w:val="28"/>
        </w:rPr>
        <w:t>拟投入本项目的项目组人员情况表</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p>
    <w:tbl>
      <w:tblPr>
        <w:tblStyle w:val="3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743"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职位</w:t>
            </w:r>
          </w:p>
        </w:tc>
        <w:tc>
          <w:tcPr>
            <w:tcW w:w="1985"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3260"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743"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985"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3260"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743"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985"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3260"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743"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985"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3260"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743"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985"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3260"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743"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985"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3260"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743"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985"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3260"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743"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985"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3260"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743"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985"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3260"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743"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985"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3260"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743"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985"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3260"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743"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985"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3260"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43"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1985"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c>
          <w:tcPr>
            <w:tcW w:w="3260" w:type="dxa"/>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sz w:val="24"/>
                <w:szCs w:val="24"/>
              </w:rPr>
            </w:pPr>
          </w:p>
        </w:tc>
      </w:tr>
    </w:tbl>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pStyle w:val="2"/>
        <w:keepLines w:val="0"/>
        <w:pageBreakBefore w:val="0"/>
        <w:kinsoku/>
        <w:topLinePunct w:val="0"/>
        <w:bidi w:val="0"/>
        <w:spacing w:line="400" w:lineRule="exact"/>
        <w:textAlignment w:val="auto"/>
        <w:rPr>
          <w:rFonts w:hint="eastAsia" w:ascii="宋体" w:hAnsi="宋体" w:eastAsia="宋体" w:cs="宋体"/>
          <w:sz w:val="24"/>
          <w:szCs w:val="24"/>
        </w:rPr>
      </w:pPr>
    </w:p>
    <w:p>
      <w:pPr>
        <w:pStyle w:val="20"/>
        <w:keepLines w:val="0"/>
        <w:pageBreakBefore w:val="0"/>
        <w:widowControl/>
        <w:kinsoku/>
        <w:topLinePunct w:val="0"/>
        <w:bidi w:val="0"/>
        <w:spacing w:line="4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20"/>
        <w:keepLines w:val="0"/>
        <w:pageBreakBefore w:val="0"/>
        <w:widowControl/>
        <w:kinsoku/>
        <w:topLinePunct w:val="0"/>
        <w:bidi w:val="0"/>
        <w:spacing w:line="400" w:lineRule="exact"/>
        <w:jc w:val="righ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keepLines w:val="0"/>
        <w:pageBreakBefore w:val="0"/>
        <w:kinsoku/>
        <w:topLinePunct w:val="0"/>
        <w:bidi w:val="0"/>
        <w:spacing w:line="40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Lines w:val="0"/>
        <w:pageBreakBefore w:val="0"/>
        <w:kinsoku/>
        <w:topLinePunct w:val="0"/>
        <w:bidi w:val="0"/>
        <w:spacing w:line="400" w:lineRule="exact"/>
        <w:ind w:right="420" w:firstLine="6120" w:firstLineChars="2550"/>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ind w:right="420" w:firstLine="6120" w:firstLineChars="2550"/>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keepLines w:val="0"/>
        <w:pageBreakBefore w:val="0"/>
        <w:widowControl/>
        <w:kinsoku/>
        <w:topLinePunct w:val="0"/>
        <w:bidi w:val="0"/>
        <w:spacing w:line="400" w:lineRule="exact"/>
        <w:jc w:val="center"/>
        <w:textAlignment w:val="auto"/>
        <w:outlineLvl w:val="9"/>
        <w:rPr>
          <w:rFonts w:hint="eastAsia" w:ascii="宋体" w:hAnsi="宋体" w:eastAsia="宋体" w:cs="宋体"/>
          <w:b/>
          <w:bCs/>
          <w:iCs/>
          <w:kern w:val="0"/>
          <w:sz w:val="28"/>
          <w:szCs w:val="28"/>
          <w:lang w:bidi="en-US"/>
        </w:rPr>
      </w:pPr>
      <w:bookmarkStart w:id="6" w:name="_Toc121299913"/>
      <w:r>
        <w:rPr>
          <w:rFonts w:hint="eastAsia" w:ascii="宋体" w:hAnsi="宋体" w:eastAsia="宋体" w:cs="宋体"/>
          <w:b/>
          <w:bCs/>
          <w:iCs/>
          <w:kern w:val="0"/>
          <w:sz w:val="28"/>
          <w:szCs w:val="28"/>
          <w:lang w:bidi="en-US"/>
        </w:rPr>
        <w:t>&lt;拟投入本项目的施工设备情况表&gt;</w:t>
      </w:r>
      <w:bookmarkEnd w:id="6"/>
    </w:p>
    <w:p>
      <w:pPr>
        <w:keepLines w:val="0"/>
        <w:pageBreakBefore w:val="0"/>
        <w:kinsoku/>
        <w:topLinePunct w:val="0"/>
        <w:bidi w:val="0"/>
        <w:spacing w:line="400" w:lineRule="exact"/>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pPr>
        <w:keepLines w:val="0"/>
        <w:pageBreakBefore w:val="0"/>
        <w:tabs>
          <w:tab w:val="left" w:pos="180"/>
          <w:tab w:val="left" w:pos="1620"/>
        </w:tabs>
        <w:kinsoku/>
        <w:topLinePunct w:val="0"/>
        <w:bidi w:val="0"/>
        <w:spacing w:line="400" w:lineRule="exact"/>
        <w:textAlignment w:val="auto"/>
        <w:rPr>
          <w:rFonts w:hint="eastAsia" w:ascii="宋体" w:hAnsi="宋体" w:eastAsia="宋体" w:cs="宋体"/>
          <w:b/>
          <w:sz w:val="24"/>
          <w:szCs w:val="24"/>
        </w:rPr>
      </w:pPr>
      <w:r>
        <w:rPr>
          <w:rFonts w:hint="eastAsia" w:ascii="宋体" w:hAnsi="宋体" w:eastAsia="宋体" w:cs="宋体"/>
          <w:sz w:val="24"/>
          <w:szCs w:val="24"/>
        </w:rPr>
        <w:t xml:space="preserve">项目名称:  </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型号</w:t>
            </w: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价值</w:t>
            </w: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6"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907"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638"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c>
          <w:tcPr>
            <w:tcW w:w="1714" w:type="dxa"/>
            <w:vAlign w:val="center"/>
          </w:tcPr>
          <w:p>
            <w:pPr>
              <w:keepLines w:val="0"/>
              <w:pageBreakBefore w:val="0"/>
              <w:kinsoku/>
              <w:topLinePunct w:val="0"/>
              <w:bidi w:val="0"/>
              <w:spacing w:line="400" w:lineRule="exact"/>
              <w:jc w:val="center"/>
              <w:textAlignment w:val="auto"/>
              <w:rPr>
                <w:rFonts w:hint="eastAsia" w:ascii="宋体" w:hAnsi="宋体" w:eastAsia="宋体" w:cs="宋体"/>
                <w:sz w:val="24"/>
                <w:szCs w:val="24"/>
              </w:rPr>
            </w:pPr>
          </w:p>
        </w:tc>
      </w:tr>
    </w:tbl>
    <w:p>
      <w:pPr>
        <w:keepLines w:val="0"/>
        <w:pageBreakBefore w:val="0"/>
        <w:kinsoku/>
        <w:topLinePunct w:val="0"/>
        <w:bidi w:val="0"/>
        <w:spacing w:line="400" w:lineRule="exact"/>
        <w:textAlignment w:val="auto"/>
        <w:rPr>
          <w:rFonts w:hint="eastAsia" w:ascii="宋体" w:hAnsi="宋体" w:eastAsia="宋体" w:cs="宋体"/>
          <w:b/>
          <w:bCs/>
          <w:sz w:val="24"/>
          <w:szCs w:val="24"/>
        </w:rPr>
      </w:pPr>
    </w:p>
    <w:p>
      <w:pPr>
        <w:keepLines w:val="0"/>
        <w:pageBreakBefore w:val="0"/>
        <w:kinsoku/>
        <w:topLinePunct w:val="0"/>
        <w:bidi w:val="0"/>
        <w:spacing w:line="400" w:lineRule="exact"/>
        <w:textAlignment w:val="auto"/>
        <w:rPr>
          <w:rFonts w:hint="eastAsia" w:ascii="宋体" w:hAnsi="宋体" w:eastAsia="宋体" w:cs="宋体"/>
          <w:sz w:val="24"/>
          <w:szCs w:val="24"/>
        </w:rPr>
      </w:pPr>
    </w:p>
    <w:p>
      <w:pPr>
        <w:pStyle w:val="20"/>
        <w:keepLines w:val="0"/>
        <w:pageBreakBefore w:val="0"/>
        <w:widowControl/>
        <w:kinsoku/>
        <w:topLinePunct w:val="0"/>
        <w:bidi w:val="0"/>
        <w:spacing w:line="4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p>
      <w:pPr>
        <w:pStyle w:val="20"/>
        <w:keepLines w:val="0"/>
        <w:pageBreakBefore w:val="0"/>
        <w:widowControl/>
        <w:kinsoku/>
        <w:topLinePunct w:val="0"/>
        <w:bidi w:val="0"/>
        <w:spacing w:line="4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p>
      <w:pPr>
        <w:pStyle w:val="20"/>
        <w:keepLines w:val="0"/>
        <w:pageBreakBefore w:val="0"/>
        <w:widowControl/>
        <w:kinsoku/>
        <w:topLinePunct w:val="0"/>
        <w:bidi w:val="0"/>
        <w:spacing w:line="4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年</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月</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sectPr>
          <w:headerReference r:id="rId6" w:type="default"/>
          <w:footerReference r:id="rId7" w:type="default"/>
          <w:footerReference r:id="rId8" w:type="even"/>
          <w:pgSz w:w="11906" w:h="16838"/>
          <w:pgMar w:top="1440" w:right="1474" w:bottom="1440" w:left="1474"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相关技术方案、措施、承诺</w:t>
      </w:r>
    </w:p>
    <w:p>
      <w:pPr>
        <w:keepLines w:val="0"/>
        <w:pageBreakBefore w:val="0"/>
        <w:kinsoku/>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由各供应商自行编写，格式不限。目录清晰、内容详尽、易于理解和评审。</w:t>
      </w:r>
    </w:p>
    <w:p>
      <w:pPr>
        <w:pStyle w:val="2"/>
        <w:keepLines w:val="0"/>
        <w:pageBreakBefore w:val="0"/>
        <w:kinsoku/>
        <w:topLinePunct w:val="0"/>
        <w:bidi w:val="0"/>
        <w:spacing w:line="400" w:lineRule="exact"/>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说明：技术文件的编制原则，一是按谈判文件要求，提供相应说明、</w:t>
      </w:r>
      <w:r>
        <w:rPr>
          <w:rFonts w:hint="eastAsia" w:ascii="宋体" w:hAnsi="宋体" w:eastAsia="宋体" w:cs="宋体"/>
          <w:color w:val="auto"/>
          <w:sz w:val="24"/>
          <w:szCs w:val="24"/>
          <w:lang w:val="en-US" w:eastAsia="zh-CN"/>
        </w:rPr>
        <w:t>承诺</w:t>
      </w:r>
      <w:r>
        <w:rPr>
          <w:rFonts w:hint="eastAsia" w:ascii="宋体" w:hAnsi="宋体" w:eastAsia="宋体" w:cs="宋体"/>
          <w:color w:val="auto"/>
          <w:sz w:val="24"/>
          <w:szCs w:val="24"/>
          <w:lang w:eastAsia="zh-CN"/>
        </w:rPr>
        <w:t>以证明是否响应谈判文件要求；二是</w:t>
      </w:r>
      <w:r>
        <w:rPr>
          <w:rFonts w:hint="eastAsia" w:ascii="宋体" w:hAnsi="宋体" w:eastAsia="宋体" w:cs="宋体"/>
          <w:color w:val="auto"/>
          <w:sz w:val="24"/>
          <w:szCs w:val="24"/>
          <w:lang w:val="en-US" w:eastAsia="zh-CN"/>
        </w:rPr>
        <w:t>根据工程特点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提供相应实施方案、技术力量以</w:t>
      </w:r>
      <w:r>
        <w:rPr>
          <w:rFonts w:hint="eastAsia" w:ascii="宋体" w:hAnsi="宋体" w:eastAsia="宋体" w:cs="宋体"/>
          <w:color w:val="auto"/>
          <w:sz w:val="24"/>
          <w:szCs w:val="24"/>
          <w:lang w:eastAsia="zh-CN"/>
        </w:rPr>
        <w:t>充分体现</w:t>
      </w:r>
      <w:r>
        <w:rPr>
          <w:rFonts w:hint="eastAsia" w:ascii="宋体" w:hAnsi="宋体" w:eastAsia="宋体" w:cs="宋体"/>
          <w:color w:val="auto"/>
          <w:sz w:val="24"/>
          <w:szCs w:val="24"/>
          <w:lang w:val="en-US" w:eastAsia="zh-CN"/>
        </w:rPr>
        <w:t>履约的能力</w:t>
      </w:r>
      <w:r>
        <w:rPr>
          <w:rFonts w:hint="eastAsia" w:ascii="宋体" w:hAnsi="宋体" w:eastAsia="宋体" w:cs="宋体"/>
          <w:color w:val="auto"/>
          <w:sz w:val="24"/>
          <w:szCs w:val="24"/>
          <w:lang w:eastAsia="zh-CN"/>
        </w:rPr>
        <w:t>和优势。</w:t>
      </w:r>
    </w:p>
    <w:p>
      <w:pPr>
        <w:keepLines w:val="0"/>
        <w:pageBreakBefore w:val="0"/>
        <w:kinsoku/>
        <w:topLinePunct w:val="0"/>
        <w:bidi w:val="0"/>
        <w:spacing w:line="400" w:lineRule="exact"/>
        <w:textAlignment w:val="auto"/>
        <w:rPr>
          <w:rFonts w:hint="eastAsia" w:ascii="宋体" w:hAnsi="宋体" w:eastAsia="宋体" w:cs="宋体"/>
          <w:b/>
          <w:color w:val="auto"/>
          <w:sz w:val="24"/>
          <w:szCs w:val="24"/>
        </w:rPr>
        <w:sectPr>
          <w:pgSz w:w="11906" w:h="16838"/>
          <w:pgMar w:top="1440" w:right="1474" w:bottom="1440" w:left="1474" w:header="851" w:footer="992" w:gutter="0"/>
          <w:pgNumType w:fmt="decimal"/>
          <w:cols w:space="720" w:num="1"/>
          <w:docGrid w:type="lines" w:linePitch="312" w:charSpace="0"/>
        </w:sectPr>
      </w:pP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附件五</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法定代表人资格证明书</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 请 人：</w:t>
      </w:r>
      <w:r>
        <w:rPr>
          <w:rFonts w:hint="eastAsia" w:ascii="宋体" w:hAnsi="宋体" w:eastAsia="宋体" w:cs="宋体"/>
          <w:color w:val="auto"/>
          <w:sz w:val="24"/>
          <w:szCs w:val="24"/>
          <w:u w:val="single"/>
        </w:rPr>
        <w:t xml:space="preserve">                                                       </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（申请人名称）的法定代表人。</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p>
    <w:tbl>
      <w:tblPr>
        <w:tblStyle w:val="30"/>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粘贴法人身份证（复印件）</w:t>
            </w:r>
          </w:p>
        </w:tc>
      </w:tr>
    </w:tbl>
    <w:p>
      <w:pPr>
        <w:pStyle w:val="20"/>
        <w:keepNext w:val="0"/>
        <w:keepLines w:val="0"/>
        <w:pageBreakBefore w:val="0"/>
        <w:kinsoku/>
        <w:wordWrap/>
        <w:overflowPunct/>
        <w:topLinePunct w:val="0"/>
        <w:autoSpaceDE/>
        <w:autoSpaceDN/>
        <w:bidi w:val="0"/>
        <w:adjustRightInd w:val="0"/>
        <w:snapToGrid w:val="0"/>
        <w:spacing w:line="400" w:lineRule="exact"/>
        <w:ind w:firstLine="480" w:firstLineChars="200"/>
        <w:jc w:val="right"/>
        <w:textAlignment w:val="auto"/>
        <w:rPr>
          <w:rFonts w:hint="eastAsia" w:ascii="宋体" w:hAnsi="宋体" w:eastAsia="宋体" w:cs="宋体"/>
          <w:color w:val="auto"/>
          <w:sz w:val="24"/>
          <w:szCs w:val="24"/>
        </w:rPr>
      </w:pPr>
    </w:p>
    <w:p>
      <w:pPr>
        <w:pStyle w:val="20"/>
        <w:keepNext w:val="0"/>
        <w:keepLines w:val="0"/>
        <w:pageBreakBefore w:val="0"/>
        <w:widowControl/>
        <w:kinsoku/>
        <w:wordWrap/>
        <w:overflowPunct/>
        <w:topLinePunct w:val="0"/>
        <w:autoSpaceDE/>
        <w:autoSpaceDN/>
        <w:bidi w:val="0"/>
        <w:spacing w:line="400" w:lineRule="exact"/>
        <w:jc w:val="righ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keepNext w:val="0"/>
        <w:keepLines w:val="0"/>
        <w:pageBreakBefore w:val="0"/>
        <w:kinsoku/>
        <w:wordWrap/>
        <w:overflowPunct/>
        <w:topLinePunct w:val="0"/>
        <w:autoSpaceDE/>
        <w:autoSpaceDN/>
        <w:bidi w:val="0"/>
        <w:spacing w:line="40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pStyle w:val="20"/>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FF0000"/>
          <w:sz w:val="24"/>
          <w:szCs w:val="24"/>
          <w:shd w:val="pct10" w:color="auto" w:fill="FFFFFF"/>
        </w:rPr>
      </w:pPr>
    </w:p>
    <w:p>
      <w:pPr>
        <w:pStyle w:val="20"/>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shd w:val="clear" w:color="auto" w:fill="auto"/>
        </w:rPr>
      </w:pPr>
      <w:r>
        <w:rPr>
          <w:rFonts w:hint="eastAsia" w:ascii="宋体" w:hAnsi="宋体" w:eastAsia="宋体" w:cs="宋体"/>
          <w:b w:val="0"/>
          <w:bCs/>
          <w:color w:val="auto"/>
          <w:sz w:val="24"/>
          <w:szCs w:val="24"/>
          <w:shd w:val="clear" w:color="auto" w:fill="auto"/>
        </w:rPr>
        <w:t>说明：此</w:t>
      </w:r>
      <w:r>
        <w:rPr>
          <w:rFonts w:hint="eastAsia" w:ascii="宋体" w:hAnsi="宋体" w:eastAsia="宋体" w:cs="宋体"/>
          <w:b w:val="0"/>
          <w:bCs/>
          <w:color w:val="auto"/>
          <w:sz w:val="24"/>
          <w:szCs w:val="24"/>
          <w:shd w:val="clear" w:color="auto" w:fill="auto"/>
          <w:lang w:eastAsia="zh-CN"/>
        </w:rPr>
        <w:t>证明</w:t>
      </w:r>
      <w:r>
        <w:rPr>
          <w:rFonts w:hint="eastAsia" w:ascii="宋体" w:hAnsi="宋体" w:eastAsia="宋体" w:cs="宋体"/>
          <w:b w:val="0"/>
          <w:bCs/>
          <w:color w:val="auto"/>
          <w:sz w:val="24"/>
          <w:szCs w:val="24"/>
          <w:shd w:val="clear" w:color="auto" w:fill="auto"/>
        </w:rPr>
        <w:t>除保留在响应文件中外，还</w:t>
      </w:r>
      <w:r>
        <w:rPr>
          <w:rFonts w:hint="eastAsia" w:ascii="宋体" w:hAnsi="宋体" w:eastAsia="宋体" w:cs="宋体"/>
          <w:b w:val="0"/>
          <w:bCs/>
          <w:color w:val="auto"/>
          <w:sz w:val="24"/>
          <w:szCs w:val="24"/>
          <w:shd w:val="clear" w:color="auto" w:fill="auto"/>
          <w:lang w:val="en-US" w:eastAsia="zh-CN"/>
        </w:rPr>
        <w:t>需</w:t>
      </w:r>
      <w:r>
        <w:rPr>
          <w:rFonts w:hint="eastAsia" w:ascii="宋体" w:hAnsi="宋体" w:eastAsia="宋体" w:cs="宋体"/>
          <w:b w:val="0"/>
          <w:bCs/>
          <w:color w:val="auto"/>
          <w:sz w:val="24"/>
          <w:szCs w:val="24"/>
          <w:shd w:val="clear" w:color="auto" w:fill="auto"/>
        </w:rPr>
        <w:t>另附一份与</w:t>
      </w:r>
      <w:r>
        <w:rPr>
          <w:rFonts w:hint="eastAsia" w:ascii="宋体" w:hAnsi="宋体" w:eastAsia="宋体" w:cs="宋体"/>
          <w:b w:val="0"/>
          <w:bCs/>
          <w:color w:val="auto"/>
          <w:sz w:val="24"/>
          <w:szCs w:val="24"/>
          <w:shd w:val="clear" w:color="auto" w:fill="auto"/>
          <w:lang w:eastAsia="zh-CN"/>
        </w:rPr>
        <w:t>法人</w:t>
      </w:r>
      <w:r>
        <w:rPr>
          <w:rFonts w:hint="eastAsia" w:ascii="宋体" w:hAnsi="宋体" w:eastAsia="宋体" w:cs="宋体"/>
          <w:b w:val="0"/>
          <w:bCs/>
          <w:color w:val="auto"/>
          <w:sz w:val="24"/>
          <w:szCs w:val="24"/>
          <w:shd w:val="clear" w:color="auto" w:fill="auto"/>
        </w:rPr>
        <w:t>身份证原件一起递交。</w:t>
      </w:r>
      <w:r>
        <w:rPr>
          <w:rFonts w:hint="eastAsia" w:ascii="宋体" w:hAnsi="宋体" w:eastAsia="宋体" w:cs="宋体"/>
          <w:b w:val="0"/>
          <w:bCs/>
          <w:color w:val="auto"/>
          <w:sz w:val="24"/>
          <w:szCs w:val="24"/>
          <w:shd w:val="clear" w:color="auto" w:fill="auto"/>
          <w:lang w:eastAsia="zh-CN"/>
        </w:rPr>
        <w:t>（</w:t>
      </w:r>
      <w:r>
        <w:rPr>
          <w:rFonts w:hint="eastAsia" w:ascii="宋体" w:hAnsi="宋体" w:eastAsia="宋体" w:cs="宋体"/>
          <w:b w:val="0"/>
          <w:bCs/>
          <w:color w:val="auto"/>
          <w:sz w:val="24"/>
          <w:szCs w:val="24"/>
          <w:shd w:val="clear" w:color="auto" w:fill="auto"/>
          <w:lang w:val="en-US" w:eastAsia="zh-CN"/>
        </w:rPr>
        <w:t>若是被授权人参加谈判，仅提供授权书与身份证原件，无需另外提供法定代表人身份证明</w:t>
      </w:r>
      <w:r>
        <w:rPr>
          <w:rFonts w:hint="eastAsia" w:ascii="宋体" w:hAnsi="宋体" w:eastAsia="宋体" w:cs="宋体"/>
          <w:b w:val="0"/>
          <w:bCs/>
          <w:color w:val="auto"/>
          <w:sz w:val="24"/>
          <w:szCs w:val="24"/>
          <w:shd w:val="clear" w:color="auto" w:fill="auto"/>
          <w:lang w:eastAsia="zh-CN"/>
        </w:rPr>
        <w:t>）</w:t>
      </w:r>
    </w:p>
    <w:p>
      <w:pPr>
        <w:keepLines w:val="0"/>
        <w:pageBreakBefore w:val="0"/>
        <w:kinsoku/>
        <w:topLinePunct w:val="0"/>
        <w:bidi w:val="0"/>
        <w:spacing w:line="400" w:lineRule="exact"/>
        <w:textAlignment w:val="auto"/>
        <w:rPr>
          <w:rFonts w:hint="eastAsia" w:ascii="宋体" w:hAnsi="宋体" w:eastAsia="宋体" w:cs="宋体"/>
          <w:b/>
          <w:color w:val="auto"/>
          <w:sz w:val="24"/>
          <w:szCs w:val="24"/>
          <w:shd w:val="clear" w:color="auto" w:fill="auto"/>
        </w:rPr>
      </w:pPr>
    </w:p>
    <w:p>
      <w:pPr>
        <w:pStyle w:val="2"/>
        <w:keepLines w:val="0"/>
        <w:pageBreakBefore w:val="0"/>
        <w:kinsoku/>
        <w:topLinePunct w:val="0"/>
        <w:bidi w:val="0"/>
        <w:spacing w:line="400" w:lineRule="exact"/>
        <w:textAlignment w:val="auto"/>
        <w:rPr>
          <w:rFonts w:hint="eastAsia" w:ascii="宋体" w:hAnsi="宋体" w:eastAsia="宋体" w:cs="宋体"/>
          <w:b/>
          <w:color w:val="auto"/>
          <w:sz w:val="24"/>
          <w:szCs w:val="24"/>
        </w:rPr>
      </w:pPr>
    </w:p>
    <w:p>
      <w:pPr>
        <w:rPr>
          <w:rFonts w:hint="eastAsia"/>
        </w:rPr>
      </w:pPr>
    </w:p>
    <w:p>
      <w:pPr>
        <w:keepLines w:val="0"/>
        <w:pageBreakBefore w:val="0"/>
        <w:kinsoku/>
        <w:topLinePunct w:val="0"/>
        <w:bidi w:val="0"/>
        <w:adjustRightInd w:val="0"/>
        <w:snapToGrid w:val="0"/>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8"/>
          <w:szCs w:val="28"/>
        </w:rPr>
        <w:t>法定代表人授权委托书</w:t>
      </w:r>
    </w:p>
    <w:p>
      <w:pPr>
        <w:keepLines w:val="0"/>
        <w:pageBreakBefore w:val="0"/>
        <w:kinsoku/>
        <w:topLinePunct w:val="0"/>
        <w:bidi w:val="0"/>
        <w:adjustRightInd w:val="0"/>
        <w:snapToGrid w:val="0"/>
        <w:spacing w:line="400" w:lineRule="exact"/>
        <w:jc w:val="center"/>
        <w:textAlignment w:val="auto"/>
        <w:rPr>
          <w:rFonts w:hint="eastAsia" w:ascii="宋体" w:hAnsi="宋体" w:eastAsia="宋体" w:cs="宋体"/>
          <w:b/>
          <w:color w:val="auto"/>
          <w:sz w:val="24"/>
          <w:szCs w:val="24"/>
          <w:u w:val="single"/>
        </w:rPr>
      </w:pPr>
    </w:p>
    <w:p>
      <w:pPr>
        <w:keepLines w:val="0"/>
        <w:pageBreakBefore w:val="0"/>
        <w:kinsoku/>
        <w:topLinePunct w:val="0"/>
        <w:bidi w:val="0"/>
        <w:adjustRightInd w:val="0"/>
        <w:snapToGrid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（采购人/政府采购代理机构）</w:t>
      </w:r>
      <w:r>
        <w:rPr>
          <w:rFonts w:hint="eastAsia" w:ascii="宋体" w:hAnsi="宋体" w:eastAsia="宋体" w:cs="宋体"/>
          <w:color w:val="auto"/>
          <w:sz w:val="24"/>
          <w:szCs w:val="24"/>
        </w:rPr>
        <w:t>：</w:t>
      </w:r>
    </w:p>
    <w:p>
      <w:pPr>
        <w:keepLines w:val="0"/>
        <w:pageBreakBefore w:val="0"/>
        <w:kinsoku/>
        <w:topLinePunct w:val="0"/>
        <w:bidi w:val="0"/>
        <w:adjustRightInd w:val="0"/>
        <w:snapToGrid w:val="0"/>
        <w:spacing w:line="400" w:lineRule="exact"/>
        <w:textAlignment w:val="auto"/>
        <w:rPr>
          <w:rFonts w:hint="eastAsia" w:ascii="宋体" w:hAnsi="宋体" w:eastAsia="宋体" w:cs="宋体"/>
          <w:b/>
          <w:color w:val="auto"/>
          <w:sz w:val="24"/>
          <w:szCs w:val="24"/>
          <w:u w:val="single"/>
        </w:rPr>
      </w:pPr>
    </w:p>
    <w:p>
      <w:pPr>
        <w:keepLines w:val="0"/>
        <w:pageBreakBefore w:val="0"/>
        <w:kinsoku/>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兹授权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同志为我公司参加贵单位组织的</w:t>
      </w:r>
      <w:r>
        <w:rPr>
          <w:rFonts w:hint="eastAsia" w:ascii="宋体" w:hAnsi="宋体" w:eastAsia="宋体" w:cs="宋体"/>
          <w:color w:val="auto"/>
          <w:sz w:val="24"/>
          <w:szCs w:val="24"/>
          <w:u w:val="single"/>
        </w:rPr>
        <w:t xml:space="preserve">（项目名称）    </w:t>
      </w:r>
      <w:r>
        <w:rPr>
          <w:rFonts w:hint="eastAsia" w:ascii="宋体" w:hAnsi="宋体" w:eastAsia="宋体" w:cs="宋体"/>
          <w:color w:val="auto"/>
          <w:sz w:val="24"/>
          <w:szCs w:val="24"/>
        </w:rPr>
        <w:t>谈判活动的谈判代表人，全权代表我公司处理在该项目活动中的一切事宜。代理期限从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keepLines w:val="0"/>
        <w:pageBreakBefore w:val="0"/>
        <w:kinsoku/>
        <w:topLinePunct w:val="0"/>
        <w:bidi w:val="0"/>
        <w:spacing w:line="400" w:lineRule="exact"/>
        <w:ind w:firstLine="480" w:firstLineChars="200"/>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授权单位（盖章）：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签发日期：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附：代理人工作单位：</w:t>
      </w:r>
    </w:p>
    <w:p>
      <w:pPr>
        <w:keepLines w:val="0"/>
        <w:pageBreakBefore w:val="0"/>
        <w:kinsoku/>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职务：         性别：</w:t>
      </w:r>
    </w:p>
    <w:p>
      <w:pPr>
        <w:keepLines w:val="0"/>
        <w:pageBreakBefore w:val="0"/>
        <w:kinsoku/>
        <w:topLinePunct w:val="0"/>
        <w:bidi w:val="0"/>
        <w:adjustRightInd w:val="0"/>
        <w:snapToGrid w:val="0"/>
        <w:spacing w:line="400" w:lineRule="exact"/>
        <w:ind w:left="-88" w:leftChars="-42" w:firstLine="600" w:firstLineChars="25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p>
    <w:p>
      <w:pPr>
        <w:keepLines w:val="0"/>
        <w:pageBreakBefore w:val="0"/>
        <w:kinsoku/>
        <w:topLinePunct w:val="0"/>
        <w:bidi w:val="0"/>
        <w:adjustRightInd w:val="0"/>
        <w:snapToGrid w:val="0"/>
        <w:spacing w:line="400" w:lineRule="exact"/>
        <w:ind w:left="-88" w:leftChars="-42" w:firstLine="600" w:firstLineChars="250"/>
        <w:textAlignment w:val="auto"/>
        <w:rPr>
          <w:rFonts w:hint="eastAsia" w:ascii="宋体" w:hAnsi="宋体" w:eastAsia="宋体" w:cs="宋体"/>
          <w:color w:val="auto"/>
          <w:sz w:val="24"/>
          <w:szCs w:val="24"/>
          <w:u w:val="single"/>
        </w:rPr>
      </w:pPr>
    </w:p>
    <w:tbl>
      <w:tblPr>
        <w:tblStyle w:val="30"/>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pPr>
              <w:keepLines w:val="0"/>
              <w:pageBreakBefore w:val="0"/>
              <w:kinsoku/>
              <w:topLinePunct w:val="0"/>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粘贴法定代表人、被授权人身份证（复印件））</w:t>
            </w:r>
          </w:p>
        </w:tc>
      </w:tr>
    </w:tbl>
    <w:p>
      <w:pPr>
        <w:keepLines w:val="0"/>
        <w:pageBreakBefore w:val="0"/>
        <w:kinsoku/>
        <w:topLinePunct w:val="0"/>
        <w:autoSpaceDE w:val="0"/>
        <w:autoSpaceDN w:val="0"/>
        <w:bidi w:val="0"/>
        <w:spacing w:line="400" w:lineRule="exact"/>
        <w:ind w:left="480" w:hanging="480"/>
        <w:textAlignment w:val="auto"/>
        <w:rPr>
          <w:rFonts w:hint="eastAsia" w:ascii="宋体" w:hAnsi="宋体" w:eastAsia="宋体" w:cs="宋体"/>
          <w:color w:val="auto"/>
          <w:sz w:val="24"/>
          <w:szCs w:val="24"/>
        </w:rPr>
      </w:pPr>
    </w:p>
    <w:p>
      <w:pPr>
        <w:pStyle w:val="20"/>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pStyle w:val="20"/>
        <w:keepLines w:val="0"/>
        <w:pageBreakBefore w:val="0"/>
        <w:widowControl/>
        <w:kinsoku/>
        <w:topLinePunct w:val="0"/>
        <w:bidi w:val="0"/>
        <w:spacing w:line="400" w:lineRule="exact"/>
        <w:jc w:val="righ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keepLines w:val="0"/>
        <w:pageBreakBefore w:val="0"/>
        <w:kinsoku/>
        <w:topLinePunct w:val="0"/>
        <w:bidi w:val="0"/>
        <w:spacing w:line="40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pStyle w:val="20"/>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pStyle w:val="2"/>
        <w:rPr>
          <w:rFonts w:hint="eastAsia"/>
        </w:rPr>
      </w:pPr>
    </w:p>
    <w:p>
      <w:pPr>
        <w:pStyle w:val="2"/>
        <w:keepLines w:val="0"/>
        <w:pageBreakBefore w:val="0"/>
        <w:kinsoku/>
        <w:topLinePunct w:val="0"/>
        <w:bidi w:val="0"/>
        <w:spacing w:line="400" w:lineRule="exact"/>
        <w:textAlignment w:val="auto"/>
        <w:rPr>
          <w:rFonts w:hint="eastAsia" w:ascii="宋体" w:hAnsi="宋体" w:eastAsia="宋体" w:cs="宋体"/>
          <w:sz w:val="24"/>
          <w:szCs w:val="24"/>
        </w:rPr>
      </w:pPr>
    </w:p>
    <w:p>
      <w:pPr>
        <w:pStyle w:val="20"/>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附件六</w:t>
      </w:r>
    </w:p>
    <w:p>
      <w:pPr>
        <w:keepLines w:val="0"/>
        <w:pageBreakBefore w:val="0"/>
        <w:kinsoku/>
        <w:topLinePunct w:val="0"/>
        <w:autoSpaceDE w:val="0"/>
        <w:autoSpaceDN w:val="0"/>
        <w:bidi w:val="0"/>
        <w:adjustRightInd w:val="0"/>
        <w:snapToGrid w:val="0"/>
        <w:spacing w:line="400" w:lineRule="exact"/>
        <w:ind w:firstLine="422" w:firstLineChars="150"/>
        <w:jc w:val="center"/>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竞争性谈判响应文件目录</w:t>
      </w:r>
    </w:p>
    <w:p>
      <w:pPr>
        <w:keepLines w:val="0"/>
        <w:pageBreakBefore w:val="0"/>
        <w:kinsoku/>
        <w:topLinePunct w:val="0"/>
        <w:autoSpaceDE w:val="0"/>
        <w:autoSpaceDN w:val="0"/>
        <w:bidi w:val="0"/>
        <w:adjustRightInd w:val="0"/>
        <w:snapToGrid w:val="0"/>
        <w:spacing w:line="400" w:lineRule="exact"/>
        <w:ind w:firstLine="422" w:firstLineChars="150"/>
        <w:jc w:val="center"/>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w:t>
      </w:r>
      <w:r>
        <w:rPr>
          <w:rFonts w:hint="eastAsia" w:ascii="宋体" w:hAnsi="宋体" w:eastAsia="宋体" w:cs="宋体"/>
          <w:b/>
          <w:bCs/>
          <w:color w:val="auto"/>
          <w:kern w:val="0"/>
          <w:sz w:val="28"/>
          <w:szCs w:val="28"/>
          <w:lang w:val="en-US" w:eastAsia="zh-CN"/>
        </w:rPr>
        <w:t>格式自拟</w:t>
      </w:r>
      <w:r>
        <w:rPr>
          <w:rFonts w:hint="eastAsia" w:ascii="宋体" w:hAnsi="宋体" w:eastAsia="宋体" w:cs="宋体"/>
          <w:b/>
          <w:bCs/>
          <w:color w:val="auto"/>
          <w:kern w:val="0"/>
          <w:sz w:val="28"/>
          <w:szCs w:val="28"/>
          <w:lang w:val="zh-CN"/>
        </w:rPr>
        <w:t>）</w:t>
      </w:r>
    </w:p>
    <w:p>
      <w:pPr>
        <w:keepLines w:val="0"/>
        <w:pageBreakBefore w:val="0"/>
        <w:kinsoku/>
        <w:topLinePunct w:val="0"/>
        <w:bidi w:val="0"/>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keepLines w:val="0"/>
        <w:pageBreakBefore w:val="0"/>
        <w:kinsoku/>
        <w:topLinePunct w:val="0"/>
        <w:bidi w:val="0"/>
        <w:spacing w:line="400" w:lineRule="exact"/>
        <w:ind w:firstLine="354" w:firstLineChars="147"/>
        <w:textAlignment w:val="auto"/>
        <w:rPr>
          <w:rFonts w:hint="eastAsia" w:ascii="宋体" w:hAnsi="宋体" w:eastAsia="宋体" w:cs="宋体"/>
          <w:b/>
          <w:color w:val="auto"/>
          <w:sz w:val="28"/>
          <w:szCs w:val="28"/>
        </w:rPr>
      </w:pPr>
      <w:r>
        <w:rPr>
          <w:rFonts w:hint="eastAsia" w:ascii="宋体" w:hAnsi="宋体" w:eastAsia="宋体" w:cs="宋体"/>
          <w:b/>
          <w:color w:val="auto"/>
          <w:sz w:val="24"/>
          <w:szCs w:val="24"/>
        </w:rPr>
        <w:t>附件七</w:t>
      </w:r>
    </w:p>
    <w:p>
      <w:pPr>
        <w:keepLines w:val="0"/>
        <w:pageBreakBefore w:val="0"/>
        <w:kinsoku/>
        <w:topLinePunct w:val="0"/>
        <w:bidi w:val="0"/>
        <w:spacing w:line="400" w:lineRule="exact"/>
        <w:ind w:firstLine="3061" w:firstLineChars="1089"/>
        <w:textAlignment w:val="auto"/>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rPr>
        <w:t>竞争性谈判报价表</w:t>
      </w:r>
      <w:r>
        <w:rPr>
          <w:rFonts w:hint="eastAsia" w:ascii="宋体" w:hAnsi="宋体" w:cs="宋体"/>
          <w:b/>
          <w:bCs/>
          <w:color w:val="auto"/>
          <w:kern w:val="0"/>
          <w:sz w:val="28"/>
          <w:szCs w:val="28"/>
          <w:lang w:eastAsia="zh-CN"/>
        </w:rPr>
        <w:t>（最终报价）</w:t>
      </w:r>
    </w:p>
    <w:p>
      <w:pPr>
        <w:keepLines w:val="0"/>
        <w:pageBreakBefore w:val="0"/>
        <w:kinsoku/>
        <w:topLinePunct w:val="0"/>
        <w:bidi w:val="0"/>
        <w:spacing w:line="400" w:lineRule="exact"/>
        <w:ind w:firstLine="7320" w:firstLineChars="3050"/>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rPr>
        <w:t>单位：元</w:t>
      </w:r>
    </w:p>
    <w:tbl>
      <w:tblPr>
        <w:tblStyle w:val="30"/>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rPr>
              <w:t>项目名称</w:t>
            </w:r>
          </w:p>
        </w:tc>
        <w:tc>
          <w:tcPr>
            <w:tcW w:w="5587" w:type="dxa"/>
            <w:shd w:val="clear" w:color="auto" w:fill="auto"/>
          </w:tcPr>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rPr>
              <w:t>供应商名称</w:t>
            </w:r>
          </w:p>
        </w:tc>
        <w:tc>
          <w:tcPr>
            <w:tcW w:w="5587" w:type="dxa"/>
            <w:shd w:val="clear" w:color="auto" w:fill="auto"/>
          </w:tcPr>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rPr>
              <w:t>谈判地址</w:t>
            </w:r>
          </w:p>
        </w:tc>
        <w:tc>
          <w:tcPr>
            <w:tcW w:w="5587" w:type="dxa"/>
            <w:shd w:val="clear" w:color="auto" w:fill="auto"/>
          </w:tcPr>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2523" w:type="dxa"/>
            <w:shd w:val="clear" w:color="auto" w:fill="auto"/>
            <w:vAlign w:val="center"/>
          </w:tcPr>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rPr>
              <w:t>第（</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）轮报价</w:t>
            </w:r>
          </w:p>
        </w:tc>
        <w:tc>
          <w:tcPr>
            <w:tcW w:w="5587" w:type="dxa"/>
            <w:shd w:val="clear" w:color="auto" w:fill="auto"/>
            <w:vAlign w:val="center"/>
          </w:tcPr>
          <w:p>
            <w:pPr>
              <w:keepLines w:val="0"/>
              <w:pageBreakBefore w:val="0"/>
              <w:widowControl/>
              <w:kinsoku/>
              <w:topLinePunct w:val="0"/>
              <w:bidi w:val="0"/>
              <w:spacing w:line="400" w:lineRule="exact"/>
              <w:textAlignment w:val="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大写金额：</w:t>
            </w:r>
            <w:r>
              <w:rPr>
                <w:rFonts w:hint="eastAsia" w:ascii="宋体" w:hAnsi="宋体" w:eastAsia="宋体" w:cs="宋体"/>
                <w:color w:val="auto"/>
                <w:kern w:val="0"/>
                <w:sz w:val="24"/>
                <w:szCs w:val="24"/>
                <w:u w:val="single"/>
              </w:rPr>
              <w:t xml:space="preserve">                                    </w:t>
            </w:r>
          </w:p>
          <w:p>
            <w:pPr>
              <w:pStyle w:val="16"/>
              <w:keepLines w:val="0"/>
              <w:pageBreakBefore w:val="0"/>
              <w:kinsoku/>
              <w:topLinePunct w:val="0"/>
              <w:bidi w:val="0"/>
              <w:spacing w:line="400" w:lineRule="exact"/>
              <w:ind w:left="63" w:right="63"/>
              <w:jc w:val="both"/>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rPr>
              <w:t>时间</w:t>
            </w:r>
          </w:p>
        </w:tc>
        <w:tc>
          <w:tcPr>
            <w:tcW w:w="5587" w:type="dxa"/>
            <w:shd w:val="clear" w:color="auto" w:fill="auto"/>
          </w:tcPr>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2523" w:type="dxa"/>
            <w:shd w:val="clear" w:color="auto" w:fill="auto"/>
            <w:vAlign w:val="center"/>
          </w:tcPr>
          <w:p>
            <w:pPr>
              <w:keepLines w:val="0"/>
              <w:pageBreakBefore w:val="0"/>
              <w:kinsoku/>
              <w:topLinePunct w:val="0"/>
              <w:bidi w:val="0"/>
              <w:spacing w:line="40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法定代表人或</w:t>
            </w:r>
          </w:p>
          <w:p>
            <w:pPr>
              <w:keepLines w:val="0"/>
              <w:pageBreakBefore w:val="0"/>
              <w:kinsoku/>
              <w:topLinePunct w:val="0"/>
              <w:bidi w:val="0"/>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rPr>
              <w:t>委托代理人签名</w:t>
            </w:r>
          </w:p>
        </w:tc>
        <w:tc>
          <w:tcPr>
            <w:tcW w:w="5587" w:type="dxa"/>
            <w:shd w:val="clear" w:color="auto" w:fill="auto"/>
          </w:tcPr>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p>
        </w:tc>
      </w:tr>
    </w:tbl>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ind w:firstLine="241" w:firstLineChars="1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使用说明：</w:t>
      </w:r>
    </w:p>
    <w:p>
      <w:pPr>
        <w:keepLines w:val="0"/>
        <w:pageBreakBefore w:val="0"/>
        <w:kinsoku/>
        <w:topLinePunct w:val="0"/>
        <w:bidi w:val="0"/>
        <w:spacing w:line="400" w:lineRule="exact"/>
        <w:ind w:left="181" w:leftChars="86" w:firstLine="400" w:firstLineChars="166"/>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该表供最终报价时使用，投标供应商须按规定的格式填写，供应商需将谈判报价表（最终报价）盖章携带作最终报价时使用</w:t>
      </w:r>
    </w:p>
    <w:p>
      <w:pPr>
        <w:keepLines w:val="0"/>
        <w:pageBreakBefore w:val="0"/>
        <w:kinsoku/>
        <w:topLinePunct w:val="0"/>
        <w:bidi w:val="0"/>
        <w:spacing w:line="400" w:lineRule="exact"/>
        <w:ind w:left="181" w:leftChars="86" w:firstLine="400" w:firstLineChars="166"/>
        <w:textAlignment w:val="auto"/>
        <w:rPr>
          <w:rFonts w:hint="eastAsia" w:ascii="宋体" w:hAnsi="宋体" w:eastAsia="宋体" w:cs="宋体"/>
          <w:b/>
          <w:bCs/>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Lines w:val="0"/>
        <w:pageBreakBefore w:val="0"/>
        <w:kinsoku/>
        <w:topLinePunct w:val="0"/>
        <w:bidi w:val="0"/>
        <w:spacing w:line="400" w:lineRule="exact"/>
        <w:ind w:firstLine="354" w:firstLineChars="147"/>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附件八</w:t>
      </w:r>
    </w:p>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工农关系承诺</w:t>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u w:val="single"/>
        </w:rPr>
        <w:t>（采购人）</w:t>
      </w:r>
      <w:r>
        <w:rPr>
          <w:rFonts w:hint="eastAsia" w:ascii="宋体" w:hAnsi="宋体" w:eastAsia="宋体" w:cs="宋体"/>
          <w:color w:val="auto"/>
          <w:kern w:val="0"/>
          <w:sz w:val="24"/>
          <w:szCs w:val="24"/>
        </w:rPr>
        <w:t>:</w:t>
      </w:r>
    </w:p>
    <w:p>
      <w:pPr>
        <w:pStyle w:val="20"/>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我公司承诺施工现场的安全防护及施工有关的交管、城管、环卫、环境及施工区域内清退场等工农关系协调与处理自行负责，</w:t>
      </w:r>
      <w:r>
        <w:rPr>
          <w:rFonts w:hint="eastAsia" w:ascii="宋体" w:hAnsi="宋体" w:eastAsia="宋体" w:cs="宋体"/>
          <w:color w:val="auto"/>
          <w:sz w:val="24"/>
          <w:szCs w:val="24"/>
          <w:lang w:val="en-US" w:eastAsia="zh-CN"/>
        </w:rPr>
        <w:t>自愿</w:t>
      </w:r>
      <w:r>
        <w:rPr>
          <w:rFonts w:hint="eastAsia" w:ascii="宋体" w:hAnsi="宋体" w:eastAsia="宋体" w:cs="宋体"/>
          <w:color w:val="auto"/>
          <w:sz w:val="24"/>
          <w:szCs w:val="24"/>
        </w:rPr>
        <w:t>遵守发包人的各项管理规定。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特此承诺！</w:t>
      </w:r>
    </w:p>
    <w:p>
      <w:pPr>
        <w:pStyle w:val="20"/>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color w:val="auto"/>
          <w:sz w:val="24"/>
          <w:szCs w:val="24"/>
        </w:rPr>
      </w:pPr>
    </w:p>
    <w:p>
      <w:pPr>
        <w:pStyle w:val="20"/>
        <w:keepNext w:val="0"/>
        <w:keepLines w:val="0"/>
        <w:pageBreakBefore w:val="0"/>
        <w:kinsoku/>
        <w:wordWrap/>
        <w:overflowPunct/>
        <w:topLinePunct w:val="0"/>
        <w:autoSpaceDE/>
        <w:autoSpaceDN/>
        <w:bidi w:val="0"/>
        <w:spacing w:line="500" w:lineRule="exact"/>
        <w:ind w:firstLine="120" w:firstLineChars="50"/>
        <w:textAlignment w:val="auto"/>
        <w:rPr>
          <w:rFonts w:hint="eastAsia" w:ascii="宋体" w:hAnsi="宋体" w:eastAsia="宋体" w:cs="宋体"/>
          <w:color w:val="auto"/>
          <w:sz w:val="24"/>
          <w:szCs w:val="24"/>
        </w:rPr>
      </w:pPr>
    </w:p>
    <w:p>
      <w:pPr>
        <w:pStyle w:val="20"/>
        <w:keepNext w:val="0"/>
        <w:keepLines w:val="0"/>
        <w:pageBreakBefore w:val="0"/>
        <w:kinsoku/>
        <w:wordWrap/>
        <w:overflowPunct/>
        <w:topLinePunct w:val="0"/>
        <w:autoSpaceDE/>
        <w:autoSpaceDN/>
        <w:bidi w:val="0"/>
        <w:spacing w:line="500" w:lineRule="exact"/>
        <w:ind w:firstLine="120" w:firstLineChars="50"/>
        <w:textAlignment w:val="auto"/>
        <w:rPr>
          <w:rFonts w:hint="eastAsia" w:ascii="宋体" w:hAnsi="宋体" w:eastAsia="宋体" w:cs="宋体"/>
          <w:color w:val="auto"/>
          <w:sz w:val="24"/>
          <w:szCs w:val="24"/>
        </w:rPr>
      </w:pPr>
    </w:p>
    <w:p>
      <w:pPr>
        <w:pStyle w:val="20"/>
        <w:keepNext w:val="0"/>
        <w:keepLines w:val="0"/>
        <w:pageBreakBefore w:val="0"/>
        <w:widowControl/>
        <w:kinsoku/>
        <w:wordWrap/>
        <w:overflowPunct/>
        <w:topLinePunct w:val="0"/>
        <w:autoSpaceDE/>
        <w:autoSpaceDN/>
        <w:bidi w:val="0"/>
        <w:spacing w:line="5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20"/>
        <w:keepNext w:val="0"/>
        <w:keepLines w:val="0"/>
        <w:pageBreakBefore w:val="0"/>
        <w:widowControl/>
        <w:kinsoku/>
        <w:wordWrap/>
        <w:overflowPunct/>
        <w:topLinePunct w:val="0"/>
        <w:autoSpaceDE/>
        <w:autoSpaceDN/>
        <w:bidi w:val="0"/>
        <w:spacing w:line="500" w:lineRule="exact"/>
        <w:jc w:val="righ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keepNext w:val="0"/>
        <w:keepLines w:val="0"/>
        <w:pageBreakBefore w:val="0"/>
        <w:kinsoku/>
        <w:wordWrap/>
        <w:overflowPunct/>
        <w:topLinePunct w:val="0"/>
        <w:autoSpaceDE/>
        <w:autoSpaceDN/>
        <w:bidi w:val="0"/>
        <w:spacing w:line="50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附件：</w:t>
      </w:r>
    </w:p>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sz w:val="28"/>
          <w:szCs w:val="28"/>
        </w:rPr>
      </w:pPr>
      <w:r>
        <w:rPr>
          <w:rFonts w:hint="eastAsia" w:ascii="宋体" w:hAnsi="宋体" w:eastAsia="宋体" w:cs="宋体"/>
          <w:b/>
          <w:sz w:val="28"/>
          <w:szCs w:val="28"/>
        </w:rPr>
        <w:t>合同签订承诺函</w:t>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 xml:space="preserve">人）   </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我公司承诺在成交通知书发放后</w:t>
      </w:r>
      <w:r>
        <w:rPr>
          <w:rFonts w:hint="eastAsia" w:ascii="宋体" w:hAnsi="宋体" w:eastAsia="宋体" w:cs="宋体"/>
          <w:sz w:val="24"/>
          <w:szCs w:val="24"/>
          <w:lang w:val="en-US" w:eastAsia="zh-CN"/>
        </w:rPr>
        <w:t>三十</w:t>
      </w:r>
      <w:r>
        <w:rPr>
          <w:rFonts w:hint="eastAsia" w:ascii="宋体" w:hAnsi="宋体" w:eastAsia="宋体" w:cs="宋体"/>
          <w:sz w:val="24"/>
          <w:szCs w:val="24"/>
        </w:rPr>
        <w:t>日内与招标人签订施工合同，逾期愿意自动放弃中标资格 。</w:t>
      </w:r>
    </w:p>
    <w:p>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特此承诺！</w:t>
      </w: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4"/>
          <w:szCs w:val="24"/>
        </w:rPr>
      </w:pPr>
    </w:p>
    <w:p>
      <w:pPr>
        <w:pStyle w:val="20"/>
        <w:keepNext w:val="0"/>
        <w:keepLines w:val="0"/>
        <w:pageBreakBefore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法定代表人或法定代表人授权代表签字：</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20"/>
        <w:keepNext w:val="0"/>
        <w:keepLines w:val="0"/>
        <w:pageBreakBefore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谈判供应商名称（盖章）：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keepNext w:val="0"/>
        <w:keepLines w:val="0"/>
        <w:pageBreakBefore w:val="0"/>
        <w:kinsoku/>
        <w:wordWrap/>
        <w:overflowPunct/>
        <w:topLinePunct w:val="0"/>
        <w:autoSpaceDE/>
        <w:autoSpaceDN/>
        <w:bidi w:val="0"/>
        <w:spacing w:line="500" w:lineRule="exact"/>
        <w:ind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keepNext w:val="0"/>
        <w:keepLines w:val="0"/>
        <w:pageBreakBefore w:val="0"/>
        <w:kinsoku/>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br w:type="page"/>
      </w:r>
    </w:p>
    <w:p>
      <w:pPr>
        <w:keepLines w:val="0"/>
        <w:pageBreakBefore w:val="0"/>
        <w:kinsoku/>
        <w:topLinePunct w:val="0"/>
        <w:bidi w:val="0"/>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附件九</w:t>
      </w:r>
    </w:p>
    <w:p>
      <w:pPr>
        <w:keepLines w:val="0"/>
        <w:pageBreakBefore w:val="0"/>
        <w:kinsoku/>
        <w:topLinePunct w:val="0"/>
        <w:bidi w:val="0"/>
        <w:adjustRightInd w:val="0"/>
        <w:snapToGrid w:val="0"/>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8"/>
          <w:szCs w:val="28"/>
        </w:rPr>
        <w:t>拟派项目经理无在建工程承诺函</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kern w:val="0"/>
          <w:sz w:val="24"/>
          <w:szCs w:val="24"/>
        </w:rPr>
      </w:pPr>
      <w:bookmarkStart w:id="7" w:name="OLE_LINK3"/>
      <w:r>
        <w:rPr>
          <w:rFonts w:hint="eastAsia" w:ascii="宋体" w:hAnsi="宋体" w:eastAsia="宋体" w:cs="宋体"/>
          <w:color w:val="auto"/>
          <w:sz w:val="24"/>
          <w:szCs w:val="24"/>
          <w:u w:val="single"/>
        </w:rPr>
        <w:t>（采购人）</w:t>
      </w:r>
      <w:r>
        <w:rPr>
          <w:rFonts w:hint="eastAsia" w:ascii="宋体" w:hAnsi="宋体" w:eastAsia="宋体" w:cs="宋体"/>
          <w:color w:val="auto"/>
          <w:kern w:val="0"/>
          <w:sz w:val="24"/>
          <w:szCs w:val="24"/>
        </w:rPr>
        <w:t>:</w:t>
      </w:r>
    </w:p>
    <w:p>
      <w:pPr>
        <w:keepLines w:val="0"/>
        <w:pageBreakBefore w:val="0"/>
        <w:kinsoku/>
        <w:topLinePunct w:val="0"/>
        <w:bidi w:val="0"/>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（谈判供应商）   </w:t>
      </w:r>
      <w:r>
        <w:rPr>
          <w:rFonts w:hint="eastAsia" w:ascii="宋体" w:hAnsi="宋体" w:eastAsia="宋体" w:cs="宋体"/>
          <w:color w:val="auto"/>
          <w:sz w:val="24"/>
          <w:szCs w:val="24"/>
        </w:rPr>
        <w:t>的法定代表人，现承诺本工程拟派的项目经理</w:t>
      </w:r>
      <w:r>
        <w:rPr>
          <w:rFonts w:hint="eastAsia" w:ascii="宋体" w:hAnsi="宋体" w:eastAsia="宋体" w:cs="宋体"/>
          <w:color w:val="auto"/>
          <w:sz w:val="24"/>
          <w:szCs w:val="24"/>
          <w:u w:val="single"/>
        </w:rPr>
        <w:t xml:space="preserve">   （姓名）   </w:t>
      </w:r>
      <w:r>
        <w:rPr>
          <w:rFonts w:hint="eastAsia" w:ascii="宋体" w:hAnsi="宋体" w:eastAsia="宋体" w:cs="宋体"/>
          <w:color w:val="auto"/>
          <w:sz w:val="24"/>
          <w:szCs w:val="24"/>
        </w:rPr>
        <w:t>，项目经理证号：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，目前无在建工程。若有虚假一经查实，愿意承担一切责任，并承担由此造成的一切损失。我方特此承诺。</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bookmarkEnd w:id="7"/>
    <w:p>
      <w:pPr>
        <w:pStyle w:val="20"/>
        <w:keepLines w:val="0"/>
        <w:pageBreakBefore w:val="0"/>
        <w:widowControl/>
        <w:kinsoku/>
        <w:topLinePunct w:val="0"/>
        <w:bidi w:val="0"/>
        <w:spacing w:line="4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20"/>
        <w:keepLines w:val="0"/>
        <w:pageBreakBefore w:val="0"/>
        <w:widowControl/>
        <w:kinsoku/>
        <w:topLinePunct w:val="0"/>
        <w:bidi w:val="0"/>
        <w:spacing w:line="400" w:lineRule="exact"/>
        <w:jc w:val="righ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keepLines w:val="0"/>
        <w:pageBreakBefore w:val="0"/>
        <w:kinsoku/>
        <w:topLinePunct w:val="0"/>
        <w:bidi w:val="0"/>
        <w:spacing w:line="40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Lines w:val="0"/>
        <w:pageBreakBefore w:val="0"/>
        <w:kinsoku/>
        <w:topLinePunct w:val="0"/>
        <w:bidi w:val="0"/>
        <w:spacing w:line="400" w:lineRule="exact"/>
        <w:jc w:val="both"/>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keepLines w:val="0"/>
        <w:pageBreakBefore w:val="0"/>
        <w:kinsoku/>
        <w:topLinePunct w:val="0"/>
        <w:bidi w:val="0"/>
        <w:spacing w:line="4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val="en-US" w:eastAsia="zh-CN"/>
        </w:rPr>
        <w:t>十</w:t>
      </w:r>
    </w:p>
    <w:p>
      <w:pPr>
        <w:keepLines w:val="0"/>
        <w:pageBreakBefore w:val="0"/>
        <w:kinsoku/>
        <w:topLinePunct w:val="0"/>
        <w:bidi w:val="0"/>
        <w:spacing w:line="400" w:lineRule="exact"/>
        <w:ind w:firstLine="1440" w:firstLineChars="600"/>
        <w:textAlignment w:val="auto"/>
        <w:rPr>
          <w:rFonts w:hint="eastAsia" w:ascii="宋体" w:hAnsi="宋体" w:eastAsia="宋体" w:cs="宋体"/>
          <w:color w:val="auto"/>
          <w:sz w:val="24"/>
          <w:szCs w:val="24"/>
        </w:rPr>
      </w:pPr>
    </w:p>
    <w:p>
      <w:pPr>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诚信投标承诺书</w:t>
      </w:r>
    </w:p>
    <w:p>
      <w:pPr>
        <w:pStyle w:val="20"/>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u w:val="single"/>
        </w:rPr>
      </w:pPr>
    </w:p>
    <w:p>
      <w:pPr>
        <w:pStyle w:val="20"/>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（招标人）:</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固定电话：</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为维护市场公平竞争，营造诚实守信的招投标交易环境，我单位在此慎重作出如下承诺：</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1、我单位提供的一切材料都是真实、合法、有效的；</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2、我单位不与招标人、其他投标人及招标代理机构串通投标，损害国家利益、社会利益和他人的合法权益；</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3、我单位不向招标人、评标委员会成员及相关人员行贿，牟取中标；</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4、我单位不以他人名义投标或者其他弄虚作假的方式参与投标、骗取中标；</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、我单位不在投标中哄抬价格或恶意压价；</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、我单位不在招投标活动中虚假投诉；</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、我单位在中标后不违背中标人承诺函及施工合同实质性条款；</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、我单位在招投标活动中严格遵守相关法律、法规、规章、规定，诚实守信。</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本单位如有违反承诺内容的行为，自愿接受大冶市农村综合产权交易中心及相关行政监督部门的处罚。并愿意承担因此产生的一切法律责任。</w:t>
      </w: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24"/>
          <w:szCs w:val="24"/>
        </w:rPr>
      </w:pPr>
    </w:p>
    <w:p>
      <w:pPr>
        <w:pStyle w:val="20"/>
        <w:keepNext w:val="0"/>
        <w:keepLines w:val="0"/>
        <w:pageBreakBefore w:val="0"/>
        <w:widowControl w:val="0"/>
        <w:kinsoku/>
        <w:wordWrap/>
        <w:overflowPunct/>
        <w:topLinePunct w:val="0"/>
        <w:autoSpaceDE/>
        <w:autoSpaceDN/>
        <w:bidi w:val="0"/>
        <w:adjustRightInd w:val="0"/>
        <w:snapToGrid w:val="0"/>
        <w:spacing w:line="500" w:lineRule="exact"/>
        <w:ind w:firstLine="3840" w:firstLineChars="16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w:t>
      </w:r>
      <w:r>
        <w:rPr>
          <w:rFonts w:hint="eastAsia" w:ascii="宋体" w:hAnsi="宋体" w:eastAsia="宋体" w:cs="宋体"/>
          <w:color w:val="auto"/>
          <w:sz w:val="24"/>
          <w:szCs w:val="24"/>
          <w:lang w:val="en-US" w:eastAsia="zh-CN"/>
        </w:rPr>
        <w:t>委托人）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2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2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autoSpaceDN/>
        <w:bidi w:val="0"/>
        <w:spacing w:line="400" w:lineRule="exact"/>
        <w:ind w:firstLine="1440" w:firstLineChars="600"/>
        <w:jc w:val="righ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ind w:firstLine="1440" w:firstLineChars="600"/>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附件十</w:t>
      </w:r>
      <w:r>
        <w:rPr>
          <w:rFonts w:hint="eastAsia" w:ascii="宋体" w:hAnsi="宋体" w:eastAsia="宋体" w:cs="宋体"/>
          <w:b/>
          <w:bCs/>
          <w:color w:val="auto"/>
          <w:sz w:val="24"/>
          <w:szCs w:val="24"/>
          <w:lang w:val="en-US" w:eastAsia="zh-CN"/>
        </w:rPr>
        <w:t>一</w:t>
      </w:r>
    </w:p>
    <w:p>
      <w:pPr>
        <w:keepLines w:val="0"/>
        <w:pageBreakBefore w:val="0"/>
        <w:kinsoku/>
        <w:topLinePunct w:val="0"/>
        <w:bidi w:val="0"/>
        <w:spacing w:before="37" w:line="40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中小企业声明函</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rPr>
        <w:tab/>
      </w:r>
      <w:r>
        <w:rPr>
          <w:rFonts w:hint="eastAsia" w:ascii="宋体" w:hAnsi="宋体" w:eastAsia="宋体" w:cs="宋体"/>
          <w:bCs/>
          <w:color w:val="auto"/>
          <w:sz w:val="24"/>
          <w:szCs w:val="24"/>
          <w:u w:val="single"/>
        </w:rPr>
        <w:t xml:space="preserve">(采购人名称)  </w:t>
      </w:r>
      <w:r>
        <w:rPr>
          <w:rFonts w:hint="eastAsia" w:ascii="宋体" w:hAnsi="宋体" w:eastAsia="宋体" w:cs="宋体"/>
          <w:bCs/>
          <w:color w:val="auto"/>
          <w:sz w:val="24"/>
          <w:szCs w:val="24"/>
          <w:u w:val="single"/>
        </w:rPr>
        <w:tab/>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zh-CN"/>
        </w:rPr>
        <w:t>（项目名称）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采购活动，工程的施工单位全部为符合政策要求的中小企业。相关企业的具体情况如下：</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zh-CN"/>
        </w:rPr>
        <w:t>（项目名称）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《统计上大中小微型企业划分办法（2017）》国统字〔2017〕213号规定中的其他未列明行业</w:t>
      </w:r>
      <w:r>
        <w:rPr>
          <w:rFonts w:hint="eastAsia" w:ascii="宋体" w:hAnsi="宋体" w:eastAsia="宋体" w:cs="宋体"/>
          <w:color w:val="auto"/>
          <w:sz w:val="24"/>
          <w:szCs w:val="24"/>
        </w:rPr>
        <w:t>；承接企业为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keepNext w:val="0"/>
        <w:keepLines w:val="0"/>
        <w:pageBreakBefore w:val="0"/>
        <w:tabs>
          <w:tab w:val="left" w:pos="4860"/>
        </w:tabs>
        <w:kinsoku/>
        <w:wordWrap/>
        <w:overflowPunct/>
        <w:topLinePunct w:val="0"/>
        <w:bidi w:val="0"/>
        <w:spacing w:line="500" w:lineRule="exact"/>
        <w:ind w:firstLine="504" w:firstLineChars="200"/>
        <w:textAlignment w:val="auto"/>
        <w:rPr>
          <w:rFonts w:hint="eastAsia" w:ascii="宋体" w:hAnsi="宋体" w:eastAsia="宋体" w:cs="宋体"/>
          <w:color w:val="auto"/>
          <w:spacing w:val="6"/>
          <w:sz w:val="24"/>
          <w:szCs w:val="24"/>
        </w:rPr>
      </w:pPr>
    </w:p>
    <w:p>
      <w:pPr>
        <w:pStyle w:val="20"/>
        <w:keepNext w:val="0"/>
        <w:keepLines w:val="0"/>
        <w:pageBreakBefore w:val="0"/>
        <w:widowControl/>
        <w:kinsoku/>
        <w:wordWrap/>
        <w:overflowPunct/>
        <w:topLinePunct w:val="0"/>
        <w:bidi w:val="0"/>
        <w:spacing w:line="50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20"/>
        <w:keepNext w:val="0"/>
        <w:keepLines w:val="0"/>
        <w:pageBreakBefore w:val="0"/>
        <w:widowControl/>
        <w:kinsoku/>
        <w:wordWrap/>
        <w:overflowPunct/>
        <w:topLinePunct w:val="0"/>
        <w:bidi w:val="0"/>
        <w:spacing w:line="500" w:lineRule="exact"/>
        <w:jc w:val="righ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keepNext w:val="0"/>
        <w:keepLines w:val="0"/>
        <w:pageBreakBefore w:val="0"/>
        <w:kinsoku/>
        <w:wordWrap/>
        <w:overflowPunct/>
        <w:topLinePunct w:val="0"/>
        <w:bidi w:val="0"/>
        <w:spacing w:line="500" w:lineRule="exact"/>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p>
      <w:pPr>
        <w:keepNext w:val="0"/>
        <w:keepLines w:val="0"/>
        <w:pageBreakBefore w:val="0"/>
        <w:numPr>
          <w:ilvl w:val="0"/>
          <w:numId w:val="1"/>
        </w:numPr>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从业人员、营业收入、资产总额填报上一年度数据，无上一年度数据的新成立企业可不填报。</w:t>
      </w:r>
    </w:p>
    <w:p>
      <w:pPr>
        <w:pStyle w:val="2"/>
        <w:keepNext w:val="0"/>
        <w:keepLines w:val="0"/>
        <w:pageBreakBefore w:val="0"/>
        <w:numPr>
          <w:ilvl w:val="0"/>
          <w:numId w:val="1"/>
        </w:numPr>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投标人为符合政策要求的中小企业的，未提供《中小企业声明函》，其投标将被否决。</w:t>
      </w:r>
    </w:p>
    <w:p>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bCs/>
          <w:color w:val="auto"/>
          <w:sz w:val="24"/>
          <w:szCs w:val="24"/>
        </w:rPr>
      </w:pPr>
    </w:p>
    <w:p>
      <w:pPr>
        <w:pStyle w:val="16"/>
        <w:keepLines w:val="0"/>
        <w:pageBreakBefore w:val="0"/>
        <w:kinsoku/>
        <w:topLinePunct w:val="0"/>
        <w:bidi w:val="0"/>
        <w:spacing w:line="400" w:lineRule="exact"/>
        <w:ind w:left="63" w:right="63"/>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pStyle w:val="16"/>
        <w:keepLines w:val="0"/>
        <w:pageBreakBefore w:val="0"/>
        <w:kinsoku/>
        <w:topLinePunct w:val="0"/>
        <w:bidi w:val="0"/>
        <w:spacing w:line="400" w:lineRule="exact"/>
        <w:ind w:left="63" w:right="63"/>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b/>
          <w:bCs/>
          <w:color w:val="auto"/>
          <w:sz w:val="24"/>
          <w:szCs w:val="24"/>
        </w:rPr>
      </w:pPr>
      <w:bookmarkStart w:id="8" w:name="OLE_LINK14"/>
      <w:bookmarkStart w:id="9" w:name="OLE_LINK13"/>
      <w:r>
        <w:rPr>
          <w:rFonts w:hint="eastAsia" w:ascii="宋体" w:hAnsi="宋体" w:eastAsia="宋体" w:cs="宋体"/>
          <w:b/>
          <w:bCs/>
          <w:color w:val="auto"/>
          <w:sz w:val="24"/>
          <w:szCs w:val="24"/>
        </w:rPr>
        <w:br w:type="page"/>
      </w:r>
    </w:p>
    <w:p>
      <w:pPr>
        <w:keepLines w:val="0"/>
        <w:pageBreakBefore w:val="0"/>
        <w:kinsoku/>
        <w:topLinePunct w:val="0"/>
        <w:bidi w:val="0"/>
        <w:spacing w:line="4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附件十</w:t>
      </w:r>
      <w:r>
        <w:rPr>
          <w:rFonts w:hint="eastAsia" w:ascii="宋体" w:hAnsi="宋体" w:eastAsia="宋体" w:cs="宋体"/>
          <w:b/>
          <w:bCs/>
          <w:color w:val="auto"/>
          <w:sz w:val="24"/>
          <w:szCs w:val="24"/>
          <w:lang w:val="en-US" w:eastAsia="zh-CN"/>
        </w:rPr>
        <w:t>二</w:t>
      </w:r>
    </w:p>
    <w:p>
      <w:pPr>
        <w:keepLines w:val="0"/>
        <w:pageBreakBefore w:val="0"/>
        <w:kinsoku/>
        <w:topLinePunct w:val="0"/>
        <w:bidi w:val="0"/>
        <w:spacing w:line="40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中小企业划型标准</w:t>
      </w:r>
    </w:p>
    <w:tbl>
      <w:tblPr>
        <w:tblStyle w:val="30"/>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序号</w:t>
            </w:r>
          </w:p>
        </w:tc>
        <w:tc>
          <w:tcPr>
            <w:tcW w:w="1332" w:type="dxa"/>
            <w:vMerge w:val="restart"/>
            <w:tcBorders>
              <w:top w:val="single" w:color="auto" w:sz="4" w:space="0"/>
              <w:left w:val="nil"/>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行业</w:t>
            </w:r>
          </w:p>
        </w:tc>
        <w:tc>
          <w:tcPr>
            <w:tcW w:w="2086" w:type="dxa"/>
            <w:gridSpan w:val="3"/>
            <w:tcBorders>
              <w:top w:val="single" w:color="auto" w:sz="4" w:space="0"/>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大型企业</w:t>
            </w:r>
          </w:p>
        </w:tc>
        <w:tc>
          <w:tcPr>
            <w:tcW w:w="2185" w:type="dxa"/>
            <w:gridSpan w:val="3"/>
            <w:tcBorders>
              <w:top w:val="single" w:color="auto" w:sz="4" w:space="0"/>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中型企业</w:t>
            </w:r>
          </w:p>
        </w:tc>
        <w:tc>
          <w:tcPr>
            <w:tcW w:w="2180" w:type="dxa"/>
            <w:gridSpan w:val="3"/>
            <w:tcBorders>
              <w:top w:val="single" w:color="auto" w:sz="4" w:space="0"/>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小型企业</w:t>
            </w:r>
          </w:p>
        </w:tc>
        <w:tc>
          <w:tcPr>
            <w:tcW w:w="2353" w:type="dxa"/>
            <w:gridSpan w:val="3"/>
            <w:tcBorders>
              <w:top w:val="single" w:color="auto" w:sz="4" w:space="0"/>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p>
        </w:tc>
        <w:tc>
          <w:tcPr>
            <w:tcW w:w="1332" w:type="dxa"/>
            <w:vMerge w:val="continue"/>
            <w:tcBorders>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left"/>
              <w:textAlignment w:val="auto"/>
              <w:rPr>
                <w:rFonts w:hint="eastAsia" w:ascii="宋体" w:hAnsi="宋体" w:eastAsia="宋体" w:cs="宋体"/>
                <w:bCs/>
                <w:color w:val="auto"/>
                <w:kern w:val="0"/>
                <w:sz w:val="24"/>
                <w:szCs w:val="24"/>
              </w:rPr>
            </w:pPr>
          </w:p>
        </w:tc>
        <w:tc>
          <w:tcPr>
            <w:tcW w:w="816"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营业收入</w:t>
            </w:r>
          </w:p>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628"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从业人员</w:t>
            </w:r>
          </w:p>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(人)</w:t>
            </w:r>
          </w:p>
        </w:tc>
        <w:tc>
          <w:tcPr>
            <w:tcW w:w="64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总资产</w:t>
            </w:r>
          </w:p>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营业收入</w:t>
            </w:r>
          </w:p>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643"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从业人员</w:t>
            </w:r>
          </w:p>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(人)</w:t>
            </w:r>
          </w:p>
        </w:tc>
        <w:tc>
          <w:tcPr>
            <w:tcW w:w="787"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总资产</w:t>
            </w:r>
          </w:p>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营业收入</w:t>
            </w:r>
          </w:p>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655"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141" w:leftChars="-23" w:right="-65" w:rightChars="-31" w:hanging="189" w:hangingChars="79"/>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从业人员</w:t>
            </w:r>
          </w:p>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(人)</w:t>
            </w:r>
          </w:p>
        </w:tc>
        <w:tc>
          <w:tcPr>
            <w:tcW w:w="770"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总资产</w:t>
            </w:r>
          </w:p>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755"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营业收入</w:t>
            </w:r>
          </w:p>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c>
          <w:tcPr>
            <w:tcW w:w="793"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从业人员</w:t>
            </w:r>
          </w:p>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(人)</w:t>
            </w:r>
          </w:p>
        </w:tc>
        <w:tc>
          <w:tcPr>
            <w:tcW w:w="805"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总资产</w:t>
            </w:r>
          </w:p>
          <w:p>
            <w:pPr>
              <w:keepLines w:val="0"/>
              <w:pageBreakBefore w:val="0"/>
              <w:kinsoku/>
              <w:topLinePunct w:val="0"/>
              <w:bidi w:val="0"/>
              <w:spacing w:line="400" w:lineRule="exact"/>
              <w:ind w:left="-48" w:leftChars="-23" w:right="-65" w:rightChars="-3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p>
        </w:tc>
        <w:tc>
          <w:tcPr>
            <w:tcW w:w="1332" w:type="dxa"/>
            <w:tcBorders>
              <w:top w:val="single" w:color="auto" w:sz="4" w:space="0"/>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农、林、牧、渔业</w:t>
            </w:r>
          </w:p>
        </w:tc>
        <w:tc>
          <w:tcPr>
            <w:tcW w:w="816" w:type="dxa"/>
            <w:tcBorders>
              <w:top w:val="single" w:color="auto" w:sz="4" w:space="0"/>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xml:space="preserve">  </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工业</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建筑业</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≥80000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≥80000</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≥5000</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批发业</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≥40000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零售业</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交通运输业</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仓储业</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8</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邮政业</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9</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住宿业</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餐饮业</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11</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信息传输业</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12</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软件和信息技术服务业</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13</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房地产开发经验</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≥200000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或,≥10000</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且,≥5000</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且,≥2000</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14</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物业管理</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≥5000</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≥1000</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＜500</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15</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租赁和商务服务业</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或,≥120000</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且,≥8000</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且,≥100</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16</w:t>
            </w:r>
          </w:p>
        </w:tc>
        <w:tc>
          <w:tcPr>
            <w:tcW w:w="1332" w:type="dxa"/>
            <w:tcBorders>
              <w:top w:val="nil"/>
              <w:left w:val="nil"/>
              <w:bottom w:val="single" w:color="auto" w:sz="4" w:space="0"/>
              <w:right w:val="single" w:color="auto" w:sz="4" w:space="0"/>
            </w:tcBorders>
            <w:vAlign w:val="center"/>
          </w:tcPr>
          <w:p>
            <w:pPr>
              <w:keepLines w:val="0"/>
              <w:pageBreakBefore w:val="0"/>
              <w:kinsoku/>
              <w:topLinePunct w:val="0"/>
              <w:bidi w:val="0"/>
              <w:spacing w:line="400" w:lineRule="exact"/>
              <w:ind w:left="-27" w:leftChars="-13" w:right="-65" w:rightChars="-31"/>
              <w:jc w:val="left"/>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其他未列明行业</w:t>
            </w:r>
          </w:p>
        </w:tc>
        <w:tc>
          <w:tcPr>
            <w:tcW w:w="816"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28"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≥300</w:t>
            </w:r>
          </w:p>
        </w:tc>
        <w:tc>
          <w:tcPr>
            <w:tcW w:w="642"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4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ind w:left="-107" w:leftChars="-51" w:right="-107" w:rightChars="-51"/>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≥100</w:t>
            </w:r>
          </w:p>
        </w:tc>
        <w:tc>
          <w:tcPr>
            <w:tcW w:w="787"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6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770"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5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c>
          <w:tcPr>
            <w:tcW w:w="793"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＜10</w:t>
            </w:r>
          </w:p>
        </w:tc>
        <w:tc>
          <w:tcPr>
            <w:tcW w:w="805" w:type="dxa"/>
            <w:tcBorders>
              <w:top w:val="nil"/>
              <w:left w:val="nil"/>
              <w:bottom w:val="single" w:color="auto" w:sz="4" w:space="0"/>
              <w:right w:val="single" w:color="auto" w:sz="4" w:space="0"/>
            </w:tcBorders>
            <w:vAlign w:val="center"/>
          </w:tcPr>
          <w:p>
            <w:pPr>
              <w:keepLines w:val="0"/>
              <w:pageBreakBefore w:val="0"/>
              <w:widowControl/>
              <w:kinsoku/>
              <w:topLinePunct w:val="0"/>
              <w:bidi w:val="0"/>
              <w:spacing w:line="40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　</w:t>
            </w:r>
          </w:p>
        </w:tc>
      </w:tr>
      <w:bookmarkEnd w:id="8"/>
      <w:bookmarkEnd w:id="9"/>
    </w:tbl>
    <w:p>
      <w:pPr>
        <w:keepLines w:val="0"/>
        <w:pageBreakBefore w:val="0"/>
        <w:kinsoku/>
        <w:topLinePunct w:val="0"/>
        <w:bidi w:val="0"/>
        <w:spacing w:line="400" w:lineRule="exact"/>
        <w:textAlignment w:val="auto"/>
        <w:rPr>
          <w:rFonts w:hint="eastAsia" w:ascii="宋体" w:hAnsi="宋体" w:eastAsia="宋体" w:cs="宋体"/>
          <w:b/>
          <w:bCs/>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b/>
          <w:bCs/>
          <w:color w:val="auto"/>
          <w:sz w:val="24"/>
          <w:szCs w:val="24"/>
        </w:rPr>
      </w:pPr>
    </w:p>
    <w:p>
      <w:pPr>
        <w:keepLines w:val="0"/>
        <w:pageBreakBefore w:val="0"/>
        <w:kinsoku/>
        <w:topLinePunct w:val="0"/>
        <w:bidi w:val="0"/>
        <w:spacing w:line="4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pStyle w:val="20"/>
        <w:keepLines w:val="0"/>
        <w:pageBreakBefore w:val="0"/>
        <w:kinsoku/>
        <w:topLinePunct w:val="0"/>
        <w:bidi w:val="0"/>
        <w:spacing w:line="400" w:lineRule="exact"/>
        <w:ind w:firstLine="2289" w:firstLineChars="950"/>
        <w:textAlignment w:val="auto"/>
        <w:rPr>
          <w:rFonts w:hint="eastAsia" w:ascii="宋体" w:hAnsi="宋体" w:eastAsia="宋体" w:cs="宋体"/>
          <w:b/>
          <w:color w:val="auto"/>
          <w:sz w:val="24"/>
          <w:szCs w:val="24"/>
        </w:rPr>
        <w:sectPr>
          <w:pgSz w:w="11906" w:h="16838"/>
          <w:pgMar w:top="1440" w:right="1474" w:bottom="1440" w:left="1474" w:header="851" w:footer="992" w:gutter="0"/>
          <w:pgNumType w:fmt="decimal"/>
          <w:cols w:space="720" w:num="1"/>
          <w:docGrid w:type="lines" w:linePitch="312" w:charSpace="0"/>
        </w:sectPr>
      </w:pPr>
    </w:p>
    <w:p>
      <w:pPr>
        <w:keepNext w:val="0"/>
        <w:keepLines w:val="0"/>
        <w:pageBreakBefore w:val="0"/>
        <w:widowControl/>
        <w:kinsoku/>
        <w:wordWrap/>
        <w:overflowPunct w:val="0"/>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残疾人福利性单位声明函</w:t>
      </w:r>
    </w:p>
    <w:p>
      <w:pPr>
        <w:keepNext w:val="0"/>
        <w:keepLines w:val="0"/>
        <w:pageBreakBefore w:val="0"/>
        <w:widowControl/>
        <w:kinsoku/>
        <w:wordWrap/>
        <w:overflowPunct w:val="0"/>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（如供应商不属于残疾人福利单位无须提供）</w:t>
      </w:r>
    </w:p>
    <w:p>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pacing w:val="6"/>
          <w:sz w:val="24"/>
          <w:szCs w:val="24"/>
          <w:lang w:eastAsia="zh-CN"/>
        </w:rPr>
      </w:pPr>
    </w:p>
    <w:p>
      <w:pPr>
        <w:keepNext w:val="0"/>
        <w:keepLines w:val="0"/>
        <w:pageBreakBefore w:val="0"/>
        <w:kinsoku/>
        <w:wordWrap/>
        <w:overflowPunct/>
        <w:topLinePunct w:val="0"/>
        <w:autoSpaceDE/>
        <w:autoSpaceDN/>
        <w:bidi w:val="0"/>
        <w:adjustRightInd/>
        <w:snapToGrid w:val="0"/>
        <w:spacing w:line="500" w:lineRule="exact"/>
        <w:ind w:firstLine="504" w:firstLineChars="200"/>
        <w:jc w:val="both"/>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szCs w:val="24"/>
          <w:lang w:eastAsia="zh-CN"/>
        </w:rPr>
        <w:t>〔2017〕141</w:t>
      </w:r>
      <w:r>
        <w:rPr>
          <w:rFonts w:hint="eastAsia" w:ascii="宋体" w:hAnsi="宋体" w:eastAsia="宋体" w:cs="宋体"/>
          <w:color w:val="auto"/>
          <w:spacing w:val="6"/>
          <w:sz w:val="24"/>
          <w:szCs w:val="24"/>
          <w:lang w:eastAsia="zh-CN"/>
        </w:rPr>
        <w:t>号）的规定，本单位为符合条件的残疾人福利性单位，且本单位参加</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单位的</w:t>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u w:val="single"/>
          <w:lang w:eastAsia="zh-CN"/>
        </w:rPr>
        <w:tab/>
      </w:r>
      <w:r>
        <w:rPr>
          <w:rFonts w:hint="eastAsia" w:ascii="宋体" w:hAnsi="宋体" w:eastAsia="宋体" w:cs="宋体"/>
          <w:color w:val="auto"/>
          <w:spacing w:val="6"/>
          <w:sz w:val="24"/>
          <w:szCs w:val="24"/>
          <w:lang w:eastAsia="zh-CN"/>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autoSpaceDE/>
        <w:autoSpaceDN/>
        <w:bidi w:val="0"/>
        <w:adjustRightInd/>
        <w:snapToGrid w:val="0"/>
        <w:spacing w:line="500" w:lineRule="exact"/>
        <w:ind w:firstLine="504" w:firstLineChars="200"/>
        <w:jc w:val="both"/>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本单位对上述声明的真实性负责。如有虚假，将依法承担相应责任。</w:t>
      </w:r>
    </w:p>
    <w:p>
      <w:pPr>
        <w:keepNext w:val="0"/>
        <w:keepLines w:val="0"/>
        <w:pageBreakBefore w:val="0"/>
        <w:kinsoku/>
        <w:wordWrap/>
        <w:overflowPunct/>
        <w:topLinePunct w:val="0"/>
        <w:autoSpaceDE/>
        <w:autoSpaceDN/>
        <w:bidi w:val="0"/>
        <w:adjustRightInd/>
        <w:snapToGrid w:val="0"/>
        <w:spacing w:line="500" w:lineRule="exact"/>
        <w:ind w:firstLine="504" w:firstLineChars="200"/>
        <w:textAlignment w:val="auto"/>
        <w:rPr>
          <w:rFonts w:hint="eastAsia" w:ascii="宋体" w:hAnsi="宋体" w:eastAsia="宋体" w:cs="宋体"/>
          <w:color w:val="auto"/>
          <w:spacing w:val="6"/>
          <w:sz w:val="24"/>
          <w:szCs w:val="24"/>
          <w:lang w:eastAsia="zh-CN"/>
        </w:rPr>
      </w:pPr>
    </w:p>
    <w:p>
      <w:pPr>
        <w:keepNext w:val="0"/>
        <w:keepLines w:val="0"/>
        <w:pageBreakBefore w:val="0"/>
        <w:kinsoku/>
        <w:wordWrap/>
        <w:overflowPunct/>
        <w:topLinePunct w:val="0"/>
        <w:autoSpaceDE/>
        <w:autoSpaceDN/>
        <w:bidi w:val="0"/>
        <w:adjustRightInd/>
        <w:snapToGrid w:val="0"/>
        <w:spacing w:line="500" w:lineRule="exact"/>
        <w:ind w:firstLine="504" w:firstLineChars="200"/>
        <w:textAlignment w:val="auto"/>
        <w:rPr>
          <w:rFonts w:hint="eastAsia" w:ascii="宋体" w:hAnsi="宋体" w:eastAsia="宋体" w:cs="宋体"/>
          <w:color w:val="auto"/>
          <w:spacing w:val="6"/>
          <w:sz w:val="24"/>
          <w:szCs w:val="24"/>
          <w:lang w:eastAsia="zh-CN"/>
        </w:rPr>
      </w:pP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Lines w:val="0"/>
        <w:pageBreakBefore w:val="0"/>
        <w:kinsoku/>
        <w:topLinePunct w:val="0"/>
        <w:bidi w:val="0"/>
        <w:snapToGrid w:val="0"/>
        <w:spacing w:line="400" w:lineRule="exact"/>
        <w:ind w:firstLine="5418" w:firstLineChars="2150"/>
        <w:textAlignment w:val="auto"/>
        <w:rPr>
          <w:rFonts w:hint="eastAsia" w:ascii="宋体" w:hAnsi="宋体" w:eastAsia="宋体" w:cs="宋体"/>
          <w:color w:val="auto"/>
          <w:spacing w:val="6"/>
          <w:sz w:val="24"/>
          <w:szCs w:val="24"/>
          <w:lang w:eastAsia="zh-CN"/>
        </w:rPr>
      </w:pPr>
    </w:p>
    <w:p>
      <w:pPr>
        <w:keepLines w:val="0"/>
        <w:pageBreakBefore w:val="0"/>
        <w:kinsoku/>
        <w:topLinePunct w:val="0"/>
        <w:bidi w:val="0"/>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keepNext w:val="0"/>
        <w:keepLines w:val="0"/>
        <w:pageBreakBefore w:val="0"/>
        <w:widowControl/>
        <w:kinsoku/>
        <w:wordWrap/>
        <w:overflowPunct w:val="0"/>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（如供应商不属于监狱企业无须提供）</w:t>
      </w:r>
    </w:p>
    <w:p>
      <w:pPr>
        <w:keepLines w:val="0"/>
        <w:pageBreakBefore w:val="0"/>
        <w:kinsoku/>
        <w:topLinePunct w:val="0"/>
        <w:bidi w:val="0"/>
        <w:snapToGrid w:val="0"/>
        <w:spacing w:line="400" w:lineRule="exact"/>
        <w:textAlignment w:val="auto"/>
        <w:rPr>
          <w:rFonts w:hint="eastAsia" w:ascii="宋体" w:hAnsi="宋体" w:eastAsia="宋体" w:cs="宋体"/>
          <w:b/>
          <w:color w:val="auto"/>
          <w:spacing w:val="6"/>
          <w:sz w:val="24"/>
          <w:szCs w:val="24"/>
          <w:lang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pPr>
        <w:pStyle w:val="108"/>
        <w:keepNext w:val="0"/>
        <w:keepLines w:val="0"/>
        <w:pageBreakBefore w:val="0"/>
        <w:kinsoku/>
        <w:wordWrap/>
        <w:overflowPunct/>
        <w:topLinePunct w:val="0"/>
        <w:autoSpaceDE/>
        <w:autoSpaceDN/>
        <w:bidi w:val="0"/>
        <w:adjustRightInd/>
        <w:snapToGrid/>
        <w:spacing w:line="400" w:lineRule="exact"/>
        <w:ind w:firstLine="0"/>
        <w:jc w:val="left"/>
        <w:textAlignment w:val="auto"/>
        <w:rPr>
          <w:rFonts w:hint="eastAsia" w:ascii="宋体" w:hAnsi="宋体" w:eastAsia="宋体" w:cs="宋体"/>
          <w:color w:val="auto"/>
          <w:sz w:val="24"/>
          <w:szCs w:val="24"/>
          <w:lang w:eastAsia="zh-CN"/>
        </w:rPr>
        <w:sectPr>
          <w:footerReference r:id="rId9" w:type="default"/>
          <w:pgSz w:w="11905" w:h="16838"/>
          <w:pgMar w:top="1417" w:right="1417" w:bottom="1701" w:left="1417" w:header="1134" w:footer="1417" w:gutter="0"/>
          <w:pgNumType w:fmt="decimal"/>
          <w:cols w:space="0" w:num="1"/>
          <w:rtlGutter w:val="0"/>
          <w:docGrid w:type="linesAndChars" w:linePitch="319" w:charSpace="0"/>
        </w:sectPr>
      </w:pPr>
    </w:p>
    <w:p>
      <w:pPr>
        <w:keepLines w:val="0"/>
        <w:pageBreakBefore w:val="0"/>
        <w:kinsoku/>
        <w:topLinePunct w:val="0"/>
        <w:bidi w:val="0"/>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附件：</w:t>
      </w:r>
    </w:p>
    <w:p>
      <w:pPr>
        <w:keepLines w:val="0"/>
        <w:pageBreakBefore w:val="0"/>
        <w:widowControl/>
        <w:kinsoku/>
        <w:topLinePunct w:val="0"/>
        <w:bidi w:val="0"/>
        <w:spacing w:line="4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供应商在参加本次采购活动前三年内，在经营活动中没有重大违法记录（是指因违法经营受到刑事处罚或责令停产停业、吊销许可证或执照、较大数额罚款等行政处罚）的书面声明。</w:t>
      </w:r>
    </w:p>
    <w:p>
      <w:pPr>
        <w:keepLines w:val="0"/>
        <w:pageBreakBefore w:val="0"/>
        <w:kinsoku/>
        <w:topLinePunct w:val="0"/>
        <w:bidi w:val="0"/>
        <w:spacing w:line="400" w:lineRule="exac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（供应商自行编写并加盖单位公章）</w:t>
      </w:r>
    </w:p>
    <w:p>
      <w:pPr>
        <w:pStyle w:val="20"/>
        <w:keepLines w:val="0"/>
        <w:pageBreakBefore w:val="0"/>
        <w:kinsoku/>
        <w:topLinePunct w:val="0"/>
        <w:bidi w:val="0"/>
        <w:spacing w:line="400" w:lineRule="exact"/>
        <w:ind w:firstLine="2289" w:firstLineChars="950"/>
        <w:textAlignment w:val="auto"/>
        <w:rPr>
          <w:rFonts w:hint="eastAsia" w:ascii="宋体" w:hAnsi="宋体" w:eastAsia="宋体" w:cs="宋体"/>
          <w:b/>
          <w:color w:val="auto"/>
          <w:sz w:val="24"/>
          <w:szCs w:val="24"/>
        </w:rPr>
        <w:sectPr>
          <w:pgSz w:w="11906" w:h="16838"/>
          <w:pgMar w:top="1440" w:right="1474" w:bottom="1440" w:left="1474" w:header="851" w:footer="992" w:gutter="0"/>
          <w:pgNumType w:fmt="decimal"/>
          <w:cols w:space="720" w:num="1"/>
          <w:docGrid w:type="lines" w:linePitch="312" w:charSpace="0"/>
        </w:sectPr>
      </w:pP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rPr>
        <w:t>附件：</w:t>
      </w:r>
    </w:p>
    <w:p>
      <w:pPr>
        <w:widowControl/>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供应商在参与本次采购活动期间未在被禁止参加政府采购活动期限内的书面声明。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sz w:val="24"/>
          <w:szCs w:val="24"/>
          <w:lang w:val="zh-CN" w:eastAsia="zh-CN"/>
        </w:rPr>
        <w:sectPr>
          <w:pgSz w:w="11906" w:h="16838"/>
          <w:pgMar w:top="1440" w:right="1417" w:bottom="1440" w:left="1417" w:header="851" w:footer="992" w:gutter="0"/>
          <w:pgNumType w:fmt="decimal"/>
          <w:cols w:space="720" w:num="1"/>
          <w:docGrid w:type="lines" w:linePitch="312" w:charSpace="0"/>
        </w:sectPr>
      </w:pPr>
      <w:r>
        <w:rPr>
          <w:rFonts w:hint="eastAsia" w:ascii="宋体" w:hAnsi="宋体" w:eastAsia="宋体" w:cs="宋体"/>
          <w:b w:val="0"/>
          <w:bCs/>
          <w:sz w:val="24"/>
          <w:szCs w:val="24"/>
        </w:rPr>
        <w:t>（供应商自行编写并加盖单位公章）</w:t>
      </w:r>
    </w:p>
    <w:p>
      <w:pPr>
        <w:autoSpaceDE w:val="0"/>
        <w:autoSpaceDN w:val="0"/>
        <w:adjustRightInd w:val="0"/>
        <w:snapToGrid w:val="0"/>
        <w:spacing w:line="360" w:lineRule="auto"/>
        <w:ind w:right="42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zh-CN"/>
        </w:rPr>
        <w:t>未被</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网站</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列入失信被执行人、</w:t>
      </w:r>
      <w:r>
        <w:rPr>
          <w:rFonts w:hint="eastAsia" w:ascii="宋体" w:hAnsi="宋体" w:eastAsia="宋体" w:cs="宋体"/>
          <w:color w:val="auto"/>
          <w:sz w:val="24"/>
          <w:szCs w:val="24"/>
          <w:lang w:val="zh-CN" w:eastAsia="zh-CN"/>
        </w:rPr>
        <w:t>重大税收违法失信主体</w:t>
      </w:r>
      <w:r>
        <w:rPr>
          <w:rFonts w:hint="eastAsia" w:ascii="宋体" w:hAnsi="宋体" w:eastAsia="宋体" w:cs="宋体"/>
          <w:color w:val="auto"/>
          <w:sz w:val="24"/>
          <w:szCs w:val="24"/>
          <w:lang w:val="zh-CN"/>
        </w:rPr>
        <w:t>、政府采购严重违法失信行为记录名单的网页</w:t>
      </w:r>
      <w:r>
        <w:rPr>
          <w:rFonts w:hint="eastAsia" w:ascii="宋体" w:hAnsi="宋体" w:eastAsia="宋体" w:cs="宋体"/>
          <w:color w:val="auto"/>
          <w:sz w:val="24"/>
          <w:szCs w:val="24"/>
          <w:lang w:val="en-US" w:eastAsia="zh-CN"/>
        </w:rPr>
        <w:t>清晰打印件（查询日期须在本响应文件谈判公告有效期内）</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（供应商自行打印并加盖单位公章）</w:t>
      </w:r>
    </w:p>
    <w:p>
      <w:pPr>
        <w:rPr>
          <w:rFonts w:hint="eastAsia" w:ascii="宋体" w:hAnsi="宋体" w:eastAsia="宋体" w:cs="宋体"/>
          <w:b/>
          <w:sz w:val="24"/>
          <w:szCs w:val="24"/>
          <w:lang w:val="zh-CN" w:eastAsia="zh-CN"/>
        </w:rPr>
      </w:pPr>
    </w:p>
    <w:p>
      <w:pPr>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color w:val="auto"/>
          <w:sz w:val="28"/>
          <w:szCs w:val="28"/>
          <w:lang w:val="zh-CN" w:eastAsia="zh-CN"/>
        </w:rPr>
        <w:t>谈判供应商踏勘现场承诺函</w:t>
      </w:r>
    </w:p>
    <w:p>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b w:val="0"/>
          <w:bCs/>
          <w:color w:val="auto"/>
          <w:sz w:val="24"/>
          <w:szCs w:val="24"/>
          <w:u w:val="single"/>
          <w:lang w:eastAsia="zh-CN"/>
        </w:rPr>
      </w:pPr>
    </w:p>
    <w:p>
      <w:pPr>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b w:val="0"/>
          <w:bCs/>
          <w:kern w:val="0"/>
          <w:sz w:val="24"/>
          <w:szCs w:val="24"/>
        </w:rPr>
      </w:pPr>
      <w:r>
        <w:rPr>
          <w:rFonts w:hint="eastAsia" w:ascii="宋体" w:hAnsi="宋体" w:eastAsia="宋体" w:cs="宋体"/>
          <w:b w:val="0"/>
          <w:bCs/>
          <w:color w:val="auto"/>
          <w:sz w:val="24"/>
          <w:szCs w:val="24"/>
          <w:u w:val="single"/>
          <w:lang w:eastAsia="zh-CN"/>
        </w:rPr>
        <w:t>（采购人）</w:t>
      </w:r>
      <w:r>
        <w:rPr>
          <w:rFonts w:hint="eastAsia" w:ascii="宋体" w:hAnsi="宋体" w:eastAsia="宋体" w:cs="宋体"/>
          <w:b w:val="0"/>
          <w:bCs/>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w:t>
      </w:r>
      <w:r>
        <w:rPr>
          <w:rFonts w:hint="eastAsia" w:ascii="宋体" w:hAnsi="宋体" w:eastAsia="宋体" w:cs="宋体"/>
          <w:sz w:val="24"/>
          <w:szCs w:val="24"/>
          <w:u w:val="single"/>
          <w:lang w:val="en-US" w:eastAsia="zh-CN"/>
        </w:rPr>
        <w:t>法定代表人或</w:t>
      </w:r>
      <w:r>
        <w:rPr>
          <w:rFonts w:hint="eastAsia" w:ascii="宋体" w:hAnsi="宋体" w:eastAsia="宋体" w:cs="宋体"/>
          <w:sz w:val="24"/>
          <w:szCs w:val="24"/>
          <w:u w:val="single"/>
          <w:lang w:val="zh-CN"/>
        </w:rPr>
        <w:t>委托人）</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（供应商</w:t>
      </w:r>
      <w:r>
        <w:rPr>
          <w:rFonts w:hint="eastAsia" w:ascii="宋体" w:hAnsi="宋体" w:eastAsia="宋体" w:cs="宋体"/>
          <w:sz w:val="24"/>
          <w:szCs w:val="24"/>
          <w:u w:val="single"/>
          <w:lang w:val="en-US" w:eastAsia="zh-CN"/>
        </w:rPr>
        <w:t>名称</w:t>
      </w:r>
      <w:r>
        <w:rPr>
          <w:rFonts w:hint="eastAsia" w:ascii="宋体" w:hAnsi="宋体" w:eastAsia="宋体" w:cs="宋体"/>
          <w:sz w:val="24"/>
          <w:szCs w:val="24"/>
          <w:u w:val="single"/>
          <w:lang w:val="zh-CN"/>
        </w:rPr>
        <w:t>）</w:t>
      </w:r>
      <w:r>
        <w:rPr>
          <w:rFonts w:hint="eastAsia" w:ascii="宋体" w:hAnsi="宋体" w:eastAsia="宋体" w:cs="宋体"/>
          <w:sz w:val="24"/>
          <w:szCs w:val="24"/>
          <w:lang w:val="zh-CN"/>
        </w:rPr>
        <w:t>拟派</w:t>
      </w:r>
      <w:r>
        <w:rPr>
          <w:rFonts w:hint="eastAsia" w:ascii="宋体" w:hAnsi="宋体" w:eastAsia="宋体" w:cs="宋体"/>
          <w:sz w:val="24"/>
          <w:szCs w:val="24"/>
          <w:u w:val="single"/>
          <w:lang w:val="zh-CN"/>
        </w:rPr>
        <w:t>（项目名称）</w:t>
      </w:r>
      <w:r>
        <w:rPr>
          <w:rFonts w:hint="eastAsia" w:ascii="宋体" w:hAnsi="宋体" w:eastAsia="宋体" w:cs="宋体"/>
          <w:sz w:val="24"/>
          <w:szCs w:val="24"/>
          <w:lang w:val="en-US" w:eastAsia="zh-CN"/>
        </w:rPr>
        <w:t>的</w:t>
      </w:r>
      <w:r>
        <w:rPr>
          <w:rFonts w:hint="eastAsia" w:ascii="宋体" w:hAnsi="宋体" w:eastAsia="宋体" w:cs="宋体"/>
          <w:sz w:val="24"/>
          <w:szCs w:val="24"/>
          <w:lang w:val="zh-CN" w:eastAsia="zh-CN"/>
        </w:rPr>
        <w:t>踏勘现场</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zh-CN"/>
        </w:rPr>
        <w:t>年   月   日</w:t>
      </w:r>
      <w:r>
        <w:rPr>
          <w:rFonts w:hint="eastAsia" w:ascii="宋体" w:hAnsi="宋体" w:eastAsia="宋体" w:cs="宋体"/>
          <w:sz w:val="24"/>
          <w:szCs w:val="24"/>
          <w:lang w:val="zh-CN"/>
        </w:rPr>
        <w:t>对的施工场地进行了现场踏勘，经过充分考虑，我方愿意参与该项目的竞争性谈判采购活动。现就现场踏勘情况承诺确认如下：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1、经现场踏勘，我方对该项目现场现状已充分了解。不对场地现状提出异议，不以场地存在瑕疵为由拒绝签署合同书或拒绝履行所约定的各项义务；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、我方将严格按照谈判文件要求的时间完成工程施工。我方确认本</w:t>
      </w:r>
      <w:r>
        <w:rPr>
          <w:rFonts w:hint="eastAsia" w:ascii="宋体" w:hAnsi="宋体" w:eastAsia="宋体" w:cs="宋体"/>
          <w:sz w:val="24"/>
          <w:szCs w:val="24"/>
          <w:lang w:val="en-US" w:eastAsia="zh-CN"/>
        </w:rPr>
        <w:t>承诺函</w:t>
      </w:r>
      <w:r>
        <w:rPr>
          <w:rFonts w:hint="eastAsia" w:ascii="宋体" w:hAnsi="宋体" w:eastAsia="宋体" w:cs="宋体"/>
          <w:sz w:val="24"/>
          <w:szCs w:val="24"/>
          <w:lang w:val="zh-CN"/>
        </w:rPr>
        <w:t>为现场踏勘后的真实意思表</w:t>
      </w:r>
      <w:r>
        <w:rPr>
          <w:rFonts w:hint="eastAsia" w:ascii="宋体" w:hAnsi="宋体" w:eastAsia="宋体" w:cs="宋体"/>
          <w:sz w:val="24"/>
          <w:szCs w:val="24"/>
          <w:lang w:val="en-US" w:eastAsia="zh-CN"/>
        </w:rPr>
        <w:t>达</w:t>
      </w:r>
      <w:r>
        <w:rPr>
          <w:rFonts w:hint="eastAsia" w:ascii="宋体" w:hAnsi="宋体" w:eastAsia="宋体" w:cs="宋体"/>
          <w:sz w:val="24"/>
          <w:szCs w:val="24"/>
          <w:lang w:val="zh-CN"/>
        </w:rPr>
        <w:t>，我方</w:t>
      </w:r>
      <w:r>
        <w:rPr>
          <w:rFonts w:hint="eastAsia" w:ascii="宋体" w:hAnsi="宋体" w:eastAsia="宋体" w:cs="宋体"/>
          <w:sz w:val="24"/>
          <w:szCs w:val="24"/>
          <w:lang w:val="en-US" w:eastAsia="zh-CN"/>
        </w:rPr>
        <w:t>愿意</w:t>
      </w:r>
      <w:r>
        <w:rPr>
          <w:rFonts w:hint="eastAsia" w:ascii="宋体" w:hAnsi="宋体" w:eastAsia="宋体" w:cs="宋体"/>
          <w:sz w:val="24"/>
          <w:szCs w:val="24"/>
          <w:lang w:val="zh-CN"/>
        </w:rPr>
        <w:t>遵守和执行谈判文件中的全部内容。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zh-CN"/>
        </w:rPr>
      </w:pPr>
    </w:p>
    <w:p>
      <w:pPr>
        <w:pStyle w:val="2"/>
        <w:keepNext w:val="0"/>
        <w:keepLines w:val="0"/>
        <w:pageBreakBefore w:val="0"/>
        <w:kinsoku/>
        <w:wordWrap/>
        <w:overflowPunct/>
        <w:topLinePunct w:val="0"/>
        <w:bidi w:val="0"/>
        <w:spacing w:line="500" w:lineRule="exact"/>
        <w:textAlignment w:val="auto"/>
        <w:rPr>
          <w:rFonts w:hint="eastAsia" w:ascii="宋体" w:hAnsi="宋体" w:eastAsia="宋体" w:cs="宋体"/>
          <w:sz w:val="24"/>
          <w:szCs w:val="24"/>
          <w:lang w:val="zh-CN"/>
        </w:rPr>
      </w:pPr>
    </w:p>
    <w:p>
      <w:pPr>
        <w:pStyle w:val="20"/>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0"/>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Next w:val="0"/>
        <w:keepLines w:val="0"/>
        <w:pageBreakBefore w:val="0"/>
        <w:kinsoku/>
        <w:wordWrap/>
        <w:overflowPunct/>
        <w:topLinePunct w:val="0"/>
        <w:bidi w:val="0"/>
        <w:spacing w:line="400" w:lineRule="exact"/>
        <w:textAlignment w:val="auto"/>
        <w:rPr>
          <w:rFonts w:hint="eastAsia" w:ascii="宋体" w:hAnsi="宋体" w:eastAsia="宋体" w:cs="宋体"/>
          <w:b/>
          <w:sz w:val="24"/>
          <w:szCs w:val="24"/>
          <w:lang w:val="zh-CN" w:eastAsia="zh-CN"/>
        </w:rPr>
      </w:pPr>
    </w:p>
    <w:p>
      <w:pPr>
        <w:rPr>
          <w:rFonts w:hint="eastAsia" w:ascii="宋体" w:hAnsi="宋体" w:eastAsia="宋体" w:cs="宋体"/>
          <w:b/>
          <w:sz w:val="24"/>
          <w:szCs w:val="24"/>
          <w:lang w:val="zh-CN" w:eastAsia="zh-CN"/>
        </w:rPr>
      </w:pPr>
      <w:r>
        <w:rPr>
          <w:rFonts w:hint="eastAsia" w:ascii="宋体" w:hAnsi="宋体" w:eastAsia="宋体" w:cs="宋体"/>
          <w:b/>
          <w:sz w:val="24"/>
          <w:szCs w:val="24"/>
          <w:lang w:val="zh-CN" w:eastAsia="zh-CN"/>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pPr>
        <w:keepLines w:val="0"/>
        <w:pageBreakBefore w:val="0"/>
        <w:kinsoku/>
        <w:topLinePunct w:val="0"/>
        <w:bidi w:val="0"/>
        <w:spacing w:line="400" w:lineRule="exact"/>
        <w:textAlignment w:val="auto"/>
        <w:rPr>
          <w:rFonts w:hint="eastAsia" w:ascii="宋体" w:hAnsi="宋体" w:eastAsia="宋体" w:cs="宋体"/>
          <w:sz w:val="28"/>
          <w:szCs w:val="28"/>
        </w:rPr>
        <w:sectPr>
          <w:pgSz w:w="11906" w:h="16838"/>
          <w:pgMar w:top="1440" w:right="1417" w:bottom="1440" w:left="1417" w:header="851" w:footer="992" w:gutter="0"/>
          <w:pgNumType w:fmt="decimal"/>
          <w:cols w:space="720" w:num="1"/>
          <w:docGrid w:type="lines" w:linePitch="312" w:charSpace="0"/>
        </w:sectPr>
      </w:pPr>
    </w:p>
    <w:p>
      <w:pPr>
        <w:pStyle w:val="20"/>
        <w:keepLines w:val="0"/>
        <w:pageBreakBefore w:val="0"/>
        <w:kinsoku/>
        <w:topLinePunct w:val="0"/>
        <w:bidi w:val="0"/>
        <w:spacing w:line="400" w:lineRule="exact"/>
        <w:jc w:val="center"/>
        <w:textAlignment w:val="auto"/>
        <w:outlineLvl w:val="0"/>
        <w:rPr>
          <w:rFonts w:hint="eastAsia" w:ascii="宋体" w:hAnsi="宋体" w:eastAsia="宋体" w:cs="宋体"/>
          <w:b/>
          <w:color w:val="auto"/>
          <w:sz w:val="28"/>
          <w:szCs w:val="28"/>
        </w:rPr>
      </w:pPr>
      <w:bookmarkStart w:id="10" w:name="_Toc17340"/>
      <w:r>
        <w:rPr>
          <w:rFonts w:hint="eastAsia" w:ascii="宋体" w:hAnsi="宋体" w:eastAsia="宋体" w:cs="宋体"/>
          <w:b/>
          <w:color w:val="auto"/>
          <w:sz w:val="28"/>
          <w:szCs w:val="28"/>
        </w:rPr>
        <w:t>第五章  资格后审证明文件</w:t>
      </w:r>
      <w:bookmarkEnd w:id="10"/>
    </w:p>
    <w:p>
      <w:pPr>
        <w:pStyle w:val="20"/>
        <w:keepLines w:val="0"/>
        <w:pageBreakBefore w:val="0"/>
        <w:kinsoku/>
        <w:topLinePunct w:val="0"/>
        <w:bidi w:val="0"/>
        <w:spacing w:line="400" w:lineRule="exact"/>
        <w:ind w:firstLine="2409" w:firstLineChars="1000"/>
        <w:textAlignment w:val="auto"/>
        <w:rPr>
          <w:rFonts w:hint="eastAsia" w:ascii="宋体" w:hAnsi="宋体" w:eastAsia="宋体" w:cs="宋体"/>
          <w:b/>
          <w:color w:val="auto"/>
          <w:sz w:val="24"/>
          <w:szCs w:val="24"/>
        </w:rPr>
      </w:pPr>
    </w:p>
    <w:p>
      <w:pPr>
        <w:keepLines w:val="0"/>
        <w:pageBreakBefore w:val="0"/>
        <w:kinsoku/>
        <w:topLinePunct w:val="0"/>
        <w:bidi w:val="0"/>
        <w:spacing w:line="400" w:lineRule="exact"/>
        <w:ind w:firstLine="360" w:firstLineChars="15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本次谈判实行资格后审，资格证明文件（原件复印件加盖公章）由谈判小组审查</w:t>
      </w:r>
      <w:r>
        <w:rPr>
          <w:rFonts w:hint="eastAsia" w:ascii="宋体" w:hAnsi="宋体" w:eastAsia="宋体" w:cs="宋体"/>
          <w:color w:val="auto"/>
          <w:kern w:val="0"/>
          <w:sz w:val="24"/>
          <w:szCs w:val="24"/>
          <w:lang w:eastAsia="zh-CN"/>
        </w:rPr>
        <w:t>，需单独提供。</w:t>
      </w:r>
    </w:p>
    <w:p>
      <w:pPr>
        <w:keepNext w:val="0"/>
        <w:keepLines w:val="0"/>
        <w:pageBreakBefore w:val="0"/>
        <w:widowControl w:val="0"/>
        <w:kinsoku/>
        <w:overflowPunct/>
        <w:topLinePunct w:val="0"/>
        <w:autoSpaceDE/>
        <w:autoSpaceDN/>
        <w:bidi w:val="0"/>
        <w:adjustRightInd/>
        <w:snapToGrid/>
        <w:spacing w:line="400" w:lineRule="exact"/>
        <w:ind w:right="-82" w:rightChars="-39" w:firstLine="240" w:firstLineChars="1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满足《中华人民共和国政府采购法》第二十二条规定，</w:t>
      </w:r>
      <w:r>
        <w:rPr>
          <w:rFonts w:hint="eastAsia" w:ascii="宋体" w:hAnsi="宋体" w:eastAsia="宋体" w:cs="宋体"/>
          <w:color w:val="auto"/>
          <w:kern w:val="0"/>
          <w:sz w:val="24"/>
          <w:szCs w:val="24"/>
          <w:lang w:eastAsia="zh-CN"/>
        </w:rPr>
        <w:t>谈判时需提供下列证明材料，且所提供的资格证明材料均在有效期内：</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（1）具有独立承担民事责任的能力；</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（2）具有良好的商业信誉和健全的财务会计制度；</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（3）具有履行合同所必需的设备和专业技术能力；</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（4）有依法缴纳税收和社会保障资金的良好记录；</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（5）参加政府采购活动前三年内，在经营活动中没有重大违法记录；</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（6）法律、行政法规规定的其他条件。</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2、供应商具有银行基本开户许可证或基本存款帐户信息；</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供应商须具备良好的财务状况，供应商</w:t>
      </w:r>
      <w:r>
        <w:rPr>
          <w:rFonts w:hint="eastAsia" w:ascii="宋体" w:hAnsi="宋体" w:eastAsia="宋体" w:cs="宋体"/>
          <w:color w:val="auto"/>
          <w:kern w:val="0"/>
          <w:sz w:val="24"/>
          <w:szCs w:val="24"/>
          <w:lang w:val="en-US" w:eastAsia="zh-CN"/>
        </w:rPr>
        <w:t>应提供至2024年度前三年中任意一年的经审计的财务审计报告，且利润大于0元（新成立的公司不足一年的提供银行开具的近一个月的资信证明）；</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lang w:eastAsia="zh-CN"/>
        </w:rPr>
        <w:t>应具备</w:t>
      </w:r>
      <w:r>
        <w:rPr>
          <w:rFonts w:hint="eastAsia" w:ascii="宋体" w:hAnsi="宋体" w:eastAsia="宋体" w:cs="宋体"/>
          <w:color w:val="auto"/>
          <w:kern w:val="0"/>
          <w:sz w:val="24"/>
          <w:szCs w:val="24"/>
          <w:highlight w:val="none"/>
        </w:rPr>
        <w:t>在中国境内注册并取得的具备独立法人资格的营业执照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具备行政主管部门核发的市政公用工程施工总承包叁级</w:t>
      </w:r>
      <w:r>
        <w:rPr>
          <w:rFonts w:hint="eastAsia" w:ascii="宋体" w:hAnsi="宋体" w:cs="宋体"/>
          <w:color w:val="auto"/>
          <w:kern w:val="0"/>
          <w:sz w:val="24"/>
          <w:szCs w:val="24"/>
          <w:highlight w:val="none"/>
          <w:lang w:eastAsia="zh-CN"/>
        </w:rPr>
        <w:t>（含）</w:t>
      </w:r>
      <w:r>
        <w:rPr>
          <w:rFonts w:hint="eastAsia" w:ascii="宋体" w:hAnsi="宋体" w:eastAsia="宋体" w:cs="宋体"/>
          <w:color w:val="auto"/>
          <w:kern w:val="0"/>
          <w:sz w:val="24"/>
          <w:szCs w:val="24"/>
          <w:highlight w:val="none"/>
        </w:rPr>
        <w:t>以上资质</w:t>
      </w:r>
      <w:r>
        <w:rPr>
          <w:rFonts w:hint="eastAsia" w:ascii="宋体" w:hAnsi="宋体" w:eastAsia="宋体" w:cs="宋体"/>
          <w:color w:val="auto"/>
          <w:kern w:val="0"/>
          <w:sz w:val="24"/>
          <w:szCs w:val="24"/>
          <w:highlight w:val="none"/>
          <w:lang w:eastAsia="zh-CN"/>
        </w:rPr>
        <w:t>或城市及道路照明工程专业承包叁级</w:t>
      </w:r>
      <w:r>
        <w:rPr>
          <w:rFonts w:hint="eastAsia" w:ascii="宋体" w:hAnsi="宋体" w:cs="宋体"/>
          <w:color w:val="auto"/>
          <w:kern w:val="0"/>
          <w:sz w:val="24"/>
          <w:szCs w:val="24"/>
          <w:highlight w:val="none"/>
          <w:lang w:eastAsia="zh-CN"/>
        </w:rPr>
        <w:t>（含）</w:t>
      </w:r>
      <w:r>
        <w:rPr>
          <w:rFonts w:hint="eastAsia" w:ascii="宋体" w:hAnsi="宋体" w:eastAsia="宋体" w:cs="宋体"/>
          <w:color w:val="auto"/>
          <w:kern w:val="0"/>
          <w:sz w:val="24"/>
          <w:szCs w:val="24"/>
          <w:highlight w:val="none"/>
          <w:lang w:eastAsia="zh-CN"/>
        </w:rPr>
        <w:t>以上资</w:t>
      </w:r>
      <w:r>
        <w:rPr>
          <w:rFonts w:hint="eastAsia" w:ascii="宋体" w:hAnsi="宋体" w:cs="宋体"/>
          <w:color w:val="auto"/>
          <w:kern w:val="0"/>
          <w:sz w:val="24"/>
          <w:szCs w:val="24"/>
          <w:highlight w:val="none"/>
          <w:lang w:eastAsia="zh-CN"/>
        </w:rPr>
        <w:t>质</w:t>
      </w:r>
      <w:r>
        <w:rPr>
          <w:rFonts w:hint="eastAsia" w:ascii="宋体" w:hAnsi="宋体" w:eastAsia="宋体" w:cs="宋体"/>
          <w:color w:val="auto"/>
          <w:kern w:val="0"/>
          <w:sz w:val="24"/>
          <w:szCs w:val="24"/>
          <w:highlight w:val="none"/>
        </w:rPr>
        <w:t>，具</w:t>
      </w:r>
      <w:r>
        <w:rPr>
          <w:rFonts w:hint="eastAsia" w:ascii="宋体" w:hAnsi="宋体" w:eastAsia="宋体" w:cs="宋体"/>
          <w:color w:val="auto"/>
          <w:kern w:val="0"/>
          <w:sz w:val="24"/>
          <w:szCs w:val="24"/>
          <w:highlight w:val="none"/>
          <w:lang w:eastAsia="zh-CN"/>
        </w:rPr>
        <w:t>备</w:t>
      </w:r>
      <w:r>
        <w:rPr>
          <w:rFonts w:hint="eastAsia" w:ascii="宋体" w:hAnsi="宋体" w:eastAsia="宋体" w:cs="宋体"/>
          <w:color w:val="auto"/>
          <w:kern w:val="0"/>
          <w:sz w:val="24"/>
          <w:szCs w:val="24"/>
          <w:highlight w:val="none"/>
        </w:rPr>
        <w:t>有效的安全生产许可证；拟派的项目经理须具备行政主管部</w:t>
      </w:r>
      <w:r>
        <w:rPr>
          <w:rFonts w:hint="eastAsia" w:ascii="宋体" w:hAnsi="宋体" w:eastAsia="宋体" w:cs="宋体"/>
          <w:color w:val="auto"/>
          <w:kern w:val="0"/>
          <w:sz w:val="24"/>
          <w:szCs w:val="24"/>
          <w:highlight w:val="none"/>
          <w:lang w:eastAsia="zh-CN"/>
        </w:rPr>
        <w:t>门</w:t>
      </w:r>
      <w:r>
        <w:rPr>
          <w:rFonts w:hint="eastAsia" w:ascii="宋体" w:hAnsi="宋体" w:eastAsia="宋体" w:cs="宋体"/>
          <w:color w:val="auto"/>
          <w:kern w:val="0"/>
          <w:sz w:val="24"/>
          <w:szCs w:val="24"/>
          <w:highlight w:val="none"/>
        </w:rPr>
        <w:t>核发的市政公用工程专业贰级及以上注册建造师资格证书(不含临时证)，具备有效的安全生产考核合格证书( B证) ,且</w:t>
      </w:r>
      <w:r>
        <w:rPr>
          <w:rFonts w:hint="eastAsia" w:ascii="宋体" w:hAnsi="宋体" w:eastAsia="宋体" w:cs="宋体"/>
          <w:color w:val="auto"/>
          <w:kern w:val="0"/>
          <w:sz w:val="24"/>
          <w:szCs w:val="24"/>
          <w:highlight w:val="none"/>
          <w:lang w:val="en-US" w:eastAsia="zh-CN"/>
        </w:rPr>
        <w:t>未</w:t>
      </w:r>
      <w:r>
        <w:rPr>
          <w:rFonts w:hint="eastAsia" w:ascii="宋体" w:hAnsi="宋体" w:eastAsia="宋体" w:cs="宋体"/>
          <w:color w:val="auto"/>
          <w:kern w:val="0"/>
          <w:sz w:val="24"/>
          <w:szCs w:val="24"/>
          <w:highlight w:val="none"/>
        </w:rPr>
        <w:t>担任其它在建工程的项目经理(提供承诺函)</w:t>
      </w:r>
      <w:r>
        <w:rPr>
          <w:rFonts w:hint="eastAsia" w:ascii="宋体" w:hAnsi="宋体" w:eastAsia="宋体" w:cs="宋体"/>
          <w:color w:val="auto"/>
          <w:kern w:val="0"/>
          <w:sz w:val="24"/>
          <w:szCs w:val="24"/>
          <w:highlight w:val="none"/>
          <w:lang w:eastAsia="zh-CN"/>
        </w:rPr>
        <w:t>；拟派的</w:t>
      </w:r>
      <w:r>
        <w:rPr>
          <w:rFonts w:hint="eastAsia" w:ascii="宋体" w:hAnsi="宋体" w:eastAsia="宋体" w:cs="宋体"/>
          <w:color w:val="auto"/>
          <w:kern w:val="0"/>
          <w:sz w:val="24"/>
          <w:szCs w:val="24"/>
          <w:highlight w:val="none"/>
        </w:rPr>
        <w:t>技术负责人具备</w:t>
      </w:r>
      <w:r>
        <w:rPr>
          <w:rFonts w:hint="eastAsia" w:ascii="宋体" w:hAnsi="宋体" w:eastAsia="宋体" w:cs="宋体"/>
          <w:color w:val="auto"/>
          <w:kern w:val="0"/>
          <w:sz w:val="24"/>
          <w:szCs w:val="24"/>
          <w:highlight w:val="none"/>
          <w:lang w:eastAsia="zh-CN"/>
        </w:rPr>
        <w:t>相关专业</w:t>
      </w:r>
      <w:r>
        <w:rPr>
          <w:rFonts w:hint="eastAsia" w:ascii="宋体" w:hAnsi="宋体" w:eastAsia="宋体" w:cs="宋体"/>
          <w:color w:val="auto"/>
          <w:kern w:val="0"/>
          <w:sz w:val="24"/>
          <w:szCs w:val="24"/>
          <w:highlight w:val="none"/>
        </w:rPr>
        <w:t>中级(含)以上职称证</w:t>
      </w:r>
      <w:r>
        <w:rPr>
          <w:rFonts w:hint="eastAsia" w:ascii="宋体" w:hAnsi="宋体" w:eastAsia="宋体" w:cs="宋体"/>
          <w:color w:val="auto"/>
          <w:kern w:val="0"/>
          <w:sz w:val="24"/>
          <w:szCs w:val="24"/>
          <w:highlight w:val="none"/>
          <w:lang w:eastAsia="zh-CN"/>
        </w:rPr>
        <w:t>；拟投入本项目的</w:t>
      </w:r>
      <w:r>
        <w:rPr>
          <w:rFonts w:hint="eastAsia" w:ascii="宋体" w:hAnsi="宋体" w:eastAsia="宋体" w:cs="宋体"/>
          <w:color w:val="auto"/>
          <w:kern w:val="0"/>
          <w:sz w:val="24"/>
          <w:szCs w:val="24"/>
          <w:highlight w:val="none"/>
        </w:rPr>
        <w:t>五大员 (施工员、质量员、安全员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材料员、资料员)须具备有效的岗位证书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安全员具备有效的安全生产考核合格证(C证))；项目人员均需提供供应商为其依法缴纳的社会保障资金的良好记录，提供近三个月（谈判截止之日前三个月）的社保名单及缴费证明（以开标现场查询为准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如依法不需要缴纳社保的，提供不需要缴纳社保的证明材料），所有人员必须为本公司正式员工并提供劳动合同。</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5、近三年（以投标截止日时间往前推算三年，以竣工验收合格时间为准）至少完成一项类似业绩（提供查询网址和页面截图、中标通知书、施工合同为准）；</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未被列入“信用中国”网站（www.creditchina.gov.cn）失信被执行人、重大税收违法失信主体、政府采购严重违法失信行为记录名单</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lang w:val="en-US" w:eastAsia="zh-CN"/>
        </w:rPr>
        <w:t>网页打印件</w:t>
      </w:r>
      <w:r>
        <w:rPr>
          <w:rFonts w:hint="eastAsia" w:ascii="宋体" w:hAnsi="宋体" w:eastAsia="宋体" w:cs="宋体"/>
          <w:color w:val="auto"/>
          <w:kern w:val="0"/>
          <w:sz w:val="24"/>
          <w:szCs w:val="24"/>
          <w:highlight w:val="none"/>
        </w:rPr>
        <w:t>；</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、落实政府采购政策需满足的资格条件：专门面向中小微企业</w:t>
      </w:r>
    </w:p>
    <w:p>
      <w:pPr>
        <w:keepNext w:val="0"/>
        <w:keepLines w:val="0"/>
        <w:pageBreakBefore w:val="0"/>
        <w:widowControl w:val="0"/>
        <w:kinsoku/>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、踏勘现场:在开标前各投标单位自行前往现场踏勘，并将踏勘现场标</w:t>
      </w:r>
      <w:r>
        <w:rPr>
          <w:rFonts w:hint="eastAsia" w:ascii="宋体" w:hAnsi="宋体" w:eastAsia="宋体" w:cs="宋体"/>
          <w:color w:val="auto"/>
          <w:kern w:val="0"/>
          <w:sz w:val="24"/>
          <w:szCs w:val="24"/>
        </w:rPr>
        <w:t>志性</w:t>
      </w:r>
      <w:r>
        <w:rPr>
          <w:rFonts w:hint="eastAsia" w:ascii="宋体" w:hAnsi="宋体" w:eastAsia="宋体" w:cs="宋体"/>
          <w:color w:val="auto"/>
          <w:kern w:val="0"/>
          <w:sz w:val="24"/>
          <w:szCs w:val="24"/>
          <w:lang w:eastAsia="zh-CN"/>
        </w:rPr>
        <w:t>的地点和参照物照片（彩色打印件）及踏勘现场承诺函</w:t>
      </w:r>
      <w:r>
        <w:rPr>
          <w:rFonts w:hint="eastAsia" w:ascii="宋体" w:hAnsi="宋体" w:eastAsia="宋体" w:cs="宋体"/>
          <w:color w:val="auto"/>
          <w:kern w:val="0"/>
          <w:sz w:val="24"/>
          <w:szCs w:val="24"/>
        </w:rPr>
        <w:t>附到竞争性谈判响应文件中，不符合要求或所提供照片模糊不清的的谈判响应文件将否决投标资格；</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、本项目不接受联合体参与谈判。</w:t>
      </w:r>
    </w:p>
    <w:p>
      <w:pPr>
        <w:keepLines w:val="0"/>
        <w:pageBreakBefore w:val="0"/>
        <w:kinsoku/>
        <w:topLinePunct w:val="0"/>
        <w:bidi w:val="0"/>
        <w:spacing w:line="400" w:lineRule="exact"/>
        <w:textAlignment w:val="auto"/>
        <w:rPr>
          <w:rFonts w:hint="eastAsia" w:ascii="宋体" w:hAnsi="宋体" w:eastAsia="宋体" w:cs="宋体"/>
          <w:color w:val="auto"/>
          <w:sz w:val="24"/>
          <w:szCs w:val="24"/>
        </w:rPr>
      </w:pPr>
    </w:p>
    <w:sectPr>
      <w:pgSz w:w="11906" w:h="16838"/>
      <w:pgMar w:top="1440" w:right="1417" w:bottom="144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6YJjc5wEAAMoD&#10;AAAOAAAAAAAAAAEAIAAAAB4BAABkcnMvZTJvRG9jLnhtbFBLBQYAAAAABgAGAFkBAAB3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3"/>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DT6VUDpAQAA&#10;ygMAAA4AAAAAAAAAAQAgAAAAHgEAAGRycy9lMm9Eb2MueG1sUEsFBgAAAAAGAAYAWQEAAHkFAAAA&#10;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4"/>
      </w:rPr>
    </w:pPr>
    <w:r>
      <w:rPr>
        <w:rStyle w:val="34"/>
      </w:rPr>
      <w:fldChar w:fldCharType="begin"/>
    </w:r>
    <w:r>
      <w:rPr>
        <w:rStyle w:val="34"/>
      </w:rPr>
      <w:instrText xml:space="preserve">PAGE  </w:instrText>
    </w:r>
    <w:r>
      <w:rPr>
        <w:rStyle w:val="34"/>
      </w:rPr>
      <w:fldChar w:fldCharType="end"/>
    </w:r>
  </w:p>
  <w:p>
    <w:pPr>
      <w:pStyle w:val="2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3"/>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OQwpWrpAQAA&#10;ygMAAA4AAAAAAAAAAQAgAAAAHgEAAGRycy9lMm9Eb2MueG1sUEsFBgAAAAAGAAYAWQEAAHkFAAAA&#10;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A0AFF"/>
    <w:multiLevelType w:val="singleLevel"/>
    <w:tmpl w:val="CDCA0AF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NTc4ZDg5NjdiNzBlYTdkMzY3ZTExNmU4NzMyZGI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1F36A1D"/>
    <w:rsid w:val="021431DA"/>
    <w:rsid w:val="03270E48"/>
    <w:rsid w:val="036B17EA"/>
    <w:rsid w:val="03DA1F68"/>
    <w:rsid w:val="03EC6867"/>
    <w:rsid w:val="068068A1"/>
    <w:rsid w:val="069F3BC7"/>
    <w:rsid w:val="06EA39BE"/>
    <w:rsid w:val="072A47A2"/>
    <w:rsid w:val="0764271A"/>
    <w:rsid w:val="07B13FA0"/>
    <w:rsid w:val="0A1A64AB"/>
    <w:rsid w:val="0A2169E7"/>
    <w:rsid w:val="0AAA48E8"/>
    <w:rsid w:val="0AE06E46"/>
    <w:rsid w:val="0CA05754"/>
    <w:rsid w:val="0CBF3E0A"/>
    <w:rsid w:val="0D6D5A75"/>
    <w:rsid w:val="0DCC3EC5"/>
    <w:rsid w:val="0DCF4D92"/>
    <w:rsid w:val="0E8157F7"/>
    <w:rsid w:val="0ED10F34"/>
    <w:rsid w:val="0F327FA1"/>
    <w:rsid w:val="0FC554FC"/>
    <w:rsid w:val="1019456C"/>
    <w:rsid w:val="101C0291"/>
    <w:rsid w:val="105772C0"/>
    <w:rsid w:val="13576982"/>
    <w:rsid w:val="13B76C7A"/>
    <w:rsid w:val="174A30CE"/>
    <w:rsid w:val="17FF0168"/>
    <w:rsid w:val="182E3E1A"/>
    <w:rsid w:val="19234752"/>
    <w:rsid w:val="194666EE"/>
    <w:rsid w:val="1AD65726"/>
    <w:rsid w:val="1BA72C14"/>
    <w:rsid w:val="1CB5477B"/>
    <w:rsid w:val="1CE119AA"/>
    <w:rsid w:val="1CFA7A77"/>
    <w:rsid w:val="1E28404A"/>
    <w:rsid w:val="1F5458A1"/>
    <w:rsid w:val="1FF077AE"/>
    <w:rsid w:val="1FF247C2"/>
    <w:rsid w:val="20431223"/>
    <w:rsid w:val="210668C5"/>
    <w:rsid w:val="23590DC7"/>
    <w:rsid w:val="23DC390D"/>
    <w:rsid w:val="24853A41"/>
    <w:rsid w:val="2591591E"/>
    <w:rsid w:val="25AC730F"/>
    <w:rsid w:val="26612D77"/>
    <w:rsid w:val="26D46B1D"/>
    <w:rsid w:val="27E125CC"/>
    <w:rsid w:val="2818512F"/>
    <w:rsid w:val="283472D5"/>
    <w:rsid w:val="283570D6"/>
    <w:rsid w:val="28866677"/>
    <w:rsid w:val="28D34E24"/>
    <w:rsid w:val="2A656372"/>
    <w:rsid w:val="2C42659E"/>
    <w:rsid w:val="2D734BB9"/>
    <w:rsid w:val="2DE768DC"/>
    <w:rsid w:val="2FF63F08"/>
    <w:rsid w:val="303D1BD7"/>
    <w:rsid w:val="31495DDF"/>
    <w:rsid w:val="31996CCD"/>
    <w:rsid w:val="319A5938"/>
    <w:rsid w:val="333472C1"/>
    <w:rsid w:val="34222027"/>
    <w:rsid w:val="35A744C9"/>
    <w:rsid w:val="3671780F"/>
    <w:rsid w:val="375F15F4"/>
    <w:rsid w:val="38F0126D"/>
    <w:rsid w:val="390A02DA"/>
    <w:rsid w:val="3A045608"/>
    <w:rsid w:val="3BCC3E0F"/>
    <w:rsid w:val="3C04503F"/>
    <w:rsid w:val="3C2C4046"/>
    <w:rsid w:val="3C4631EC"/>
    <w:rsid w:val="3DB822ED"/>
    <w:rsid w:val="3E7C7ABC"/>
    <w:rsid w:val="3EC84D62"/>
    <w:rsid w:val="3F017A70"/>
    <w:rsid w:val="40921D36"/>
    <w:rsid w:val="40A60AB9"/>
    <w:rsid w:val="4163432F"/>
    <w:rsid w:val="44511986"/>
    <w:rsid w:val="445E71AA"/>
    <w:rsid w:val="467C7DD2"/>
    <w:rsid w:val="485B7120"/>
    <w:rsid w:val="486B18E7"/>
    <w:rsid w:val="49FC3E2D"/>
    <w:rsid w:val="4B5A1437"/>
    <w:rsid w:val="4C217ADE"/>
    <w:rsid w:val="4D0639DD"/>
    <w:rsid w:val="4FE21092"/>
    <w:rsid w:val="516450A5"/>
    <w:rsid w:val="520C5CE9"/>
    <w:rsid w:val="538F59F6"/>
    <w:rsid w:val="53E86320"/>
    <w:rsid w:val="54040696"/>
    <w:rsid w:val="544A125F"/>
    <w:rsid w:val="54682FE5"/>
    <w:rsid w:val="546A70A7"/>
    <w:rsid w:val="549C486F"/>
    <w:rsid w:val="57276A91"/>
    <w:rsid w:val="576D604E"/>
    <w:rsid w:val="578A30A4"/>
    <w:rsid w:val="5798495E"/>
    <w:rsid w:val="5878128D"/>
    <w:rsid w:val="591B4518"/>
    <w:rsid w:val="5B646BFD"/>
    <w:rsid w:val="5BC9423F"/>
    <w:rsid w:val="5CB77A5B"/>
    <w:rsid w:val="5DBC7A8F"/>
    <w:rsid w:val="5F0E6369"/>
    <w:rsid w:val="5F2D45DA"/>
    <w:rsid w:val="5F7177A1"/>
    <w:rsid w:val="5F7F52ED"/>
    <w:rsid w:val="613E5DC4"/>
    <w:rsid w:val="61415CCD"/>
    <w:rsid w:val="653319F2"/>
    <w:rsid w:val="66A7157D"/>
    <w:rsid w:val="68384D1D"/>
    <w:rsid w:val="68D54284"/>
    <w:rsid w:val="68F90FF8"/>
    <w:rsid w:val="6A7D0BF0"/>
    <w:rsid w:val="6BD428D2"/>
    <w:rsid w:val="6DB079D9"/>
    <w:rsid w:val="6E533D98"/>
    <w:rsid w:val="6E863382"/>
    <w:rsid w:val="6F833898"/>
    <w:rsid w:val="70494790"/>
    <w:rsid w:val="70F84783"/>
    <w:rsid w:val="711461C6"/>
    <w:rsid w:val="712167DF"/>
    <w:rsid w:val="71A36DE5"/>
    <w:rsid w:val="71D97477"/>
    <w:rsid w:val="748C1031"/>
    <w:rsid w:val="74A0760B"/>
    <w:rsid w:val="753A3580"/>
    <w:rsid w:val="758F7F28"/>
    <w:rsid w:val="772B3B04"/>
    <w:rsid w:val="780600CD"/>
    <w:rsid w:val="786372CE"/>
    <w:rsid w:val="79FE4645"/>
    <w:rsid w:val="7A8872E1"/>
    <w:rsid w:val="7A8E3857"/>
    <w:rsid w:val="7A925548"/>
    <w:rsid w:val="7AE15FBB"/>
    <w:rsid w:val="7B7A04EE"/>
    <w:rsid w:val="7C296138"/>
    <w:rsid w:val="7C435C17"/>
    <w:rsid w:val="7E1D3F2F"/>
    <w:rsid w:val="7F4339B5"/>
    <w:rsid w:val="7F93632E"/>
    <w:rsid w:val="7FB65F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
    <w:autoRedefine/>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40"/>
    <w:autoRedefine/>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6">
    <w:name w:val="heading 3"/>
    <w:basedOn w:val="1"/>
    <w:next w:val="1"/>
    <w:link w:val="41"/>
    <w:autoRedefine/>
    <w:qFormat/>
    <w:uiPriority w:val="99"/>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link w:val="42"/>
    <w:autoRedefine/>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8">
    <w:name w:val="heading 5"/>
    <w:basedOn w:val="1"/>
    <w:next w:val="1"/>
    <w:link w:val="43"/>
    <w:autoRedefine/>
    <w:qFormat/>
    <w:uiPriority w:val="99"/>
    <w:pPr>
      <w:keepNext/>
      <w:keepLines/>
      <w:spacing w:before="280" w:after="290" w:line="376" w:lineRule="auto"/>
      <w:outlineLvl w:val="4"/>
    </w:pPr>
    <w:rPr>
      <w:b/>
      <w:bCs/>
      <w:sz w:val="28"/>
      <w:szCs w:val="28"/>
    </w:rPr>
  </w:style>
  <w:style w:type="paragraph" w:styleId="9">
    <w:name w:val="heading 6"/>
    <w:basedOn w:val="1"/>
    <w:next w:val="1"/>
    <w:link w:val="44"/>
    <w:autoRedefine/>
    <w:qFormat/>
    <w:uiPriority w:val="99"/>
    <w:pPr>
      <w:keepNext/>
      <w:keepLines/>
      <w:spacing w:before="240" w:after="64" w:line="317" w:lineRule="auto"/>
      <w:outlineLvl w:val="5"/>
    </w:pPr>
    <w:rPr>
      <w:rFonts w:ascii="Cambria" w:hAnsi="Cambria"/>
      <w:b/>
      <w:bCs/>
      <w:sz w:val="24"/>
    </w:rPr>
  </w:style>
  <w:style w:type="paragraph" w:styleId="10">
    <w:name w:val="heading 7"/>
    <w:basedOn w:val="1"/>
    <w:next w:val="1"/>
    <w:link w:val="45"/>
    <w:autoRedefine/>
    <w:qFormat/>
    <w:uiPriority w:val="99"/>
    <w:pPr>
      <w:keepNext/>
      <w:keepLines/>
      <w:spacing w:before="240" w:after="64" w:line="317" w:lineRule="auto"/>
      <w:outlineLvl w:val="6"/>
    </w:pPr>
    <w:rPr>
      <w:rFonts w:ascii="Calibri" w:hAnsi="Calibri"/>
      <w:b/>
      <w:bCs/>
      <w:sz w:val="24"/>
    </w:rPr>
  </w:style>
  <w:style w:type="paragraph" w:styleId="11">
    <w:name w:val="heading 8"/>
    <w:basedOn w:val="1"/>
    <w:next w:val="1"/>
    <w:link w:val="46"/>
    <w:autoRedefine/>
    <w:qFormat/>
    <w:uiPriority w:val="99"/>
    <w:pPr>
      <w:keepNext/>
      <w:keepLines/>
      <w:spacing w:before="240" w:after="64" w:line="320" w:lineRule="atLeast"/>
      <w:ind w:firstLine="200" w:firstLineChars="200"/>
      <w:outlineLvl w:val="7"/>
    </w:pPr>
    <w:rPr>
      <w:rFonts w:ascii="Cambria" w:hAnsi="Cambria"/>
      <w:sz w:val="24"/>
    </w:rPr>
  </w:style>
  <w:style w:type="paragraph" w:styleId="12">
    <w:name w:val="heading 9"/>
    <w:basedOn w:val="1"/>
    <w:next w:val="1"/>
    <w:link w:val="47"/>
    <w:autoRedefine/>
    <w:qFormat/>
    <w:uiPriority w:val="99"/>
    <w:pPr>
      <w:keepNext/>
      <w:keepLines/>
      <w:spacing w:before="240" w:after="64" w:line="317" w:lineRule="auto"/>
      <w:outlineLvl w:val="8"/>
    </w:pPr>
    <w:rPr>
      <w:rFonts w:ascii="Cambria" w:hAnsi="Cambria"/>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basedOn w:val="3"/>
    <w:next w:val="1"/>
    <w:autoRedefine/>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styleId="13">
    <w:name w:val="Document Map"/>
    <w:basedOn w:val="1"/>
    <w:link w:val="80"/>
    <w:autoRedefine/>
    <w:qFormat/>
    <w:uiPriority w:val="99"/>
    <w:pPr>
      <w:shd w:val="clear" w:color="auto" w:fill="000080"/>
    </w:pPr>
    <w:rPr>
      <w:rFonts w:ascii="Calibri" w:hAnsi="Calibri"/>
      <w:szCs w:val="22"/>
    </w:rPr>
  </w:style>
  <w:style w:type="paragraph" w:styleId="14">
    <w:name w:val="annotation text"/>
    <w:basedOn w:val="1"/>
    <w:link w:val="78"/>
    <w:autoRedefine/>
    <w:semiHidden/>
    <w:qFormat/>
    <w:uiPriority w:val="99"/>
    <w:pPr>
      <w:jc w:val="left"/>
    </w:pPr>
  </w:style>
  <w:style w:type="paragraph" w:styleId="15">
    <w:name w:val="Body Text 3"/>
    <w:basedOn w:val="1"/>
    <w:link w:val="81"/>
    <w:autoRedefine/>
    <w:qFormat/>
    <w:uiPriority w:val="99"/>
    <w:pPr>
      <w:widowControl/>
      <w:spacing w:after="120"/>
      <w:jc w:val="left"/>
    </w:pPr>
    <w:rPr>
      <w:kern w:val="0"/>
      <w:sz w:val="16"/>
      <w:szCs w:val="20"/>
      <w:lang w:eastAsia="en-US"/>
    </w:rPr>
  </w:style>
  <w:style w:type="paragraph" w:styleId="16">
    <w:name w:val="Body Text"/>
    <w:basedOn w:val="1"/>
    <w:next w:val="1"/>
    <w:link w:val="83"/>
    <w:autoRedefine/>
    <w:qFormat/>
    <w:uiPriority w:val="99"/>
    <w:pPr>
      <w:adjustRightInd w:val="0"/>
      <w:spacing w:after="60" w:line="360" w:lineRule="atLeast"/>
      <w:ind w:left="30" w:leftChars="30" w:right="30" w:rightChars="30"/>
      <w:jc w:val="center"/>
    </w:pPr>
    <w:rPr>
      <w:szCs w:val="22"/>
    </w:rPr>
  </w:style>
  <w:style w:type="paragraph" w:styleId="17">
    <w:name w:val="Body Text Indent"/>
    <w:basedOn w:val="1"/>
    <w:link w:val="86"/>
    <w:autoRedefine/>
    <w:qFormat/>
    <w:uiPriority w:val="99"/>
    <w:pPr>
      <w:ind w:firstLine="830" w:firstLineChars="352"/>
    </w:pPr>
    <w:rPr>
      <w:rFonts w:ascii="宋体" w:eastAsia="宋体"/>
      <w:sz w:val="32"/>
      <w:szCs w:val="20"/>
    </w:rPr>
  </w:style>
  <w:style w:type="paragraph" w:styleId="18">
    <w:name w:val="index 4"/>
    <w:basedOn w:val="1"/>
    <w:next w:val="1"/>
    <w:autoRedefine/>
    <w:qFormat/>
    <w:uiPriority w:val="99"/>
    <w:pPr>
      <w:ind w:left="600" w:leftChars="600"/>
    </w:pPr>
  </w:style>
  <w:style w:type="paragraph" w:styleId="19">
    <w:name w:val="toc 3"/>
    <w:basedOn w:val="1"/>
    <w:next w:val="1"/>
    <w:autoRedefine/>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0">
    <w:name w:val="Plain Text"/>
    <w:basedOn w:val="1"/>
    <w:next w:val="1"/>
    <w:link w:val="85"/>
    <w:autoRedefine/>
    <w:qFormat/>
    <w:uiPriority w:val="99"/>
    <w:rPr>
      <w:rFonts w:ascii="宋体" w:hAnsi="Courier New"/>
      <w:kern w:val="0"/>
      <w:sz w:val="20"/>
      <w:szCs w:val="21"/>
    </w:rPr>
  </w:style>
  <w:style w:type="paragraph" w:styleId="21">
    <w:name w:val="Date"/>
    <w:basedOn w:val="1"/>
    <w:next w:val="1"/>
    <w:link w:val="87"/>
    <w:autoRedefine/>
    <w:qFormat/>
    <w:uiPriority w:val="99"/>
    <w:pPr>
      <w:ind w:left="100" w:leftChars="2500"/>
    </w:pPr>
  </w:style>
  <w:style w:type="paragraph" w:styleId="22">
    <w:name w:val="Balloon Text"/>
    <w:basedOn w:val="1"/>
    <w:link w:val="89"/>
    <w:autoRedefine/>
    <w:semiHidden/>
    <w:qFormat/>
    <w:uiPriority w:val="99"/>
    <w:rPr>
      <w:rFonts w:ascii="Calibri" w:hAnsi="Calibri"/>
      <w:kern w:val="0"/>
      <w:sz w:val="18"/>
      <w:szCs w:val="18"/>
    </w:rPr>
  </w:style>
  <w:style w:type="paragraph" w:styleId="23">
    <w:name w:val="footer"/>
    <w:basedOn w:val="1"/>
    <w:next w:val="1"/>
    <w:link w:val="49"/>
    <w:autoRedefine/>
    <w:qFormat/>
    <w:uiPriority w:val="99"/>
    <w:pPr>
      <w:tabs>
        <w:tab w:val="center" w:pos="4153"/>
        <w:tab w:val="right" w:pos="8306"/>
      </w:tabs>
      <w:snapToGrid w:val="0"/>
      <w:jc w:val="left"/>
    </w:pPr>
    <w:rPr>
      <w:sz w:val="18"/>
      <w:szCs w:val="18"/>
    </w:rPr>
  </w:style>
  <w:style w:type="paragraph" w:styleId="24">
    <w:name w:val="header"/>
    <w:basedOn w:val="1"/>
    <w:link w:val="48"/>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99"/>
    <w:pPr>
      <w:tabs>
        <w:tab w:val="right" w:leader="dot" w:pos="9061"/>
      </w:tabs>
    </w:pPr>
    <w:rPr>
      <w:rFonts w:ascii="宋体" w:hAnsi="宋体" w:eastAsia="宋体"/>
      <w:b/>
      <w:sz w:val="32"/>
    </w:rPr>
  </w:style>
  <w:style w:type="paragraph" w:styleId="26">
    <w:name w:val="Subtitle"/>
    <w:basedOn w:val="1"/>
    <w:next w:val="1"/>
    <w:autoRedefine/>
    <w:qFormat/>
    <w:locked/>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7">
    <w:name w:val="toc 2"/>
    <w:basedOn w:val="1"/>
    <w:next w:val="1"/>
    <w:autoRedefine/>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Title"/>
    <w:basedOn w:val="1"/>
    <w:next w:val="1"/>
    <w:link w:val="92"/>
    <w:autoRedefine/>
    <w:qFormat/>
    <w:uiPriority w:val="99"/>
    <w:pPr>
      <w:spacing w:before="240" w:after="60"/>
      <w:jc w:val="center"/>
      <w:outlineLvl w:val="0"/>
    </w:pPr>
    <w:rPr>
      <w:rFonts w:ascii="Cambria" w:hAnsi="Cambria"/>
      <w:b/>
      <w:bCs/>
      <w:sz w:val="32"/>
      <w:szCs w:val="32"/>
    </w:rPr>
  </w:style>
  <w:style w:type="paragraph" w:styleId="29">
    <w:name w:val="annotation subject"/>
    <w:basedOn w:val="14"/>
    <w:next w:val="14"/>
    <w:link w:val="79"/>
    <w:autoRedefine/>
    <w:qFormat/>
    <w:uiPriority w:val="99"/>
    <w:rPr>
      <w:rFonts w:ascii="Calibri" w:hAnsi="Calibri"/>
      <w:b/>
      <w:bCs/>
      <w:szCs w:val="22"/>
    </w:rPr>
  </w:style>
  <w:style w:type="table" w:styleId="31">
    <w:name w:val="Table Grid"/>
    <w:basedOn w:val="30"/>
    <w:autoRedefine/>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99"/>
    <w:rPr>
      <w:rFonts w:cs="Times New Roman"/>
      <w:b/>
    </w:rPr>
  </w:style>
  <w:style w:type="character" w:styleId="34">
    <w:name w:val="page number"/>
    <w:autoRedefine/>
    <w:qFormat/>
    <w:uiPriority w:val="99"/>
    <w:rPr>
      <w:rFonts w:cs="Times New Roman"/>
    </w:rPr>
  </w:style>
  <w:style w:type="character" w:styleId="35">
    <w:name w:val="FollowedHyperlink"/>
    <w:autoRedefine/>
    <w:qFormat/>
    <w:uiPriority w:val="99"/>
    <w:rPr>
      <w:rFonts w:cs="Times New Roman"/>
      <w:color w:val="800080"/>
      <w:u w:val="single"/>
    </w:rPr>
  </w:style>
  <w:style w:type="character" w:styleId="36">
    <w:name w:val="Emphasis"/>
    <w:autoRedefine/>
    <w:qFormat/>
    <w:uiPriority w:val="99"/>
    <w:rPr>
      <w:rFonts w:cs="Times New Roman"/>
      <w:i/>
    </w:rPr>
  </w:style>
  <w:style w:type="character" w:styleId="37">
    <w:name w:val="Hyperlink"/>
    <w:autoRedefine/>
    <w:qFormat/>
    <w:uiPriority w:val="99"/>
    <w:rPr>
      <w:rFonts w:cs="Times New Roman"/>
      <w:color w:val="0000FF"/>
      <w:u w:val="single"/>
    </w:rPr>
  </w:style>
  <w:style w:type="character" w:styleId="38">
    <w:name w:val="annotation reference"/>
    <w:autoRedefine/>
    <w:qFormat/>
    <w:uiPriority w:val="99"/>
    <w:rPr>
      <w:rFonts w:cs="Times New Roman"/>
      <w:sz w:val="21"/>
    </w:rPr>
  </w:style>
  <w:style w:type="character" w:customStyle="1" w:styleId="39">
    <w:name w:val="标题 1 Char"/>
    <w:link w:val="4"/>
    <w:autoRedefine/>
    <w:qFormat/>
    <w:locked/>
    <w:uiPriority w:val="99"/>
    <w:rPr>
      <w:rFonts w:ascii="Times New Roman" w:hAnsi="Times New Roman" w:eastAsia="宋体" w:cs="Times New Roman"/>
      <w:b/>
      <w:bCs/>
      <w:kern w:val="44"/>
      <w:sz w:val="44"/>
      <w:szCs w:val="44"/>
    </w:rPr>
  </w:style>
  <w:style w:type="character" w:customStyle="1" w:styleId="40">
    <w:name w:val="标题 2 Char"/>
    <w:link w:val="5"/>
    <w:autoRedefine/>
    <w:qFormat/>
    <w:locked/>
    <w:uiPriority w:val="99"/>
    <w:rPr>
      <w:rFonts w:ascii="微软雅黑" w:hAnsi="微软雅黑" w:eastAsia="微软雅黑" w:cs="微软雅黑"/>
      <w:b/>
      <w:bCs/>
      <w:i/>
      <w:iCs/>
      <w:kern w:val="0"/>
      <w:sz w:val="28"/>
      <w:szCs w:val="28"/>
      <w:lang w:eastAsia="en-US"/>
    </w:rPr>
  </w:style>
  <w:style w:type="character" w:customStyle="1" w:styleId="41">
    <w:name w:val="标题 3 Char"/>
    <w:link w:val="6"/>
    <w:autoRedefine/>
    <w:qFormat/>
    <w:locked/>
    <w:uiPriority w:val="99"/>
    <w:rPr>
      <w:rFonts w:ascii="Cambria" w:hAnsi="Cambria" w:eastAsia="宋体" w:cs="Times New Roman"/>
      <w:b/>
      <w:bCs/>
      <w:sz w:val="26"/>
      <w:szCs w:val="26"/>
      <w:lang w:eastAsia="en-US"/>
    </w:rPr>
  </w:style>
  <w:style w:type="character" w:customStyle="1" w:styleId="42">
    <w:name w:val="标题 4 Char"/>
    <w:link w:val="7"/>
    <w:autoRedefine/>
    <w:qFormat/>
    <w:locked/>
    <w:uiPriority w:val="99"/>
    <w:rPr>
      <w:rFonts w:ascii="Calibri" w:hAnsi="Calibri" w:eastAsia="宋体" w:cs="Times New Roman"/>
      <w:b/>
      <w:bCs/>
      <w:kern w:val="0"/>
      <w:sz w:val="28"/>
      <w:szCs w:val="28"/>
      <w:lang w:eastAsia="en-US"/>
    </w:rPr>
  </w:style>
  <w:style w:type="character" w:customStyle="1" w:styleId="43">
    <w:name w:val="标题 5 Char"/>
    <w:link w:val="8"/>
    <w:autoRedefine/>
    <w:qFormat/>
    <w:locked/>
    <w:uiPriority w:val="99"/>
    <w:rPr>
      <w:rFonts w:ascii="Times New Roman" w:hAnsi="Times New Roman" w:eastAsia="宋体" w:cs="Times New Roman"/>
      <w:b/>
      <w:bCs/>
      <w:sz w:val="28"/>
      <w:szCs w:val="28"/>
    </w:rPr>
  </w:style>
  <w:style w:type="character" w:customStyle="1" w:styleId="44">
    <w:name w:val="标题 6 Char"/>
    <w:link w:val="9"/>
    <w:autoRedefine/>
    <w:qFormat/>
    <w:locked/>
    <w:uiPriority w:val="99"/>
    <w:rPr>
      <w:rFonts w:ascii="Cambria" w:hAnsi="Cambria" w:eastAsia="宋体" w:cs="Times New Roman"/>
      <w:b/>
      <w:bCs/>
      <w:sz w:val="24"/>
      <w:szCs w:val="24"/>
    </w:rPr>
  </w:style>
  <w:style w:type="character" w:customStyle="1" w:styleId="45">
    <w:name w:val="标题 7 Char"/>
    <w:link w:val="10"/>
    <w:autoRedefine/>
    <w:qFormat/>
    <w:locked/>
    <w:uiPriority w:val="99"/>
    <w:rPr>
      <w:rFonts w:ascii="Calibri" w:hAnsi="Calibri" w:eastAsia="宋体" w:cs="Times New Roman"/>
      <w:b/>
      <w:bCs/>
      <w:sz w:val="24"/>
      <w:szCs w:val="24"/>
    </w:rPr>
  </w:style>
  <w:style w:type="character" w:customStyle="1" w:styleId="46">
    <w:name w:val="标题 8 Char"/>
    <w:link w:val="11"/>
    <w:autoRedefine/>
    <w:qFormat/>
    <w:locked/>
    <w:uiPriority w:val="99"/>
    <w:rPr>
      <w:rFonts w:ascii="Cambria" w:hAnsi="Cambria" w:eastAsia="宋体" w:cs="Times New Roman"/>
      <w:sz w:val="24"/>
      <w:szCs w:val="24"/>
    </w:rPr>
  </w:style>
  <w:style w:type="character" w:customStyle="1" w:styleId="47">
    <w:name w:val="标题 9 Char"/>
    <w:link w:val="12"/>
    <w:autoRedefine/>
    <w:qFormat/>
    <w:locked/>
    <w:uiPriority w:val="99"/>
    <w:rPr>
      <w:rFonts w:ascii="Cambria" w:hAnsi="Cambria" w:eastAsia="宋体" w:cs="Times New Roman"/>
      <w:sz w:val="21"/>
      <w:szCs w:val="21"/>
    </w:rPr>
  </w:style>
  <w:style w:type="character" w:customStyle="1" w:styleId="48">
    <w:name w:val="页眉 Char"/>
    <w:link w:val="24"/>
    <w:autoRedefine/>
    <w:qFormat/>
    <w:locked/>
    <w:uiPriority w:val="99"/>
    <w:rPr>
      <w:rFonts w:cs="Times New Roman"/>
      <w:sz w:val="18"/>
      <w:szCs w:val="18"/>
    </w:rPr>
  </w:style>
  <w:style w:type="character" w:customStyle="1" w:styleId="49">
    <w:name w:val="页脚 Char"/>
    <w:link w:val="23"/>
    <w:autoRedefine/>
    <w:qFormat/>
    <w:locked/>
    <w:uiPriority w:val="99"/>
    <w:rPr>
      <w:rFonts w:cs="Times New Roman"/>
      <w:sz w:val="18"/>
      <w:szCs w:val="18"/>
    </w:rPr>
  </w:style>
  <w:style w:type="character" w:customStyle="1" w:styleId="50">
    <w:name w:val="yhj正文 Char"/>
    <w:link w:val="51"/>
    <w:autoRedefine/>
    <w:qFormat/>
    <w:locked/>
    <w:uiPriority w:val="99"/>
    <w:rPr>
      <w:rFonts w:ascii="宋体" w:eastAsia="宋体"/>
      <w:sz w:val="30"/>
    </w:rPr>
  </w:style>
  <w:style w:type="paragraph" w:customStyle="1" w:styleId="51">
    <w:name w:val="yhj正文"/>
    <w:basedOn w:val="1"/>
    <w:link w:val="50"/>
    <w:autoRedefine/>
    <w:qFormat/>
    <w:uiPriority w:val="99"/>
    <w:pPr>
      <w:ind w:firstLine="600" w:firstLineChars="200"/>
    </w:pPr>
    <w:rPr>
      <w:rFonts w:ascii="宋体" w:hAnsi="Calibri" w:eastAsia="宋体"/>
      <w:kern w:val="0"/>
      <w:sz w:val="30"/>
      <w:szCs w:val="30"/>
    </w:rPr>
  </w:style>
  <w:style w:type="character" w:customStyle="1" w:styleId="52">
    <w:name w:val="页码1"/>
    <w:autoRedefine/>
    <w:qFormat/>
    <w:uiPriority w:val="99"/>
    <w:rPr>
      <w:rFonts w:cs="Times New Roman"/>
    </w:rPr>
  </w:style>
  <w:style w:type="character" w:customStyle="1" w:styleId="53">
    <w:name w:val="无间隔 Char"/>
    <w:link w:val="54"/>
    <w:autoRedefine/>
    <w:qFormat/>
    <w:locked/>
    <w:uiPriority w:val="99"/>
    <w:rPr>
      <w:rFonts w:ascii="Calibri" w:hAnsi="Calibri"/>
      <w:kern w:val="2"/>
      <w:sz w:val="22"/>
      <w:lang w:val="en-US" w:eastAsia="zh-CN"/>
    </w:rPr>
  </w:style>
  <w:style w:type="paragraph" w:customStyle="1" w:styleId="54">
    <w:name w:val="无间隔1"/>
    <w:link w:val="53"/>
    <w:autoRedefine/>
    <w:qFormat/>
    <w:uiPriority w:val="99"/>
    <w:rPr>
      <w:rFonts w:ascii="Calibri" w:hAnsi="Calibri" w:eastAsia="宋体" w:cs="Times New Roman"/>
      <w:kern w:val="2"/>
      <w:sz w:val="22"/>
      <w:szCs w:val="22"/>
      <w:lang w:val="en-US" w:eastAsia="zh-CN" w:bidi="ar-SA"/>
    </w:rPr>
  </w:style>
  <w:style w:type="character" w:customStyle="1" w:styleId="55">
    <w:name w:val="Quote Char"/>
    <w:autoRedefine/>
    <w:qFormat/>
    <w:locked/>
    <w:uiPriority w:val="99"/>
    <w:rPr>
      <w:i/>
      <w:color w:val="000000"/>
    </w:rPr>
  </w:style>
  <w:style w:type="character" w:customStyle="1" w:styleId="56">
    <w:name w:val="Intense Quote Char"/>
    <w:autoRedefine/>
    <w:qFormat/>
    <w:locked/>
    <w:uiPriority w:val="99"/>
    <w:rPr>
      <w:b/>
      <w:i/>
      <w:color w:val="4F81BD"/>
    </w:rPr>
  </w:style>
  <w:style w:type="character" w:customStyle="1" w:styleId="57">
    <w:name w:val="Alt+J Char Char"/>
    <w:autoRedefine/>
    <w:qFormat/>
    <w:uiPriority w:val="99"/>
    <w:rPr>
      <w:rFonts w:eastAsia="宋体"/>
      <w:sz w:val="18"/>
    </w:rPr>
  </w:style>
  <w:style w:type="character" w:customStyle="1" w:styleId="58">
    <w:name w:val="Char Char11"/>
    <w:qFormat/>
    <w:uiPriority w:val="99"/>
    <w:rPr>
      <w:b/>
      <w:kern w:val="2"/>
      <w:sz w:val="18"/>
    </w:rPr>
  </w:style>
  <w:style w:type="character" w:customStyle="1" w:styleId="59">
    <w:name w:val="标题4 Char Char"/>
    <w:link w:val="60"/>
    <w:autoRedefine/>
    <w:qFormat/>
    <w:locked/>
    <w:uiPriority w:val="99"/>
    <w:rPr>
      <w:rFonts w:ascii="Arial" w:hAnsi="Arial"/>
      <w:b/>
      <w:sz w:val="32"/>
    </w:rPr>
  </w:style>
  <w:style w:type="paragraph" w:customStyle="1" w:styleId="60">
    <w:name w:val="标题4"/>
    <w:basedOn w:val="5"/>
    <w:next w:val="18"/>
    <w:link w:val="59"/>
    <w:autoRedefine/>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1">
    <w:name w:val="正文文本 3 Char Char"/>
    <w:autoRedefine/>
    <w:qFormat/>
    <w:uiPriority w:val="99"/>
    <w:rPr>
      <w:rFonts w:eastAsia="宋体"/>
      <w:kern w:val="2"/>
      <w:sz w:val="24"/>
      <w:lang w:val="en-US" w:eastAsia="en-US"/>
    </w:rPr>
  </w:style>
  <w:style w:type="character" w:customStyle="1" w:styleId="62">
    <w:name w:val="页脚 Char1"/>
    <w:autoRedefine/>
    <w:qFormat/>
    <w:uiPriority w:val="99"/>
    <w:rPr>
      <w:kern w:val="2"/>
      <w:sz w:val="18"/>
    </w:rPr>
  </w:style>
  <w:style w:type="character" w:customStyle="1" w:styleId="63">
    <w:name w:val="Plain Text Char1"/>
    <w:autoRedefine/>
    <w:qFormat/>
    <w:locked/>
    <w:uiPriority w:val="99"/>
    <w:rPr>
      <w:rFonts w:ascii="宋体" w:hAnsi="Courier New" w:eastAsia="宋体"/>
      <w:sz w:val="21"/>
    </w:rPr>
  </w:style>
  <w:style w:type="character" w:customStyle="1" w:styleId="64">
    <w:name w:val="Char Char13"/>
    <w:autoRedefine/>
    <w:qFormat/>
    <w:uiPriority w:val="99"/>
    <w:rPr>
      <w:rFonts w:ascii="Arial" w:hAnsi="Arial" w:eastAsia="黑体"/>
      <w:b/>
      <w:kern w:val="2"/>
      <w:sz w:val="32"/>
      <w:lang w:val="en-US" w:eastAsia="zh-CN"/>
    </w:rPr>
  </w:style>
  <w:style w:type="character" w:customStyle="1" w:styleId="65">
    <w:name w:val="Balloon Text Char"/>
    <w:autoRedefine/>
    <w:semiHidden/>
    <w:qFormat/>
    <w:locked/>
    <w:uiPriority w:val="99"/>
    <w:rPr>
      <w:rFonts w:eastAsia="宋体"/>
      <w:sz w:val="18"/>
    </w:rPr>
  </w:style>
  <w:style w:type="character" w:customStyle="1" w:styleId="66">
    <w:name w:val="Plain Text Char"/>
    <w:autoRedefine/>
    <w:qFormat/>
    <w:uiPriority w:val="99"/>
    <w:rPr>
      <w:rFonts w:ascii="宋体" w:hAnsi="Courier New" w:eastAsia="宋体"/>
      <w:kern w:val="2"/>
      <w:sz w:val="21"/>
      <w:lang w:val="en-US" w:eastAsia="zh-CN"/>
    </w:rPr>
  </w:style>
  <w:style w:type="character" w:customStyle="1" w:styleId="67">
    <w:name w:val="标题 2 Char1"/>
    <w:autoRedefine/>
    <w:qFormat/>
    <w:uiPriority w:val="99"/>
    <w:rPr>
      <w:rFonts w:ascii="微软雅黑" w:hAnsi="微软雅黑" w:eastAsia="微软雅黑"/>
      <w:b/>
      <w:i/>
      <w:sz w:val="28"/>
      <w:lang w:val="en-US" w:eastAsia="en-US"/>
    </w:rPr>
  </w:style>
  <w:style w:type="character" w:customStyle="1" w:styleId="68">
    <w:name w:val="页眉 Char1"/>
    <w:autoRedefine/>
    <w:qFormat/>
    <w:uiPriority w:val="99"/>
    <w:rPr>
      <w:rFonts w:eastAsia="宋体"/>
      <w:kern w:val="2"/>
      <w:sz w:val="18"/>
      <w:lang w:val="en-US" w:eastAsia="zh-CN"/>
    </w:rPr>
  </w:style>
  <w:style w:type="character" w:customStyle="1" w:styleId="69">
    <w:name w:val="正文文本 3 Char"/>
    <w:link w:val="70"/>
    <w:autoRedefine/>
    <w:qFormat/>
    <w:locked/>
    <w:uiPriority w:val="99"/>
    <w:rPr>
      <w:sz w:val="16"/>
      <w:lang w:eastAsia="en-US"/>
    </w:rPr>
  </w:style>
  <w:style w:type="paragraph" w:customStyle="1" w:styleId="70">
    <w:name w:val="正文文本 31"/>
    <w:basedOn w:val="1"/>
    <w:link w:val="69"/>
    <w:autoRedefine/>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1">
    <w:name w:val="标题5 Char Char"/>
    <w:link w:val="72"/>
    <w:autoRedefine/>
    <w:qFormat/>
    <w:locked/>
    <w:uiPriority w:val="99"/>
    <w:rPr>
      <w:rFonts w:ascii="Arial" w:hAnsi="Arial"/>
      <w:b/>
      <w:sz w:val="32"/>
    </w:rPr>
  </w:style>
  <w:style w:type="paragraph" w:customStyle="1" w:styleId="72">
    <w:name w:val="标题5"/>
    <w:basedOn w:val="6"/>
    <w:link w:val="71"/>
    <w:autoRedefine/>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3">
    <w:name w:val="Char Char16"/>
    <w:autoRedefine/>
    <w:qFormat/>
    <w:uiPriority w:val="99"/>
    <w:rPr>
      <w:rFonts w:eastAsia="宋体"/>
      <w:b/>
      <w:kern w:val="44"/>
      <w:sz w:val="44"/>
    </w:rPr>
  </w:style>
  <w:style w:type="character" w:customStyle="1" w:styleId="74">
    <w:name w:val="Char Char9"/>
    <w:autoRedefine/>
    <w:qFormat/>
    <w:uiPriority w:val="99"/>
    <w:rPr>
      <w:rFonts w:ascii="Arial" w:hAnsi="Arial" w:eastAsia="黑体"/>
      <w:kern w:val="2"/>
      <w:sz w:val="24"/>
    </w:rPr>
  </w:style>
  <w:style w:type="character" w:customStyle="1" w:styleId="75">
    <w:name w:val="Char Char15"/>
    <w:autoRedefine/>
    <w:qFormat/>
    <w:uiPriority w:val="99"/>
    <w:rPr>
      <w:rFonts w:eastAsia="宋体"/>
      <w:b/>
      <w:kern w:val="2"/>
      <w:sz w:val="32"/>
    </w:rPr>
  </w:style>
  <w:style w:type="character" w:customStyle="1" w:styleId="76">
    <w:name w:val="纯文本 Char Char"/>
    <w:autoRedefine/>
    <w:qFormat/>
    <w:uiPriority w:val="99"/>
    <w:rPr>
      <w:rFonts w:ascii="宋体" w:hAnsi="Courier New" w:eastAsia="宋体"/>
      <w:sz w:val="24"/>
      <w:lang w:eastAsia="en-US"/>
    </w:rPr>
  </w:style>
  <w:style w:type="paragraph" w:customStyle="1" w:styleId="77">
    <w:name w:val="样式 标题 2 + Times New Roman 四号 非加粗 段前: 5 磅 段后: 0 磅 行距: 固定值 20..."/>
    <w:basedOn w:val="5"/>
    <w:autoRedefine/>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8">
    <w:name w:val="批注文字 Char"/>
    <w:link w:val="14"/>
    <w:autoRedefine/>
    <w:semiHidden/>
    <w:qFormat/>
    <w:locked/>
    <w:uiPriority w:val="99"/>
    <w:rPr>
      <w:rFonts w:ascii="Times New Roman" w:hAnsi="Times New Roman" w:eastAsia="宋体" w:cs="Times New Roman"/>
      <w:sz w:val="24"/>
      <w:szCs w:val="24"/>
    </w:rPr>
  </w:style>
  <w:style w:type="character" w:customStyle="1" w:styleId="79">
    <w:name w:val="批注主题 Char"/>
    <w:link w:val="29"/>
    <w:autoRedefine/>
    <w:qFormat/>
    <w:locked/>
    <w:uiPriority w:val="99"/>
    <w:rPr>
      <w:rFonts w:ascii="Calibri" w:hAnsi="Calibri" w:eastAsia="宋体" w:cs="Times New Roman"/>
      <w:b/>
      <w:bCs/>
      <w:sz w:val="24"/>
      <w:szCs w:val="24"/>
    </w:rPr>
  </w:style>
  <w:style w:type="character" w:customStyle="1" w:styleId="80">
    <w:name w:val="文档结构图 Char"/>
    <w:link w:val="13"/>
    <w:autoRedefine/>
    <w:qFormat/>
    <w:locked/>
    <w:uiPriority w:val="99"/>
    <w:rPr>
      <w:rFonts w:ascii="Calibri" w:hAnsi="Calibri" w:eastAsia="宋体" w:cs="Times New Roman"/>
      <w:shd w:val="clear" w:color="auto" w:fill="000080"/>
    </w:rPr>
  </w:style>
  <w:style w:type="character" w:customStyle="1" w:styleId="81">
    <w:name w:val="正文文本 3 Char1"/>
    <w:link w:val="15"/>
    <w:autoRedefine/>
    <w:qFormat/>
    <w:locked/>
    <w:uiPriority w:val="99"/>
    <w:rPr>
      <w:rFonts w:ascii="Times New Roman" w:hAnsi="Times New Roman" w:eastAsia="宋体" w:cs="Times New Roman"/>
      <w:kern w:val="0"/>
      <w:sz w:val="20"/>
      <w:szCs w:val="20"/>
      <w:lang w:eastAsia="en-US"/>
    </w:rPr>
  </w:style>
  <w:style w:type="paragraph" w:customStyle="1" w:styleId="82">
    <w:name w:val="修订1"/>
    <w:autoRedefine/>
    <w:qFormat/>
    <w:uiPriority w:val="99"/>
    <w:rPr>
      <w:rFonts w:ascii="Calibri" w:hAnsi="Calibri" w:eastAsia="宋体" w:cs="Times New Roman"/>
      <w:kern w:val="2"/>
      <w:sz w:val="21"/>
      <w:szCs w:val="22"/>
      <w:lang w:val="en-US" w:eastAsia="zh-CN" w:bidi="ar-SA"/>
    </w:rPr>
  </w:style>
  <w:style w:type="character" w:customStyle="1" w:styleId="83">
    <w:name w:val="正文文本 Char"/>
    <w:link w:val="16"/>
    <w:autoRedefine/>
    <w:qFormat/>
    <w:locked/>
    <w:uiPriority w:val="99"/>
    <w:rPr>
      <w:rFonts w:ascii="Times New Roman" w:hAnsi="Times New Roman" w:eastAsia="宋体" w:cs="Times New Roman"/>
    </w:rPr>
  </w:style>
  <w:style w:type="character" w:customStyle="1" w:styleId="84">
    <w:name w:val="Plain Text Char2"/>
    <w:autoRedefine/>
    <w:semiHidden/>
    <w:qFormat/>
    <w:uiPriority w:val="99"/>
    <w:rPr>
      <w:rFonts w:ascii="宋体" w:hAnsi="Courier New" w:cs="Courier New"/>
      <w:szCs w:val="21"/>
    </w:rPr>
  </w:style>
  <w:style w:type="character" w:customStyle="1" w:styleId="85">
    <w:name w:val="纯文本 Char"/>
    <w:link w:val="20"/>
    <w:autoRedefine/>
    <w:qFormat/>
    <w:locked/>
    <w:uiPriority w:val="99"/>
    <w:rPr>
      <w:rFonts w:ascii="宋体" w:hAnsi="Courier New" w:eastAsia="宋体" w:cs="Courier New"/>
      <w:sz w:val="21"/>
      <w:szCs w:val="21"/>
    </w:rPr>
  </w:style>
  <w:style w:type="character" w:customStyle="1" w:styleId="86">
    <w:name w:val="正文文本缩进 Char"/>
    <w:link w:val="17"/>
    <w:autoRedefine/>
    <w:qFormat/>
    <w:locked/>
    <w:uiPriority w:val="99"/>
    <w:rPr>
      <w:rFonts w:ascii="宋体" w:hAnsi="Times New Roman" w:eastAsia="宋体" w:cs="Times New Roman"/>
      <w:sz w:val="20"/>
      <w:szCs w:val="20"/>
    </w:rPr>
  </w:style>
  <w:style w:type="character" w:customStyle="1" w:styleId="87">
    <w:name w:val="日期 Char"/>
    <w:link w:val="21"/>
    <w:autoRedefine/>
    <w:qFormat/>
    <w:locked/>
    <w:uiPriority w:val="99"/>
    <w:rPr>
      <w:rFonts w:ascii="Times New Roman" w:hAnsi="Times New Roman" w:eastAsia="宋体" w:cs="Times New Roman"/>
      <w:sz w:val="24"/>
      <w:szCs w:val="24"/>
    </w:rPr>
  </w:style>
  <w:style w:type="character" w:customStyle="1" w:styleId="88">
    <w:name w:val="Balloon Text Char1"/>
    <w:autoRedefine/>
    <w:semiHidden/>
    <w:qFormat/>
    <w:uiPriority w:val="99"/>
    <w:rPr>
      <w:rFonts w:ascii="Times New Roman" w:hAnsi="Times New Roman"/>
      <w:sz w:val="0"/>
      <w:szCs w:val="0"/>
    </w:rPr>
  </w:style>
  <w:style w:type="character" w:customStyle="1" w:styleId="89">
    <w:name w:val="批注框文本 Char"/>
    <w:link w:val="22"/>
    <w:autoRedefine/>
    <w:semiHidden/>
    <w:qFormat/>
    <w:locked/>
    <w:uiPriority w:val="99"/>
    <w:rPr>
      <w:rFonts w:ascii="Times New Roman" w:hAnsi="Times New Roman" w:eastAsia="宋体" w:cs="Times New Roman"/>
      <w:sz w:val="18"/>
      <w:szCs w:val="18"/>
    </w:rPr>
  </w:style>
  <w:style w:type="paragraph" w:customStyle="1" w:styleId="90">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1">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2">
    <w:name w:val="标题 Char"/>
    <w:link w:val="28"/>
    <w:autoRedefine/>
    <w:qFormat/>
    <w:locked/>
    <w:uiPriority w:val="99"/>
    <w:rPr>
      <w:rFonts w:ascii="Cambria" w:hAnsi="Cambria" w:eastAsia="宋体" w:cs="Times New Roman"/>
      <w:b/>
      <w:bCs/>
      <w:sz w:val="32"/>
      <w:szCs w:val="32"/>
    </w:rPr>
  </w:style>
  <w:style w:type="paragraph" w:customStyle="1" w:styleId="93">
    <w:name w:val="引用1"/>
    <w:basedOn w:val="1"/>
    <w:next w:val="1"/>
    <w:link w:val="95"/>
    <w:autoRedefine/>
    <w:qFormat/>
    <w:uiPriority w:val="99"/>
    <w:rPr>
      <w:rFonts w:ascii="Calibri" w:hAnsi="Calibri"/>
      <w:i/>
      <w:iCs/>
      <w:color w:val="000000"/>
      <w:kern w:val="0"/>
      <w:sz w:val="20"/>
      <w:szCs w:val="20"/>
    </w:rPr>
  </w:style>
  <w:style w:type="character" w:customStyle="1" w:styleId="94">
    <w:name w:val="Quote Char1"/>
    <w:autoRedefine/>
    <w:qFormat/>
    <w:uiPriority w:val="29"/>
    <w:rPr>
      <w:rFonts w:ascii="Times New Roman" w:hAnsi="Times New Roman"/>
      <w:i/>
      <w:iCs/>
      <w:color w:val="000000"/>
      <w:szCs w:val="24"/>
    </w:rPr>
  </w:style>
  <w:style w:type="character" w:customStyle="1" w:styleId="95">
    <w:name w:val="引用 Char"/>
    <w:link w:val="93"/>
    <w:autoRedefine/>
    <w:qFormat/>
    <w:locked/>
    <w:uiPriority w:val="99"/>
    <w:rPr>
      <w:rFonts w:ascii="Times New Roman" w:hAnsi="Times New Roman" w:eastAsia="宋体" w:cs="Times New Roman"/>
      <w:i/>
      <w:iCs/>
      <w:color w:val="000000"/>
      <w:sz w:val="24"/>
      <w:szCs w:val="24"/>
    </w:rPr>
  </w:style>
  <w:style w:type="paragraph" w:customStyle="1" w:styleId="96">
    <w:name w:val="TOC 标题1"/>
    <w:basedOn w:val="4"/>
    <w:next w:val="1"/>
    <w:autoRedefine/>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7">
    <w:name w:val="明显引用1"/>
    <w:basedOn w:val="1"/>
    <w:next w:val="1"/>
    <w:link w:val="99"/>
    <w:autoRedefine/>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8">
    <w:name w:val="Intense Quote Char1"/>
    <w:autoRedefine/>
    <w:qFormat/>
    <w:uiPriority w:val="30"/>
    <w:rPr>
      <w:rFonts w:ascii="Times New Roman" w:hAnsi="Times New Roman"/>
      <w:b/>
      <w:bCs/>
      <w:i/>
      <w:iCs/>
      <w:color w:val="4F81BD"/>
      <w:szCs w:val="24"/>
    </w:rPr>
  </w:style>
  <w:style w:type="character" w:customStyle="1" w:styleId="99">
    <w:name w:val="明显引用 Char"/>
    <w:link w:val="97"/>
    <w:autoRedefine/>
    <w:qFormat/>
    <w:locked/>
    <w:uiPriority w:val="99"/>
    <w:rPr>
      <w:rFonts w:ascii="Times New Roman" w:hAnsi="Times New Roman" w:eastAsia="宋体" w:cs="Times New Roman"/>
      <w:b/>
      <w:bCs/>
      <w:i/>
      <w:iCs/>
      <w:color w:val="4F81BD"/>
      <w:sz w:val="24"/>
      <w:szCs w:val="24"/>
    </w:rPr>
  </w:style>
  <w:style w:type="paragraph" w:customStyle="1" w:styleId="100">
    <w:name w:val="p0"/>
    <w:basedOn w:val="1"/>
    <w:autoRedefine/>
    <w:qFormat/>
    <w:uiPriority w:val="99"/>
    <w:pPr>
      <w:widowControl/>
      <w:spacing w:line="440" w:lineRule="exact"/>
      <w:ind w:firstLine="200" w:firstLineChars="200"/>
    </w:pPr>
    <w:rPr>
      <w:kern w:val="0"/>
      <w:szCs w:val="21"/>
    </w:rPr>
  </w:style>
  <w:style w:type="paragraph" w:customStyle="1" w:styleId="101">
    <w:name w:val="Char Char1 Char Char Char Char Char Char Char Char Char Char Char Char Char Char Char"/>
    <w:basedOn w:val="1"/>
    <w:autoRedefine/>
    <w:qFormat/>
    <w:uiPriority w:val="99"/>
    <w:pPr>
      <w:widowControl/>
      <w:spacing w:after="160" w:line="240" w:lineRule="exact"/>
      <w:jc w:val="left"/>
    </w:pPr>
  </w:style>
  <w:style w:type="paragraph" w:customStyle="1" w:styleId="102">
    <w:name w:val="纯文本1"/>
    <w:basedOn w:val="1"/>
    <w:autoRedefine/>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3">
    <w:name w:val="列出段落1"/>
    <w:basedOn w:val="1"/>
    <w:autoRedefine/>
    <w:qFormat/>
    <w:uiPriority w:val="99"/>
    <w:pPr>
      <w:ind w:firstLine="420" w:firstLineChars="200"/>
    </w:pPr>
    <w:rPr>
      <w:rFonts w:ascii="Calibri" w:hAnsi="Calibri"/>
      <w:szCs w:val="22"/>
    </w:rPr>
  </w:style>
  <w:style w:type="paragraph" w:customStyle="1" w:styleId="104">
    <w:name w:val="p"/>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105">
    <w:name w:val="apple-converted-space"/>
    <w:autoRedefine/>
    <w:qFormat/>
    <w:uiPriority w:val="99"/>
    <w:rPr>
      <w:rFonts w:cs="Times New Roman"/>
    </w:rPr>
  </w:style>
  <w:style w:type="character" w:customStyle="1" w:styleId="106">
    <w:name w:val="纯文本 Char1"/>
    <w:basedOn w:val="32"/>
    <w:autoRedefine/>
    <w:qFormat/>
    <w:locked/>
    <w:uiPriority w:val="0"/>
    <w:rPr>
      <w:rFonts w:ascii="宋体" w:hAnsi="Courier New" w:eastAsia="宋体" w:cs="Courier New"/>
      <w:szCs w:val="21"/>
    </w:rPr>
  </w:style>
  <w:style w:type="paragraph" w:styleId="107">
    <w:name w:val="List Paragraph"/>
    <w:basedOn w:val="1"/>
    <w:autoRedefine/>
    <w:qFormat/>
    <w:uiPriority w:val="0"/>
    <w:pPr>
      <w:ind w:firstLine="420" w:firstLineChars="200"/>
    </w:pPr>
  </w:style>
  <w:style w:type="paragraph" w:customStyle="1" w:styleId="108">
    <w:name w:val="Normal_1_0"/>
    <w:autoRedefine/>
    <w:qFormat/>
    <w:uiPriority w:val="0"/>
    <w:pPr>
      <w:widowControl w:val="0"/>
      <w:jc w:val="both"/>
    </w:pPr>
    <w:rPr>
      <w:rFonts w:ascii="Calibri" w:hAnsi="Calibri" w:eastAsia="Times New Roman" w:cs="Times New Roman"/>
      <w:sz w:val="21"/>
      <w:szCs w:val="24"/>
      <w:lang w:val="en-US" w:eastAsia="zh-CN" w:bidi="ar-SA"/>
    </w:rPr>
  </w:style>
  <w:style w:type="paragraph" w:customStyle="1" w:styleId="10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11842</Words>
  <Characters>12500</Characters>
  <Lines>86</Lines>
  <Paragraphs>24</Paragraphs>
  <TotalTime>88</TotalTime>
  <ScaleCrop>false</ScaleCrop>
  <LinksUpToDate>false</LinksUpToDate>
  <CharactersWithSpaces>13995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南京南大尚诚软件科技有限公司</cp:lastModifiedBy>
  <cp:lastPrinted>2024-06-28T03:16:55Z</cp:lastPrinted>
  <dcterms:modified xsi:type="dcterms:W3CDTF">2024-06-28T03:18:57Z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7E36DA1E53544FE198EF0DA1C800CCA0_13</vt:lpwstr>
  </property>
</Properties>
</file>